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仿宋_GB2312"/>
          <w:sz w:val="36"/>
          <w:szCs w:val="36"/>
        </w:rPr>
      </w:pPr>
      <w:bookmarkStart w:id="0" w:name="_Toc3894"/>
    </w:p>
    <w:p>
      <w:pPr>
        <w:rPr>
          <w:rFonts w:ascii="Times New Roman" w:hAnsi="Times New Roman" w:eastAsia="宋体" w:cs="仿宋_GB2312"/>
          <w:sz w:val="36"/>
          <w:szCs w:val="36"/>
        </w:rPr>
      </w:pPr>
    </w:p>
    <w:p>
      <w:pPr>
        <w:rPr>
          <w:rFonts w:ascii="Times New Roman" w:hAnsi="Times New Roman" w:eastAsia="宋体" w:cs="仿宋_GB2312"/>
          <w:sz w:val="36"/>
          <w:szCs w:val="36"/>
        </w:rPr>
      </w:pPr>
    </w:p>
    <w:p>
      <w:pPr>
        <w:adjustRightInd w:val="0"/>
        <w:snapToGrid w:val="0"/>
        <w:jc w:val="center"/>
        <w:outlineLvl w:val="0"/>
        <w:rPr>
          <w:rFonts w:ascii="Times New Roman" w:hAnsi="Times New Roman" w:eastAsia="宋体"/>
          <w:b/>
          <w:sz w:val="72"/>
          <w:szCs w:val="72"/>
        </w:rPr>
      </w:pPr>
      <w:r>
        <w:rPr>
          <w:rFonts w:ascii="Times New Roman" w:hAnsi="Times New Roman" w:eastAsia="宋体"/>
          <w:b/>
          <w:sz w:val="72"/>
          <w:szCs w:val="72"/>
        </w:rPr>
        <w:t>建设项目环境影响报告表</w:t>
      </w:r>
    </w:p>
    <w:p>
      <w:pPr>
        <w:adjustRightInd w:val="0"/>
        <w:snapToGrid w:val="0"/>
        <w:spacing w:before="192" w:beforeLines="80"/>
        <w:jc w:val="center"/>
        <w:rPr>
          <w:rFonts w:ascii="Times New Roman" w:hAnsi="Times New Roman" w:eastAsia="宋体"/>
          <w:b/>
          <w:sz w:val="48"/>
          <w:szCs w:val="48"/>
        </w:rPr>
      </w:pPr>
      <w:r>
        <w:rPr>
          <w:rFonts w:ascii="Times New Roman" w:hAnsi="Times New Roman" w:eastAsia="宋体"/>
          <w:b/>
          <w:sz w:val="48"/>
          <w:szCs w:val="48"/>
        </w:rPr>
        <w:t>（污染影响类）</w:t>
      </w:r>
    </w:p>
    <w:p>
      <w:pPr>
        <w:adjustRightInd w:val="0"/>
        <w:snapToGrid w:val="0"/>
        <w:jc w:val="center"/>
        <w:outlineLvl w:val="0"/>
        <w:rPr>
          <w:rFonts w:ascii="Times New Roman" w:hAnsi="Times New Roman" w:eastAsia="宋体"/>
          <w:kern w:val="44"/>
          <w:sz w:val="44"/>
          <w:szCs w:val="44"/>
        </w:rPr>
      </w:pPr>
    </w:p>
    <w:p>
      <w:pPr>
        <w:jc w:val="center"/>
        <w:rPr>
          <w:rFonts w:ascii="Times New Roman" w:hAnsi="Times New Roman" w:eastAsia="宋体"/>
          <w:sz w:val="44"/>
          <w:szCs w:val="44"/>
        </w:rPr>
      </w:pPr>
    </w:p>
    <w:p>
      <w:pPr>
        <w:ind w:firstLine="1040"/>
        <w:rPr>
          <w:rFonts w:ascii="Times New Roman" w:hAnsi="Times New Roman" w:eastAsia="宋体"/>
          <w:sz w:val="44"/>
          <w:szCs w:val="44"/>
        </w:rPr>
      </w:pPr>
    </w:p>
    <w:p>
      <w:pPr>
        <w:ind w:firstLine="1040"/>
        <w:rPr>
          <w:rFonts w:ascii="Times New Roman" w:hAnsi="Times New Roman" w:eastAsia="宋体"/>
          <w:sz w:val="44"/>
          <w:szCs w:val="44"/>
        </w:rPr>
      </w:pPr>
    </w:p>
    <w:p>
      <w:pPr>
        <w:ind w:firstLine="1040"/>
        <w:rPr>
          <w:rFonts w:ascii="Times New Roman" w:hAnsi="Times New Roman" w:eastAsia="宋体"/>
          <w:sz w:val="44"/>
          <w:szCs w:val="44"/>
        </w:rPr>
      </w:pPr>
    </w:p>
    <w:p>
      <w:pPr>
        <w:ind w:firstLine="1040"/>
        <w:rPr>
          <w:rFonts w:ascii="Times New Roman" w:hAnsi="Times New Roman" w:eastAsia="宋体"/>
          <w:sz w:val="44"/>
          <w:szCs w:val="44"/>
        </w:rPr>
      </w:pPr>
    </w:p>
    <w:p>
      <w:pPr>
        <w:pStyle w:val="34"/>
        <w:rPr>
          <w:rFonts w:ascii="Times New Roman"/>
          <w:color w:val="auto"/>
        </w:rPr>
      </w:pPr>
    </w:p>
    <w:p>
      <w:pPr>
        <w:ind w:firstLine="1040"/>
        <w:rPr>
          <w:rFonts w:ascii="Times New Roman" w:hAnsi="Times New Roman" w:eastAsia="宋体"/>
          <w:sz w:val="44"/>
          <w:szCs w:val="44"/>
        </w:rPr>
      </w:pPr>
    </w:p>
    <w:p>
      <w:pPr>
        <w:adjustRightInd w:val="0"/>
        <w:snapToGrid w:val="0"/>
        <w:spacing w:line="360" w:lineRule="auto"/>
        <w:jc w:val="center"/>
        <w:rPr>
          <w:rFonts w:ascii="Times New Roman" w:hAnsi="Times New Roman" w:eastAsia="宋体"/>
          <w:b/>
          <w:spacing w:val="2"/>
          <w:sz w:val="28"/>
          <w:szCs w:val="28"/>
          <w:u w:val="single"/>
        </w:rPr>
      </w:pPr>
      <w:r>
        <w:rPr>
          <w:rFonts w:ascii="Times New Roman" w:hAnsi="Times New Roman" w:eastAsia="宋体"/>
          <w:b/>
          <w:bCs/>
          <w:sz w:val="28"/>
          <w:szCs w:val="28"/>
        </w:rPr>
        <w:t>项目名称：</w:t>
      </w:r>
      <m:oMath>
        <m:r>
          <m:rPr>
            <m:sty m:val="b"/>
          </m:rPr>
          <w:rPr>
            <w:rFonts w:ascii="Cambria Math" w:hAnsi="Cambria Math" w:eastAsia="宋体"/>
            <w:spacing w:val="2"/>
            <w:sz w:val="28"/>
            <w:szCs w:val="28"/>
            <w:u w:val="single"/>
          </w:rPr>
          <m:t>陕西永泰立科技有限公司</m:t>
        </m:r>
      </m:oMath>
      <w:r>
        <w:rPr>
          <w:rFonts w:hint="eastAsia" w:ascii="Times New Roman" w:hAnsi="Times New Roman" w:eastAsia="宋体"/>
          <w:b/>
          <w:spacing w:val="2"/>
          <w:sz w:val="28"/>
          <w:szCs w:val="28"/>
          <w:u w:val="single"/>
        </w:rPr>
        <w:t>机械加工及表面处理生产线项目</w:t>
      </w:r>
    </w:p>
    <w:p>
      <w:pPr>
        <w:adjustRightInd w:val="0"/>
        <w:snapToGrid w:val="0"/>
        <w:spacing w:line="360" w:lineRule="auto"/>
        <w:rPr>
          <w:rFonts w:ascii="Times New Roman" w:hAnsi="Times New Roman" w:eastAsia="宋体"/>
          <w:b/>
          <w:bCs/>
          <w:sz w:val="28"/>
          <w:szCs w:val="28"/>
          <w:u w:val="single"/>
        </w:rPr>
      </w:pPr>
      <w:r>
        <w:rPr>
          <w:rFonts w:hint="eastAsia" w:ascii="Times New Roman" w:hAnsi="Times New Roman" w:eastAsia="宋体"/>
          <w:b/>
          <w:bCs/>
          <w:sz w:val="28"/>
          <w:szCs w:val="28"/>
        </w:rPr>
        <w:t xml:space="preserve">   </w:t>
      </w:r>
      <w:r>
        <w:rPr>
          <w:rFonts w:ascii="Times New Roman" w:hAnsi="Times New Roman" w:eastAsia="宋体"/>
          <w:b/>
          <w:bCs/>
          <w:sz w:val="28"/>
          <w:szCs w:val="28"/>
        </w:rPr>
        <w:t>建设单位（盖章）：</w:t>
      </w:r>
      <w:r>
        <w:rPr>
          <w:rFonts w:hint="eastAsia" w:ascii="Times New Roman" w:hAnsi="Times New Roman" w:eastAsia="宋体"/>
          <w:b/>
          <w:bCs/>
          <w:sz w:val="28"/>
          <w:szCs w:val="28"/>
          <w:u w:val="single"/>
        </w:rPr>
        <w:t xml:space="preserve"> </w:t>
      </w:r>
      <w:r>
        <w:rPr>
          <w:rFonts w:ascii="Times New Roman" w:hAnsi="Times New Roman" w:eastAsia="宋体"/>
          <w:b/>
          <w:bCs/>
          <w:sz w:val="28"/>
          <w:szCs w:val="28"/>
          <w:u w:val="single"/>
        </w:rPr>
        <w:t xml:space="preserve">    </w:t>
      </w:r>
      <w:r>
        <w:rPr>
          <w:rFonts w:hint="eastAsia" w:ascii="Times New Roman" w:hAnsi="Times New Roman" w:eastAsia="宋体"/>
          <w:b/>
          <w:spacing w:val="2"/>
          <w:sz w:val="28"/>
          <w:szCs w:val="28"/>
          <w:u w:val="single"/>
        </w:rPr>
        <w:t xml:space="preserve">陕西永泰立科技有限公司 </w:t>
      </w:r>
      <w:r>
        <w:rPr>
          <w:rFonts w:ascii="Times New Roman" w:hAnsi="Times New Roman" w:eastAsia="宋体"/>
          <w:b/>
          <w:spacing w:val="2"/>
          <w:sz w:val="28"/>
          <w:szCs w:val="28"/>
          <w:u w:val="single"/>
        </w:rPr>
        <w:t xml:space="preserve">          </w:t>
      </w:r>
      <w:r>
        <w:rPr>
          <w:rFonts w:hint="eastAsia" w:ascii="Times New Roman" w:hAnsi="Times New Roman" w:eastAsia="宋体"/>
          <w:b/>
          <w:spacing w:val="2"/>
          <w:sz w:val="28"/>
          <w:szCs w:val="28"/>
          <w:u w:val="single"/>
        </w:rPr>
        <w:t xml:space="preserve"> </w:t>
      </w:r>
      <w:r>
        <w:rPr>
          <w:rFonts w:ascii="Times New Roman" w:hAnsi="Times New Roman" w:eastAsia="宋体"/>
          <w:b/>
          <w:spacing w:val="2"/>
          <w:sz w:val="28"/>
          <w:szCs w:val="28"/>
          <w:u w:val="single"/>
        </w:rPr>
        <w:t xml:space="preserve"> </w:t>
      </w:r>
      <w:r>
        <w:rPr>
          <w:rFonts w:hint="eastAsia" w:ascii="Times New Roman" w:hAnsi="Times New Roman" w:eastAsia="宋体"/>
          <w:b/>
          <w:spacing w:val="2"/>
          <w:sz w:val="28"/>
          <w:szCs w:val="28"/>
          <w:u w:val="single"/>
        </w:rPr>
        <w:t xml:space="preserve">  </w:t>
      </w:r>
    </w:p>
    <w:p>
      <w:pPr>
        <w:adjustRightInd w:val="0"/>
        <w:snapToGrid w:val="0"/>
        <w:spacing w:line="360" w:lineRule="auto"/>
        <w:rPr>
          <w:rFonts w:ascii="Times New Roman" w:hAnsi="Times New Roman" w:eastAsia="宋体"/>
          <w:b/>
          <w:bCs/>
          <w:sz w:val="28"/>
          <w:szCs w:val="28"/>
        </w:rPr>
      </w:pPr>
      <w:r>
        <w:rPr>
          <w:rFonts w:hint="eastAsia" w:ascii="Times New Roman" w:hAnsi="Times New Roman" w:eastAsia="宋体"/>
          <w:b/>
          <w:bCs/>
          <w:sz w:val="28"/>
          <w:szCs w:val="28"/>
        </w:rPr>
        <w:t xml:space="preserve">   </w:t>
      </w:r>
      <w:r>
        <w:rPr>
          <w:rFonts w:ascii="Times New Roman" w:hAnsi="Times New Roman" w:eastAsia="宋体"/>
          <w:b/>
          <w:bCs/>
          <w:sz w:val="28"/>
          <w:szCs w:val="28"/>
        </w:rPr>
        <w:t>编制日期：</w:t>
      </w:r>
      <w:r>
        <w:rPr>
          <w:rFonts w:ascii="Times New Roman" w:hAnsi="Times New Roman" w:eastAsia="宋体"/>
          <w:sz w:val="28"/>
          <w:szCs w:val="28"/>
          <w:u w:val="single"/>
        </w:rPr>
        <w:t xml:space="preserve">                 </w:t>
      </w:r>
      <w:r>
        <w:rPr>
          <w:rFonts w:hint="eastAsia" w:ascii="Times New Roman" w:hAnsi="Times New Roman" w:eastAsia="宋体"/>
          <w:b/>
          <w:bCs/>
          <w:sz w:val="28"/>
          <w:szCs w:val="28"/>
          <w:u w:val="single"/>
        </w:rPr>
        <w:t xml:space="preserve">二〇二四年三月  </w:t>
      </w:r>
      <w:r>
        <w:rPr>
          <w:rFonts w:ascii="Times New Roman" w:hAnsi="Times New Roman" w:eastAsia="宋体"/>
          <w:b/>
          <w:bCs/>
          <w:sz w:val="28"/>
          <w:szCs w:val="28"/>
          <w:u w:val="single"/>
        </w:rPr>
        <w:t xml:space="preserve">       </w:t>
      </w:r>
      <w:r>
        <w:rPr>
          <w:rFonts w:hint="eastAsia" w:ascii="Times New Roman" w:hAnsi="Times New Roman" w:eastAsia="宋体"/>
          <w:b/>
          <w:bCs/>
          <w:sz w:val="28"/>
          <w:szCs w:val="28"/>
          <w:u w:val="single"/>
        </w:rPr>
        <w:t xml:space="preserve">       </w:t>
      </w:r>
      <w:r>
        <w:rPr>
          <w:rFonts w:ascii="Times New Roman" w:hAnsi="Times New Roman" w:eastAsia="宋体"/>
          <w:b/>
          <w:bCs/>
          <w:sz w:val="28"/>
          <w:szCs w:val="28"/>
          <w:u w:val="single"/>
        </w:rPr>
        <w:t xml:space="preserve"> </w:t>
      </w:r>
      <w:r>
        <w:rPr>
          <w:rFonts w:hint="eastAsia" w:ascii="Times New Roman" w:hAnsi="Times New Roman" w:eastAsia="宋体"/>
          <w:b/>
          <w:bCs/>
          <w:sz w:val="28"/>
          <w:szCs w:val="28"/>
          <w:u w:val="single"/>
        </w:rPr>
        <w:t xml:space="preserve">   </w:t>
      </w:r>
    </w:p>
    <w:p>
      <w:pPr>
        <w:adjustRightInd w:val="0"/>
        <w:snapToGrid w:val="0"/>
        <w:ind w:firstLine="1040"/>
        <w:rPr>
          <w:rFonts w:ascii="Times New Roman" w:hAnsi="Times New Roman" w:eastAsia="宋体"/>
          <w:sz w:val="36"/>
          <w:szCs w:val="36"/>
          <w:u w:val="single"/>
        </w:rPr>
      </w:pPr>
    </w:p>
    <w:p>
      <w:pPr>
        <w:adjustRightInd w:val="0"/>
        <w:snapToGrid w:val="0"/>
        <w:ind w:firstLine="1040"/>
        <w:rPr>
          <w:rFonts w:ascii="Times New Roman" w:hAnsi="Times New Roman" w:eastAsia="宋体"/>
          <w:sz w:val="36"/>
          <w:szCs w:val="36"/>
        </w:rPr>
      </w:pPr>
    </w:p>
    <w:p>
      <w:pPr>
        <w:adjustRightInd w:val="0"/>
        <w:snapToGrid w:val="0"/>
        <w:rPr>
          <w:rFonts w:ascii="Times New Roman" w:hAnsi="Times New Roman" w:eastAsia="宋体"/>
          <w:sz w:val="36"/>
          <w:szCs w:val="36"/>
        </w:rPr>
      </w:pPr>
    </w:p>
    <w:p>
      <w:pPr>
        <w:adjustRightInd w:val="0"/>
        <w:snapToGrid w:val="0"/>
        <w:rPr>
          <w:rFonts w:ascii="Times New Roman" w:hAnsi="Times New Roman" w:eastAsia="宋体"/>
          <w:sz w:val="36"/>
          <w:szCs w:val="36"/>
        </w:rPr>
      </w:pPr>
    </w:p>
    <w:p>
      <w:pPr>
        <w:pStyle w:val="4"/>
        <w:rPr>
          <w:rFonts w:ascii="Times New Roman" w:hAnsi="Times New Roman" w:eastAsia="宋体"/>
        </w:rPr>
      </w:pPr>
    </w:p>
    <w:p>
      <w:pPr>
        <w:adjustRightInd w:val="0"/>
        <w:snapToGrid w:val="0"/>
        <w:rPr>
          <w:rFonts w:ascii="Times New Roman" w:hAnsi="Times New Roman" w:eastAsia="宋体"/>
          <w:sz w:val="36"/>
          <w:szCs w:val="36"/>
        </w:rPr>
      </w:pPr>
    </w:p>
    <w:p>
      <w:pPr>
        <w:adjustRightInd w:val="0"/>
        <w:snapToGrid w:val="0"/>
        <w:spacing w:line="288" w:lineRule="auto"/>
        <w:jc w:val="center"/>
        <w:rPr>
          <w:rFonts w:ascii="Times New Roman" w:hAnsi="Times New Roman" w:eastAsia="宋体"/>
          <w:b/>
          <w:bCs/>
          <w:sz w:val="28"/>
          <w:szCs w:val="28"/>
        </w:rPr>
        <w:sectPr>
          <w:pgSz w:w="11906" w:h="16838"/>
          <w:pgMar w:top="1418" w:right="1304" w:bottom="1418" w:left="1304" w:header="851" w:footer="992" w:gutter="0"/>
          <w:pgNumType w:start="1"/>
          <w:cols w:space="720" w:num="1"/>
          <w:docGrid w:linePitch="319" w:charSpace="0"/>
        </w:sectPr>
      </w:pPr>
      <w:r>
        <w:rPr>
          <w:rFonts w:hint="eastAsia" w:ascii="Times New Roman" w:hAnsi="Times New Roman" w:eastAsia="宋体"/>
          <w:b/>
          <w:bCs/>
          <w:sz w:val="28"/>
          <w:szCs w:val="28"/>
        </w:rPr>
        <w:t>中华人民共和国生态环境部制</w:t>
      </w:r>
    </w:p>
    <w:p>
      <w:pPr>
        <w:adjustRightInd w:val="0"/>
        <w:snapToGrid w:val="0"/>
        <w:spacing w:line="288" w:lineRule="auto"/>
        <w:ind w:firstLine="1040"/>
        <w:rPr>
          <w:rFonts w:ascii="Times New Roman" w:hAnsi="Times New Roman" w:eastAsia="宋体"/>
          <w:sz w:val="36"/>
          <w:szCs w:val="36"/>
        </w:rPr>
        <w:sectPr>
          <w:footerReference r:id="rId3" w:type="default"/>
          <w:footerReference r:id="rId4" w:type="even"/>
          <w:pgSz w:w="11906" w:h="16838"/>
          <w:pgMar w:top="1701" w:right="1531" w:bottom="1701" w:left="1531" w:header="851" w:footer="1077" w:gutter="0"/>
          <w:pgNumType w:start="3"/>
          <w:cols w:space="720" w:num="1"/>
          <w:docGrid w:linePitch="312" w:charSpace="0"/>
        </w:sectPr>
      </w:pPr>
    </w:p>
    <w:p>
      <w:pPr>
        <w:pStyle w:val="21"/>
        <w:rPr>
          <w:color w:val="auto"/>
        </w:rPr>
      </w:pPr>
      <w:r>
        <w:rPr>
          <w:rFonts w:hint="eastAsia"/>
          <w:color w:val="auto"/>
        </w:rPr>
        <w:t>一、建设项目基本情况</w:t>
      </w:r>
      <w:bookmarkEnd w:id="0"/>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2340"/>
        <w:gridCol w:w="1843"/>
        <w:gridCol w:w="2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建设项目名称</w:t>
            </w:r>
          </w:p>
        </w:tc>
        <w:tc>
          <w:tcPr>
            <w:tcW w:w="7159" w:type="dxa"/>
            <w:gridSpan w:val="3"/>
            <w:tcMar>
              <w:left w:w="57" w:type="dxa"/>
              <w:right w:w="57" w:type="dxa"/>
            </w:tcMar>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陕西永泰立科技有限公司机械加工及表面处理生产线项目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bCs/>
                <w:sz w:val="24"/>
                <w:szCs w:val="24"/>
              </w:rPr>
            </w:pPr>
            <w:r>
              <w:rPr>
                <w:rFonts w:ascii="Times New Roman" w:hAnsi="Times New Roman" w:eastAsia="宋体"/>
                <w:bCs/>
                <w:sz w:val="24"/>
                <w:szCs w:val="24"/>
              </w:rPr>
              <w:t>项目代码</w:t>
            </w:r>
          </w:p>
        </w:tc>
        <w:tc>
          <w:tcPr>
            <w:tcW w:w="7159" w:type="dxa"/>
            <w:gridSpan w:val="3"/>
            <w:tcMar>
              <w:left w:w="57" w:type="dxa"/>
              <w:right w:w="57" w:type="dxa"/>
            </w:tcMar>
            <w:vAlign w:val="center"/>
          </w:tcPr>
          <w:p>
            <w:pPr>
              <w:jc w:val="center"/>
              <w:rPr>
                <w:rFonts w:ascii="Times New Roman" w:hAnsi="Times New Roman" w:eastAsia="宋体"/>
                <w:bCs/>
                <w:sz w:val="24"/>
                <w:szCs w:val="24"/>
              </w:rPr>
            </w:pPr>
            <w:r>
              <w:rPr>
                <w:rFonts w:ascii="Times New Roman" w:hAnsi="Times New Roman" w:eastAsia="宋体"/>
                <w:bCs/>
                <w:sz w:val="24"/>
                <w:szCs w:val="24"/>
              </w:rPr>
              <w:t>2401-610122-04-01-577674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sz w:val="24"/>
              </w:rPr>
              <w:t>建设单位联系人</w:t>
            </w:r>
          </w:p>
        </w:tc>
        <w:tc>
          <w:tcPr>
            <w:tcW w:w="2340" w:type="dxa"/>
            <w:tcMar>
              <w:left w:w="57" w:type="dxa"/>
              <w:right w:w="57" w:type="dxa"/>
            </w:tcMar>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李伟</w:t>
            </w:r>
          </w:p>
        </w:tc>
        <w:tc>
          <w:tcPr>
            <w:tcW w:w="1843" w:type="dxa"/>
            <w:tcMar>
              <w:left w:w="57" w:type="dxa"/>
              <w:right w:w="57" w:type="dxa"/>
            </w:tcMar>
            <w:vAlign w:val="center"/>
          </w:tcPr>
          <w:p>
            <w:pPr>
              <w:jc w:val="center"/>
              <w:rPr>
                <w:rFonts w:ascii="Times New Roman" w:hAnsi="Times New Roman" w:eastAsia="宋体" w:cs="Times New Roman"/>
                <w:sz w:val="24"/>
                <w:szCs w:val="24"/>
              </w:rPr>
            </w:pPr>
            <w:r>
              <w:rPr>
                <w:rFonts w:hint="eastAsia" w:ascii="Times New Roman" w:hAnsi="Times New Roman" w:eastAsia="宋体"/>
                <w:sz w:val="24"/>
              </w:rPr>
              <w:t>联系方式</w:t>
            </w:r>
          </w:p>
        </w:tc>
        <w:tc>
          <w:tcPr>
            <w:tcW w:w="2976" w:type="dxa"/>
            <w:tcMar>
              <w:left w:w="57" w:type="dxa"/>
              <w:right w:w="57" w:type="dxa"/>
            </w:tcMar>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186</w:t>
            </w:r>
            <w:r>
              <w:rPr>
                <w:rFonts w:hint="eastAsia" w:ascii="Times New Roman" w:hAnsi="Times New Roman" w:eastAsia="宋体" w:cs="Times New Roman"/>
                <w:sz w:val="24"/>
                <w:szCs w:val="24"/>
                <w:lang w:val="en-US" w:eastAsia="zh-CN"/>
              </w:rPr>
              <w:t>****</w:t>
            </w:r>
            <w:bookmarkStart w:id="35" w:name="_GoBack"/>
            <w:bookmarkEnd w:id="35"/>
            <w:r>
              <w:rPr>
                <w:rFonts w:ascii="Times New Roman" w:hAnsi="Times New Roman" w:eastAsia="宋体" w:cs="Times New Roman"/>
                <w:sz w:val="24"/>
                <w:szCs w:val="24"/>
              </w:rPr>
              <w:t>5626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建设地点</w:t>
            </w:r>
          </w:p>
        </w:tc>
        <w:tc>
          <w:tcPr>
            <w:tcW w:w="7159" w:type="dxa"/>
            <w:gridSpan w:val="3"/>
            <w:tcMar>
              <w:left w:w="57" w:type="dxa"/>
              <w:right w:w="57" w:type="dxa"/>
            </w:tcMar>
            <w:vAlign w:val="center"/>
          </w:tcPr>
          <w:p>
            <w:pPr>
              <w:jc w:val="center"/>
              <w:rPr>
                <w:rFonts w:ascii="Times New Roman" w:hAnsi="Times New Roman" w:eastAsia="宋体"/>
              </w:rPr>
            </w:pPr>
            <w:r>
              <w:rPr>
                <w:rFonts w:hint="eastAsia" w:ascii="Times New Roman" w:hAnsi="Times New Roman" w:eastAsia="宋体" w:cs="Times New Roman"/>
                <w:sz w:val="24"/>
                <w:szCs w:val="24"/>
              </w:rPr>
              <w:t>陕西省西安市蓝田县规划一路1号三元科技创新园B29栋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地理坐标</w:t>
            </w:r>
          </w:p>
        </w:tc>
        <w:tc>
          <w:tcPr>
            <w:tcW w:w="7159" w:type="dxa"/>
            <w:gridSpan w:val="3"/>
            <w:tcMar>
              <w:left w:w="57" w:type="dxa"/>
              <w:right w:w="57" w:type="dxa"/>
            </w:tcMar>
            <w:vAlign w:val="center"/>
          </w:tcPr>
          <w:p>
            <w:pPr>
              <w:widowControl/>
              <w:adjustRightInd w:val="0"/>
              <w:snapToGrid w:val="0"/>
              <w:jc w:val="center"/>
              <w:rPr>
                <w:rFonts w:ascii="Times New Roman" w:hAnsi="Times New Roman" w:eastAsia="宋体" w:cs="Times New Roman"/>
                <w:sz w:val="24"/>
                <w:szCs w:val="24"/>
              </w:rPr>
            </w:pPr>
            <w:r>
              <w:rPr>
                <w:rFonts w:ascii="Times New Roman" w:hAnsi="Times New Roman" w:eastAsia="宋体"/>
                <w:sz w:val="24"/>
                <w:u w:val="single"/>
              </w:rPr>
              <w:t>1</w:t>
            </w:r>
            <w:r>
              <w:rPr>
                <w:rFonts w:hint="eastAsia" w:ascii="Times New Roman" w:hAnsi="Times New Roman" w:eastAsia="宋体"/>
                <w:sz w:val="24"/>
                <w:u w:val="single"/>
              </w:rPr>
              <w:t xml:space="preserve">09 </w:t>
            </w:r>
            <w:r>
              <w:rPr>
                <w:rFonts w:hint="eastAsia" w:ascii="Times New Roman" w:hAnsi="Times New Roman" w:eastAsia="宋体"/>
                <w:sz w:val="24"/>
              </w:rPr>
              <w:t>度</w:t>
            </w:r>
            <w:r>
              <w:rPr>
                <w:rFonts w:hint="eastAsia" w:ascii="Times New Roman" w:hAnsi="Times New Roman" w:eastAsia="宋体"/>
                <w:sz w:val="24"/>
                <w:u w:val="single"/>
              </w:rPr>
              <w:t xml:space="preserve"> </w:t>
            </w:r>
            <w:r>
              <w:rPr>
                <w:rFonts w:ascii="Times New Roman" w:hAnsi="Times New Roman" w:eastAsia="宋体"/>
                <w:sz w:val="24"/>
                <w:u w:val="single"/>
              </w:rPr>
              <w:t>16</w:t>
            </w:r>
            <w:r>
              <w:rPr>
                <w:rFonts w:hint="eastAsia" w:ascii="Times New Roman" w:hAnsi="Times New Roman" w:eastAsia="宋体"/>
                <w:sz w:val="24"/>
                <w:u w:val="single"/>
              </w:rPr>
              <w:t xml:space="preserve"> </w:t>
            </w:r>
            <w:r>
              <w:rPr>
                <w:rFonts w:hint="eastAsia" w:ascii="Times New Roman" w:hAnsi="Times New Roman" w:eastAsia="宋体"/>
                <w:sz w:val="24"/>
              </w:rPr>
              <w:t>分</w:t>
            </w:r>
            <w:r>
              <w:rPr>
                <w:rFonts w:hint="eastAsia" w:ascii="Times New Roman" w:hAnsi="Times New Roman" w:eastAsia="宋体"/>
                <w:sz w:val="24"/>
                <w:u w:val="single"/>
              </w:rPr>
              <w:t xml:space="preserve"> </w:t>
            </w:r>
            <w:r>
              <w:rPr>
                <w:rFonts w:ascii="Times New Roman" w:hAnsi="Times New Roman" w:eastAsia="宋体"/>
                <w:sz w:val="24"/>
                <w:u w:val="single"/>
              </w:rPr>
              <w:t>15.764</w:t>
            </w:r>
            <w:r>
              <w:rPr>
                <w:rFonts w:hint="eastAsia" w:ascii="Times New Roman" w:hAnsi="Times New Roman" w:eastAsia="宋体"/>
                <w:sz w:val="24"/>
                <w:u w:val="single"/>
              </w:rPr>
              <w:t xml:space="preserve"> </w:t>
            </w:r>
            <w:r>
              <w:rPr>
                <w:rFonts w:hint="eastAsia" w:ascii="Times New Roman" w:hAnsi="Times New Roman" w:eastAsia="宋体"/>
                <w:sz w:val="24"/>
              </w:rPr>
              <w:t>秒，</w:t>
            </w:r>
            <w:r>
              <w:rPr>
                <w:rFonts w:hint="eastAsia" w:ascii="Times New Roman" w:hAnsi="Times New Roman" w:eastAsia="宋体"/>
                <w:sz w:val="24"/>
                <w:u w:val="single"/>
              </w:rPr>
              <w:t xml:space="preserve"> 34 </w:t>
            </w:r>
            <w:r>
              <w:rPr>
                <w:rFonts w:hint="eastAsia" w:ascii="Times New Roman" w:hAnsi="Times New Roman" w:eastAsia="宋体"/>
                <w:sz w:val="24"/>
              </w:rPr>
              <w:t>度</w:t>
            </w:r>
            <w:r>
              <w:rPr>
                <w:rFonts w:hint="eastAsia" w:ascii="Times New Roman" w:hAnsi="Times New Roman" w:eastAsia="宋体"/>
                <w:sz w:val="24"/>
                <w:u w:val="single"/>
              </w:rPr>
              <w:t xml:space="preserve"> </w:t>
            </w:r>
            <w:r>
              <w:rPr>
                <w:rFonts w:ascii="Times New Roman" w:hAnsi="Times New Roman" w:eastAsia="宋体"/>
                <w:sz w:val="24"/>
                <w:u w:val="single"/>
              </w:rPr>
              <w:t>11</w:t>
            </w:r>
            <w:r>
              <w:rPr>
                <w:rFonts w:hint="eastAsia" w:ascii="Times New Roman" w:hAnsi="Times New Roman" w:eastAsia="宋体"/>
                <w:sz w:val="24"/>
                <w:u w:val="single"/>
              </w:rPr>
              <w:t xml:space="preserve"> </w:t>
            </w:r>
            <w:r>
              <w:rPr>
                <w:rFonts w:hint="eastAsia" w:ascii="Times New Roman" w:hAnsi="Times New Roman" w:eastAsia="宋体"/>
                <w:sz w:val="24"/>
              </w:rPr>
              <w:t>分</w:t>
            </w:r>
            <w:r>
              <w:rPr>
                <w:rFonts w:hint="eastAsia" w:ascii="Times New Roman" w:hAnsi="Times New Roman" w:eastAsia="宋体"/>
                <w:sz w:val="24"/>
                <w:u w:val="single"/>
              </w:rPr>
              <w:t xml:space="preserve"> </w:t>
            </w:r>
            <w:r>
              <w:rPr>
                <w:rFonts w:ascii="Times New Roman" w:hAnsi="Times New Roman" w:eastAsia="宋体"/>
                <w:sz w:val="24"/>
                <w:u w:val="single"/>
              </w:rPr>
              <w:t>59</w:t>
            </w:r>
            <w:r>
              <w:rPr>
                <w:rFonts w:hint="eastAsia" w:ascii="Times New Roman" w:hAnsi="Times New Roman" w:eastAsia="宋体"/>
                <w:sz w:val="24"/>
                <w:u w:val="single"/>
              </w:rPr>
              <w:t>.2</w:t>
            </w:r>
            <w:r>
              <w:rPr>
                <w:rFonts w:ascii="Times New Roman" w:hAnsi="Times New Roman" w:eastAsia="宋体"/>
                <w:sz w:val="24"/>
                <w:u w:val="single"/>
              </w:rPr>
              <w:t>62</w:t>
            </w:r>
            <w:r>
              <w:rPr>
                <w:rFonts w:hint="eastAsia" w:ascii="Times New Roman" w:hAnsi="Times New Roman" w:eastAsia="宋体"/>
                <w:sz w:val="24"/>
                <w:u w:val="single"/>
              </w:rPr>
              <w:t xml:space="preserve"> </w:t>
            </w:r>
            <w:r>
              <w:rPr>
                <w:rFonts w:hint="eastAsia" w:ascii="Times New Roman" w:hAnsi="Times New Roman" w:eastAsia="宋体"/>
                <w:sz w:val="24"/>
              </w:rPr>
              <w:t>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国民经济</w:t>
            </w:r>
          </w:p>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行业类别</w:t>
            </w:r>
          </w:p>
        </w:tc>
        <w:tc>
          <w:tcPr>
            <w:tcW w:w="2340" w:type="dxa"/>
            <w:tcMar>
              <w:left w:w="57" w:type="dxa"/>
              <w:right w:w="57" w:type="dxa"/>
            </w:tcMar>
            <w:vAlign w:val="center"/>
          </w:tcPr>
          <w:p>
            <w:pPr>
              <w:widowControl/>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C374</w:t>
            </w:r>
            <w:r>
              <w:rPr>
                <w:rFonts w:hint="eastAsia" w:ascii="Times New Roman" w:hAnsi="Times New Roman" w:eastAsia="宋体" w:cs="Times New Roman"/>
                <w:kern w:val="0"/>
                <w:sz w:val="24"/>
                <w:szCs w:val="24"/>
              </w:rPr>
              <w:t>航空、航天器及设备制造</w:t>
            </w:r>
          </w:p>
        </w:tc>
        <w:tc>
          <w:tcPr>
            <w:tcW w:w="1843" w:type="dxa"/>
            <w:tcMar>
              <w:left w:w="57" w:type="dxa"/>
              <w:right w:w="57" w:type="dxa"/>
            </w:tcMar>
            <w:vAlign w:val="center"/>
          </w:tcPr>
          <w:p>
            <w:pPr>
              <w:widowControl/>
              <w:adjustRightInd w:val="0"/>
              <w:snapToGrid w:val="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建设项目行业类别</w:t>
            </w:r>
          </w:p>
        </w:tc>
        <w:tc>
          <w:tcPr>
            <w:tcW w:w="2976" w:type="dxa"/>
            <w:tcMar>
              <w:left w:w="57" w:type="dxa"/>
              <w:right w:w="57" w:type="dxa"/>
            </w:tcMar>
            <w:vAlign w:val="center"/>
          </w:tcPr>
          <w:p>
            <w:pPr>
              <w:widowControl/>
              <w:adjustRightInd w:val="0"/>
              <w:snapToGrid w:val="0"/>
              <w:rPr>
                <w:rFonts w:ascii="Times New Roman" w:hAnsi="Times New Roman" w:eastAsia="宋体" w:cs="Times New Roman"/>
                <w:kern w:val="0"/>
                <w:sz w:val="24"/>
                <w:szCs w:val="24"/>
              </w:rPr>
            </w:pPr>
            <w:r>
              <w:rPr>
                <w:rFonts w:hint="eastAsia" w:ascii="Times New Roman" w:hAnsi="Times New Roman" w:eastAsia="宋体"/>
                <w:sz w:val="24"/>
              </w:rPr>
              <w:t>三十四、</w:t>
            </w:r>
            <w:r>
              <w:rPr>
                <w:rFonts w:ascii="Times New Roman" w:hAnsi="Times New Roman" w:eastAsia="宋体"/>
                <w:sz w:val="24"/>
              </w:rPr>
              <w:t>铁路、船舶、航空航天和其他运输设备制造业37</w:t>
            </w:r>
            <w:r>
              <w:rPr>
                <w:rFonts w:hint="eastAsia" w:ascii="Times New Roman" w:hAnsi="Times New Roman" w:eastAsia="宋体"/>
                <w:sz w:val="24"/>
              </w:rPr>
              <w:t>，</w:t>
            </w:r>
            <w:r>
              <w:rPr>
                <w:rFonts w:ascii="Times New Roman" w:hAnsi="Times New Roman" w:eastAsia="宋体"/>
                <w:sz w:val="24"/>
              </w:rPr>
              <w:t>74.航空、航天器及设备制造374</w:t>
            </w:r>
            <w:r>
              <w:rPr>
                <w:rFonts w:hint="eastAsia" w:ascii="Times New Roman" w:hAnsi="Times New Roman" w:eastAsia="宋体"/>
                <w:sz w:val="24"/>
              </w:rPr>
              <w:t>，</w:t>
            </w:r>
            <w:r>
              <w:rPr>
                <w:rFonts w:ascii="Times New Roman" w:hAnsi="Times New Roman" w:eastAsia="宋体"/>
                <w:sz w:val="24"/>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建设性质</w:t>
            </w:r>
          </w:p>
        </w:tc>
        <w:tc>
          <w:tcPr>
            <w:tcW w:w="2340" w:type="dxa"/>
            <w:tcMar>
              <w:left w:w="57" w:type="dxa"/>
              <w:right w:w="57" w:type="dxa"/>
            </w:tcMar>
            <w:vAlign w:val="center"/>
          </w:tcPr>
          <w:p>
            <w:pPr>
              <w:rPr>
                <w:rFonts w:ascii="Times New Roman" w:hAnsi="Times New Roman" w:eastAsia="宋体"/>
                <w:sz w:val="24"/>
              </w:rPr>
            </w:pPr>
            <w:r>
              <w:rPr>
                <w:rFonts w:ascii="Times New Roman" w:hAnsi="Times New Roman" w:eastAsia="宋体"/>
                <w:sz w:val="24"/>
              </w:rPr>
              <w:sym w:font="Wingdings 2" w:char="0052"/>
            </w:r>
            <w:r>
              <w:rPr>
                <w:rFonts w:hint="eastAsia" w:ascii="Times New Roman" w:hAnsi="Times New Roman" w:eastAsia="宋体"/>
                <w:sz w:val="24"/>
              </w:rPr>
              <w:t>新建（迁建）</w:t>
            </w:r>
          </w:p>
          <w:p>
            <w:pPr>
              <w:rPr>
                <w:rFonts w:ascii="Times New Roman" w:hAnsi="Times New Roman" w:eastAsia="宋体"/>
                <w:sz w:val="24"/>
              </w:rPr>
            </w:pPr>
            <w:r>
              <w:rPr>
                <w:rFonts w:ascii="Times New Roman" w:hAnsi="Times New Roman" w:eastAsia="宋体"/>
                <w:sz w:val="24"/>
              </w:rPr>
              <w:sym w:font="Wingdings 2" w:char="00A3"/>
            </w:r>
            <w:r>
              <w:rPr>
                <w:rFonts w:hint="eastAsia" w:ascii="Times New Roman" w:hAnsi="Times New Roman" w:eastAsia="宋体"/>
                <w:sz w:val="24"/>
              </w:rPr>
              <w:t>改建</w:t>
            </w:r>
          </w:p>
          <w:p>
            <w:pPr>
              <w:rPr>
                <w:rFonts w:ascii="Times New Roman" w:hAnsi="Times New Roman" w:eastAsia="宋体"/>
                <w:sz w:val="24"/>
              </w:rPr>
            </w:pPr>
            <w:r>
              <w:rPr>
                <w:rFonts w:ascii="Times New Roman" w:hAnsi="Times New Roman" w:eastAsia="宋体"/>
                <w:sz w:val="24"/>
              </w:rPr>
              <w:sym w:font="Wingdings 2" w:char="00A3"/>
            </w:r>
            <w:r>
              <w:rPr>
                <w:rFonts w:hint="eastAsia" w:ascii="Times New Roman" w:hAnsi="Times New Roman" w:eastAsia="宋体"/>
                <w:sz w:val="24"/>
              </w:rPr>
              <w:t>扩建</w:t>
            </w:r>
          </w:p>
          <w:p>
            <w:pPr>
              <w:adjustRightInd w:val="0"/>
              <w:snapToGrid w:val="0"/>
              <w:rPr>
                <w:rFonts w:ascii="Times New Roman" w:hAnsi="Times New Roman" w:eastAsia="宋体" w:cs="Times New Roman"/>
                <w:sz w:val="24"/>
                <w:szCs w:val="24"/>
              </w:rPr>
            </w:pPr>
            <w:r>
              <w:rPr>
                <w:rFonts w:ascii="Times New Roman" w:hAnsi="Times New Roman" w:eastAsia="宋体"/>
                <w:sz w:val="24"/>
              </w:rPr>
              <w:sym w:font="Wingdings 2" w:char="00A3"/>
            </w:r>
            <w:r>
              <w:rPr>
                <w:rFonts w:hint="eastAsia" w:ascii="Times New Roman" w:hAnsi="Times New Roman" w:eastAsia="宋体"/>
                <w:sz w:val="24"/>
              </w:rPr>
              <w:t>技术改造</w:t>
            </w:r>
          </w:p>
        </w:tc>
        <w:tc>
          <w:tcPr>
            <w:tcW w:w="1843"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建设项目</w:t>
            </w:r>
          </w:p>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申报情形</w:t>
            </w:r>
          </w:p>
        </w:tc>
        <w:tc>
          <w:tcPr>
            <w:tcW w:w="2976" w:type="dxa"/>
            <w:tcMar>
              <w:left w:w="57" w:type="dxa"/>
              <w:right w:w="57" w:type="dxa"/>
            </w:tcMar>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sym w:font="Wingdings" w:char="F0FE"/>
            </w:r>
            <w:r>
              <w:rPr>
                <w:rFonts w:hint="eastAsia" w:ascii="Times New Roman" w:hAnsi="Times New Roman" w:eastAsia="宋体" w:cs="Times New Roman"/>
                <w:kern w:val="0"/>
                <w:sz w:val="24"/>
                <w:szCs w:val="24"/>
              </w:rPr>
              <w:t>首次申报项目</w:t>
            </w:r>
          </w:p>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sym w:font="Wingdings" w:char="00A8"/>
            </w:r>
            <w:r>
              <w:rPr>
                <w:rFonts w:hint="eastAsia" w:ascii="Times New Roman" w:hAnsi="Times New Roman" w:eastAsia="宋体" w:cs="Times New Roman"/>
                <w:kern w:val="0"/>
                <w:sz w:val="24"/>
                <w:szCs w:val="24"/>
              </w:rPr>
              <w:t>不予批准后再次申报项目</w:t>
            </w:r>
          </w:p>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sym w:font="Wingdings" w:char="00A8"/>
            </w:r>
            <w:r>
              <w:rPr>
                <w:rFonts w:hint="eastAsia" w:ascii="Times New Roman" w:hAnsi="Times New Roman" w:eastAsia="宋体" w:cs="Times New Roman"/>
                <w:kern w:val="0"/>
                <w:sz w:val="24"/>
                <w:szCs w:val="24"/>
              </w:rPr>
              <w:t>超五年重新审核项目</w:t>
            </w:r>
          </w:p>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sym w:font="Wingdings" w:char="00A8"/>
            </w:r>
            <w:r>
              <w:rPr>
                <w:rFonts w:hint="eastAsia" w:ascii="Times New Roman" w:hAnsi="Times New Roman" w:eastAsia="宋体" w:cs="Times New Roman"/>
                <w:kern w:val="0"/>
                <w:sz w:val="24"/>
                <w:szCs w:val="24"/>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项目审批（核准/备案）部门</w:t>
            </w:r>
          </w:p>
        </w:tc>
        <w:tc>
          <w:tcPr>
            <w:tcW w:w="2340" w:type="dxa"/>
            <w:tcMar>
              <w:left w:w="57" w:type="dxa"/>
              <w:right w:w="57" w:type="dxa"/>
            </w:tcMar>
            <w:vAlign w:val="center"/>
          </w:tcPr>
          <w:p>
            <w:pPr>
              <w:widowControl/>
              <w:adjustRightInd w:val="0"/>
              <w:snapToGrid w:val="0"/>
              <w:jc w:val="center"/>
              <w:rPr>
                <w:rFonts w:ascii="Times New Roman" w:hAnsi="Times New Roman" w:eastAsia="宋体" w:cs="Times New Roman"/>
                <w:sz w:val="24"/>
                <w:szCs w:val="24"/>
              </w:rPr>
            </w:pPr>
            <w:r>
              <w:rPr>
                <w:rFonts w:hint="eastAsia" w:ascii="Times New Roman" w:hAnsi="Times New Roman" w:eastAsia="宋体"/>
                <w:sz w:val="24"/>
              </w:rPr>
              <w:t>蓝田县发展和改革委员会</w:t>
            </w:r>
          </w:p>
        </w:tc>
        <w:tc>
          <w:tcPr>
            <w:tcW w:w="1843" w:type="dxa"/>
            <w:tcMar>
              <w:left w:w="57" w:type="dxa"/>
              <w:right w:w="57" w:type="dxa"/>
            </w:tcMar>
            <w:vAlign w:val="center"/>
          </w:tcPr>
          <w:p>
            <w:pPr>
              <w:adjustRightInd w:val="0"/>
              <w:snapToGrid w:val="0"/>
              <w:rPr>
                <w:rFonts w:ascii="Times New Roman" w:hAnsi="Times New Roman" w:eastAsia="宋体" w:cs="Times New Roman"/>
                <w:sz w:val="24"/>
                <w:szCs w:val="24"/>
              </w:rPr>
            </w:pPr>
            <w:r>
              <w:rPr>
                <w:rFonts w:hint="eastAsia" w:ascii="Times New Roman" w:hAnsi="Times New Roman" w:eastAsia="宋体"/>
                <w:sz w:val="24"/>
              </w:rPr>
              <w:t>项目审批（核准/备案）文号（选填）</w:t>
            </w:r>
          </w:p>
        </w:tc>
        <w:tc>
          <w:tcPr>
            <w:tcW w:w="2976"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总投资（万元）</w:t>
            </w:r>
          </w:p>
        </w:tc>
        <w:tc>
          <w:tcPr>
            <w:tcW w:w="2340" w:type="dxa"/>
            <w:tcMar>
              <w:left w:w="57" w:type="dxa"/>
              <w:right w:w="57" w:type="dxa"/>
            </w:tcMar>
            <w:vAlign w:val="center"/>
          </w:tcPr>
          <w:p>
            <w:pPr>
              <w:widowControl/>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2000</w:t>
            </w:r>
          </w:p>
        </w:tc>
        <w:tc>
          <w:tcPr>
            <w:tcW w:w="1843"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环保投资（万元）</w:t>
            </w:r>
          </w:p>
        </w:tc>
        <w:tc>
          <w:tcPr>
            <w:tcW w:w="2976"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51.5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环保投资占比（%）</w:t>
            </w:r>
          </w:p>
        </w:tc>
        <w:tc>
          <w:tcPr>
            <w:tcW w:w="2340"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2.6</w:t>
            </w:r>
          </w:p>
        </w:tc>
        <w:tc>
          <w:tcPr>
            <w:tcW w:w="1843"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施工工期</w:t>
            </w:r>
          </w:p>
        </w:tc>
        <w:tc>
          <w:tcPr>
            <w:tcW w:w="2976" w:type="dxa"/>
            <w:tcMar>
              <w:left w:w="57" w:type="dxa"/>
              <w:right w:w="57" w:type="dxa"/>
            </w:tcMar>
            <w:vAlign w:val="center"/>
          </w:tcPr>
          <w:p>
            <w:pPr>
              <w:widowControl/>
              <w:adjustRightInd w:val="0"/>
              <w:snapToGrid w:val="0"/>
              <w:jc w:val="center"/>
              <w:rPr>
                <w:rFonts w:ascii="Times New Roman" w:hAnsi="Times New Roman" w:eastAsia="宋体" w:cs="Times New Roman"/>
                <w:sz w:val="24"/>
                <w:szCs w:val="24"/>
              </w:rPr>
            </w:pPr>
            <w:r>
              <w:rPr>
                <w:rFonts w:ascii="Times New Roman" w:hAnsi="Times New Roman" w:eastAsia="宋体"/>
                <w:sz w:val="24"/>
              </w:rPr>
              <w:t>3</w:t>
            </w:r>
            <w:r>
              <w:rPr>
                <w:rFonts w:hint="eastAsia" w:ascii="Times New Roman" w:hAnsi="Times New Roman" w:eastAsia="宋体"/>
                <w:sz w:val="24"/>
              </w:rPr>
              <w:t>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是否开工建设</w:t>
            </w:r>
          </w:p>
        </w:tc>
        <w:tc>
          <w:tcPr>
            <w:tcW w:w="2340" w:type="dxa"/>
            <w:tcMar>
              <w:left w:w="57" w:type="dxa"/>
              <w:right w:w="57" w:type="dxa"/>
            </w:tcMar>
            <w:vAlign w:val="center"/>
          </w:tcPr>
          <w:p>
            <w:pPr>
              <w:adjustRightInd w:val="0"/>
              <w:snapToGrid w:val="0"/>
              <w:rPr>
                <w:rFonts w:ascii="Times New Roman" w:hAnsi="Times New Roman" w:eastAsia="宋体" w:cs="Times New Roman"/>
                <w:sz w:val="24"/>
                <w:szCs w:val="24"/>
              </w:rPr>
            </w:pPr>
            <w:r>
              <w:rPr>
                <w:rFonts w:ascii="Times New Roman" w:hAnsi="Times New Roman" w:eastAsia="宋体" w:cs="Times New Roman"/>
                <w:sz w:val="24"/>
                <w:szCs w:val="24"/>
              </w:rPr>
              <w:sym w:font="Wingdings" w:char="F0FE"/>
            </w:r>
            <w:r>
              <w:rPr>
                <w:rFonts w:hint="eastAsia" w:ascii="Times New Roman" w:hAnsi="Times New Roman" w:eastAsia="宋体" w:cs="Times New Roman"/>
                <w:sz w:val="24"/>
                <w:szCs w:val="24"/>
              </w:rPr>
              <w:t>否</w:t>
            </w:r>
          </w:p>
          <w:p>
            <w:pPr>
              <w:adjustRightInd w:val="0"/>
              <w:snapToGrid w:val="0"/>
              <w:rPr>
                <w:rFonts w:ascii="Times New Roman" w:hAnsi="Times New Roman" w:eastAsia="宋体" w:cs="Times New Roman"/>
                <w:sz w:val="24"/>
                <w:szCs w:val="24"/>
              </w:rPr>
            </w:pPr>
            <w:r>
              <w:rPr>
                <w:rFonts w:ascii="Times New Roman" w:hAnsi="Times New Roman" w:eastAsia="宋体" w:cs="Times New Roman"/>
                <w:sz w:val="24"/>
                <w:szCs w:val="24"/>
              </w:rPr>
              <w:sym w:font="Wingdings" w:char="F06F"/>
            </w:r>
            <w:r>
              <w:rPr>
                <w:rFonts w:hint="eastAsia" w:ascii="Times New Roman" w:hAnsi="Times New Roman" w:eastAsia="宋体" w:cs="Times New Roman"/>
                <w:sz w:val="24"/>
                <w:szCs w:val="24"/>
              </w:rPr>
              <w:t>是</w:t>
            </w:r>
          </w:p>
        </w:tc>
        <w:tc>
          <w:tcPr>
            <w:tcW w:w="1843"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用地（用海）面积（m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p>
        </w:tc>
        <w:tc>
          <w:tcPr>
            <w:tcW w:w="2976" w:type="dxa"/>
            <w:tcMar>
              <w:left w:w="57" w:type="dxa"/>
              <w:right w:w="57" w:type="dxa"/>
            </w:tcMar>
            <w:vAlign w:val="center"/>
          </w:tcPr>
          <w:p>
            <w:pPr>
              <w:widowControl/>
              <w:adjustRightInd w:val="0"/>
              <w:snapToGrid w:val="0"/>
              <w:jc w:val="center"/>
              <w:rPr>
                <w:rFonts w:ascii="Times New Roman" w:hAnsi="Times New Roman" w:eastAsia="宋体" w:cs="Times New Roman"/>
                <w:sz w:val="24"/>
                <w:szCs w:val="24"/>
              </w:rPr>
            </w:pPr>
            <w:r>
              <w:rPr>
                <w:rFonts w:ascii="Times New Roman" w:hAnsi="Times New Roman" w:eastAsia="宋体"/>
                <w:sz w:val="24"/>
              </w:rPr>
              <w:t>1970</w:t>
            </w:r>
            <w:r>
              <w:rPr>
                <w:rFonts w:hint="eastAsia" w:ascii="Times New Roman" w:hAnsi="Times New Roman" w:eastAsia="宋体"/>
                <w:sz w:val="24"/>
              </w:rPr>
              <w:t>m</w:t>
            </w:r>
            <w:r>
              <w:rPr>
                <w:rFonts w:ascii="Times New Roman" w:hAnsi="Times New Roman" w:eastAsia="宋体"/>
                <w:sz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专项评价设置情况</w:t>
            </w:r>
          </w:p>
        </w:tc>
        <w:tc>
          <w:tcPr>
            <w:tcW w:w="7159" w:type="dxa"/>
            <w:gridSpan w:val="3"/>
            <w:tcMar>
              <w:left w:w="57" w:type="dxa"/>
              <w:right w:w="57" w:type="dxa"/>
            </w:tcMar>
            <w:vAlign w:val="center"/>
          </w:tcPr>
          <w:p>
            <w:pPr>
              <w:widowControl/>
              <w:adjustRightInd w:val="0"/>
              <w:snapToGrid w:val="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设置环保绩效管理篇章。</w:t>
            </w:r>
          </w:p>
          <w:p>
            <w:pPr>
              <w:widowControl/>
              <w:adjustRightInd w:val="0"/>
              <w:snapToGrid w:val="0"/>
              <w:rPr>
                <w:rFonts w:ascii="Times New Roman" w:hAnsi="Times New Roman" w:eastAsia="宋体" w:cs="Times New Roman"/>
                <w:sz w:val="24"/>
                <w:szCs w:val="24"/>
              </w:rPr>
            </w:pPr>
            <w:r>
              <w:rPr>
                <w:rFonts w:ascii="Times New Roman" w:hAnsi="Times New Roman" w:eastAsia="宋体" w:cs="Times New Roman"/>
                <w:kern w:val="0"/>
                <w:sz w:val="24"/>
                <w:szCs w:val="24"/>
              </w:rPr>
              <w:t>根据《陕西省生态环境厅关于进一步加强关中地区涉气重点行业项目环评管理的通知》（陕环环评函【2023】76号），关中地区涉气重点行业新、改、扩建项目环境影响报告书（表）应编制环保绩效管理篇章，</w:t>
            </w:r>
            <w:r>
              <w:rPr>
                <w:rFonts w:hint="eastAsia" w:ascii="Times New Roman" w:hAnsi="Times New Roman" w:eastAsia="宋体" w:cs="Times New Roman"/>
                <w:kern w:val="0"/>
                <w:sz w:val="24"/>
                <w:szCs w:val="24"/>
              </w:rPr>
              <w:t>本项目属于三十九、工业涂装，位于蓝田县，执行环保绩效</w:t>
            </w:r>
            <w:r>
              <w:rPr>
                <w:rFonts w:ascii="Times New Roman" w:hAnsi="Times New Roman" w:eastAsia="宋体" w:cs="Times New Roman"/>
                <w:kern w:val="0"/>
                <w:sz w:val="24"/>
                <w:szCs w:val="24"/>
              </w:rPr>
              <w:t>B</w:t>
            </w:r>
            <w:r>
              <w:rPr>
                <w:rFonts w:hint="eastAsia" w:ascii="Times New Roman" w:hAnsi="Times New Roman" w:eastAsia="宋体" w:cs="Times New Roman"/>
                <w:kern w:val="0"/>
                <w:sz w:val="24"/>
                <w:szCs w:val="24"/>
              </w:rPr>
              <w:t>级指标，</w:t>
            </w:r>
            <w:r>
              <w:rPr>
                <w:rFonts w:ascii="Times New Roman" w:hAnsi="Times New Roman" w:eastAsia="宋体" w:cs="Times New Roman"/>
                <w:kern w:val="0"/>
                <w:sz w:val="24"/>
                <w:szCs w:val="24"/>
              </w:rPr>
              <w:t>具体见环保绩效管理篇章。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规划情况</w:t>
            </w:r>
          </w:p>
        </w:tc>
        <w:tc>
          <w:tcPr>
            <w:tcW w:w="7159" w:type="dxa"/>
            <w:gridSpan w:val="3"/>
            <w:tcMar>
              <w:left w:w="57" w:type="dxa"/>
              <w:right w:w="57" w:type="dxa"/>
            </w:tcMar>
            <w:vAlign w:val="center"/>
          </w:tcPr>
          <w:p>
            <w:pPr>
              <w:autoSpaceDE w:val="0"/>
              <w:autoSpaceDN w:val="0"/>
              <w:adjustRightInd w:val="0"/>
              <w:snapToGrid w:val="0"/>
              <w:rPr>
                <w:rFonts w:ascii="Times New Roman" w:hAnsi="Times New Roman" w:eastAsia="宋体"/>
                <w:sz w:val="24"/>
                <w:szCs w:val="24"/>
              </w:rPr>
            </w:pPr>
            <w:r>
              <w:rPr>
                <w:rFonts w:hint="eastAsia" w:ascii="Times New Roman" w:hAnsi="Times New Roman" w:eastAsia="宋体"/>
                <w:sz w:val="24"/>
                <w:szCs w:val="24"/>
              </w:rPr>
              <w:t>规划名称：《西安市蓝田工业园电商物流片区控制性详细规划》；</w:t>
            </w:r>
          </w:p>
          <w:p>
            <w:pPr>
              <w:pStyle w:val="25"/>
              <w:adjustRightInd w:val="0"/>
              <w:snapToGrid w:val="0"/>
              <w:ind w:firstLine="0" w:firstLineChars="0"/>
              <w:rPr>
                <w:rFonts w:ascii="Times New Roman" w:hAnsi="Times New Roman" w:eastAsia="宋体"/>
                <w:sz w:val="24"/>
                <w:szCs w:val="24"/>
              </w:rPr>
            </w:pPr>
            <w:r>
              <w:rPr>
                <w:rFonts w:hint="eastAsia" w:ascii="Times New Roman" w:hAnsi="Times New Roman" w:eastAsia="宋体"/>
                <w:sz w:val="24"/>
                <w:szCs w:val="24"/>
              </w:rPr>
              <w:t>审批机关：西安市蓝田县人民政府；</w:t>
            </w:r>
          </w:p>
          <w:p>
            <w:pPr>
              <w:widowControl/>
              <w:adjustRightInd w:val="0"/>
              <w:snapToGrid w:val="0"/>
              <w:rPr>
                <w:rFonts w:ascii="Times New Roman" w:hAnsi="Times New Roman" w:eastAsia="宋体" w:cs="Times New Roman"/>
                <w:sz w:val="24"/>
                <w:szCs w:val="24"/>
              </w:rPr>
            </w:pPr>
            <w:r>
              <w:rPr>
                <w:rFonts w:hint="eastAsia" w:ascii="Times New Roman" w:hAnsi="Times New Roman" w:eastAsia="宋体"/>
                <w:sz w:val="24"/>
                <w:szCs w:val="24"/>
              </w:rPr>
              <w:t>规划审批日期：</w:t>
            </w:r>
            <w:r>
              <w:rPr>
                <w:rFonts w:ascii="Times New Roman" w:hAnsi="Times New Roman" w:eastAsia="宋体"/>
                <w:sz w:val="24"/>
                <w:szCs w:val="24"/>
              </w:rPr>
              <w:t>2021</w:t>
            </w:r>
            <w:r>
              <w:rPr>
                <w:rFonts w:hint="eastAsia" w:ascii="Times New Roman" w:hAnsi="Times New Roman" w:eastAsia="宋体"/>
                <w:sz w:val="24"/>
                <w:szCs w:val="24"/>
              </w:rPr>
              <w:t>年</w:t>
            </w:r>
            <w:r>
              <w:rPr>
                <w:rFonts w:ascii="Times New Roman" w:hAnsi="Times New Roman" w:eastAsia="宋体"/>
                <w:sz w:val="24"/>
                <w:szCs w:val="24"/>
              </w:rPr>
              <w:t>5</w:t>
            </w:r>
            <w:r>
              <w:rPr>
                <w:rFonts w:hint="eastAsia" w:ascii="Times New Roman" w:hAnsi="Times New Roman" w:eastAsia="宋体"/>
                <w:sz w:val="24"/>
                <w:szCs w:val="24"/>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1" w:type="dxa"/>
            <w:tcMar>
              <w:left w:w="57" w:type="dxa"/>
              <w:right w:w="57" w:type="dxa"/>
            </w:tcMar>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规划环境影响评价情况</w:t>
            </w:r>
          </w:p>
        </w:tc>
        <w:tc>
          <w:tcPr>
            <w:tcW w:w="7159" w:type="dxa"/>
            <w:gridSpan w:val="3"/>
            <w:tcMar>
              <w:left w:w="57" w:type="dxa"/>
              <w:right w:w="57" w:type="dxa"/>
            </w:tcMar>
            <w:vAlign w:val="center"/>
          </w:tcPr>
          <w:p>
            <w:pPr>
              <w:autoSpaceDE w:val="0"/>
              <w:autoSpaceDN w:val="0"/>
              <w:adjustRightInd w:val="0"/>
              <w:snapToGrid w:val="0"/>
              <w:rPr>
                <w:rFonts w:ascii="Times New Roman" w:hAnsi="Times New Roman" w:eastAsia="宋体"/>
                <w:kern w:val="0"/>
                <w:sz w:val="24"/>
                <w:szCs w:val="24"/>
              </w:rPr>
            </w:pPr>
            <w:r>
              <w:rPr>
                <w:rFonts w:hint="eastAsia" w:ascii="Times New Roman" w:hAnsi="Times New Roman" w:eastAsia="宋体"/>
                <w:kern w:val="0"/>
                <w:sz w:val="24"/>
                <w:szCs w:val="24"/>
              </w:rPr>
              <w:t>规划环评文件名称：《</w:t>
            </w:r>
            <w:r>
              <w:rPr>
                <w:rFonts w:hint="eastAsia" w:ascii="Times New Roman" w:hAnsi="Times New Roman" w:eastAsia="宋体"/>
                <w:sz w:val="24"/>
                <w:szCs w:val="24"/>
              </w:rPr>
              <w:t>西安市蓝田工业园电商物流片区控制性详细规划环境影响报告书</w:t>
            </w:r>
            <w:r>
              <w:rPr>
                <w:rFonts w:hint="eastAsia" w:ascii="Times New Roman" w:hAnsi="Times New Roman" w:eastAsia="宋体"/>
                <w:kern w:val="0"/>
                <w:sz w:val="24"/>
                <w:szCs w:val="24"/>
              </w:rPr>
              <w:t>》；</w:t>
            </w:r>
          </w:p>
          <w:p>
            <w:pPr>
              <w:pStyle w:val="25"/>
              <w:adjustRightInd w:val="0"/>
              <w:snapToGrid w:val="0"/>
              <w:ind w:firstLine="0" w:firstLineChars="0"/>
              <w:rPr>
                <w:rFonts w:ascii="Times New Roman" w:hAnsi="Times New Roman" w:eastAsia="宋体"/>
                <w:sz w:val="24"/>
                <w:szCs w:val="24"/>
              </w:rPr>
            </w:pPr>
            <w:r>
              <w:rPr>
                <w:rFonts w:hint="eastAsia" w:ascii="Times New Roman" w:hAnsi="Times New Roman" w:eastAsia="宋体"/>
                <w:sz w:val="24"/>
                <w:szCs w:val="24"/>
              </w:rPr>
              <w:t>审查机关：西安市蓝田县生态环境局；</w:t>
            </w:r>
          </w:p>
          <w:p>
            <w:pPr>
              <w:widowControl/>
              <w:adjustRightInd w:val="0"/>
              <w:snapToGrid w:val="0"/>
              <w:rPr>
                <w:rFonts w:ascii="Times New Roman" w:hAnsi="Times New Roman" w:eastAsia="宋体"/>
                <w:sz w:val="24"/>
                <w:szCs w:val="24"/>
              </w:rPr>
            </w:pPr>
            <w:r>
              <w:rPr>
                <w:rFonts w:hint="eastAsia" w:ascii="Times New Roman" w:hAnsi="Times New Roman" w:eastAsia="宋体"/>
                <w:sz w:val="24"/>
                <w:szCs w:val="24"/>
              </w:rPr>
              <w:t>审查文件及文号：《西安市蓝田县生态环境局关于</w:t>
            </w:r>
            <w:r>
              <w:rPr>
                <w:rFonts w:ascii="Times New Roman" w:hAnsi="Times New Roman" w:eastAsia="宋体"/>
                <w:sz w:val="24"/>
                <w:szCs w:val="24"/>
              </w:rPr>
              <w:t>&lt;</w:t>
            </w:r>
            <w:r>
              <w:rPr>
                <w:rFonts w:hint="eastAsia" w:ascii="Times New Roman" w:hAnsi="Times New Roman" w:eastAsia="宋体"/>
                <w:sz w:val="24"/>
                <w:szCs w:val="24"/>
              </w:rPr>
              <w:t>西安市蓝田工业园电商物流片区控制性详细规划环境影响报告书</w:t>
            </w:r>
            <w:r>
              <w:rPr>
                <w:rFonts w:ascii="Times New Roman" w:hAnsi="Times New Roman" w:eastAsia="宋体"/>
                <w:sz w:val="24"/>
                <w:szCs w:val="24"/>
              </w:rPr>
              <w:t>&gt;</w:t>
            </w:r>
            <w:r>
              <w:rPr>
                <w:rFonts w:hint="eastAsia" w:ascii="Times New Roman" w:hAnsi="Times New Roman" w:eastAsia="宋体"/>
                <w:sz w:val="24"/>
                <w:szCs w:val="24"/>
              </w:rPr>
              <w:t>审查意见的函》（蓝环评函［</w:t>
            </w:r>
            <w:r>
              <w:rPr>
                <w:rFonts w:ascii="Times New Roman" w:hAnsi="Times New Roman" w:eastAsia="宋体"/>
                <w:sz w:val="24"/>
                <w:szCs w:val="24"/>
              </w:rPr>
              <w:t>2022</w:t>
            </w:r>
            <w:r>
              <w:rPr>
                <w:rFonts w:hint="eastAsia" w:ascii="Times New Roman" w:hAnsi="Times New Roman" w:eastAsia="宋体"/>
                <w:sz w:val="24"/>
                <w:szCs w:val="24"/>
              </w:rPr>
              <w:t>］</w:t>
            </w:r>
            <w:r>
              <w:rPr>
                <w:rFonts w:ascii="Times New Roman" w:hAnsi="Times New Roman" w:eastAsia="宋体"/>
                <w:sz w:val="24"/>
                <w:szCs w:val="24"/>
              </w:rPr>
              <w:t>001</w:t>
            </w:r>
            <w:r>
              <w:rPr>
                <w:rFonts w:hint="eastAsia" w:ascii="Times New Roman" w:hAnsi="Times New Roman" w:eastAsia="宋体"/>
                <w:sz w:val="24"/>
                <w:szCs w:val="24"/>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61" w:type="dxa"/>
            <w:tcMar>
              <w:left w:w="57" w:type="dxa"/>
              <w:right w:w="57" w:type="dxa"/>
            </w:tcMar>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规划及规划环境影响评价符合性分析</w:t>
            </w:r>
          </w:p>
        </w:tc>
        <w:tc>
          <w:tcPr>
            <w:tcW w:w="7159" w:type="dxa"/>
            <w:gridSpan w:val="3"/>
            <w:tcMar>
              <w:left w:w="57" w:type="dxa"/>
              <w:right w:w="57" w:type="dxa"/>
            </w:tcMar>
            <w:vAlign w:val="center"/>
          </w:tcPr>
          <w:p>
            <w:pPr>
              <w:rPr>
                <w:rFonts w:ascii="Times New Roman" w:hAnsi="Times New Roman" w:eastAsia="宋体"/>
                <w:b/>
                <w:bCs/>
                <w:sz w:val="24"/>
                <w:szCs w:val="24"/>
              </w:rPr>
            </w:pPr>
            <w:r>
              <w:rPr>
                <w:rFonts w:hint="eastAsia" w:ascii="Times New Roman" w:hAnsi="Times New Roman" w:eastAsia="宋体"/>
                <w:b/>
                <w:bCs/>
                <w:sz w:val="24"/>
                <w:szCs w:val="24"/>
              </w:rPr>
              <w:t>1、与规划、规划环评及审查意见相符性分析</w:t>
            </w:r>
          </w:p>
          <w:p>
            <w:pPr>
              <w:tabs>
                <w:tab w:val="left" w:pos="720"/>
              </w:tabs>
              <w:jc w:val="center"/>
              <w:rPr>
                <w:rFonts w:ascii="Times New Roman" w:hAnsi="Times New Roman" w:eastAsia="宋体"/>
                <w:b/>
                <w:sz w:val="24"/>
              </w:rPr>
            </w:pPr>
            <w:r>
              <w:rPr>
                <w:rFonts w:hint="eastAsia" w:ascii="Times New Roman" w:hAnsi="Times New Roman" w:eastAsia="宋体"/>
                <w:b/>
                <w:sz w:val="24"/>
              </w:rPr>
              <w:t xml:space="preserve">表1-1 </w:t>
            </w:r>
            <w:r>
              <w:rPr>
                <w:rFonts w:ascii="Times New Roman" w:hAnsi="Times New Roman" w:eastAsia="宋体"/>
                <w:b/>
                <w:sz w:val="24"/>
              </w:rPr>
              <w:t xml:space="preserve"> </w:t>
            </w:r>
            <w:r>
              <w:rPr>
                <w:rFonts w:hint="eastAsia" w:ascii="Times New Roman" w:hAnsi="Times New Roman" w:eastAsia="宋体"/>
                <w:b/>
                <w:sz w:val="24"/>
              </w:rPr>
              <w:t>项目规划相符性分析</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44"/>
              <w:gridCol w:w="3493"/>
              <w:gridCol w:w="188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9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eastAsia="宋体"/>
                      <w:b/>
                      <w:bCs/>
                      <w:kern w:val="0"/>
                    </w:rPr>
                  </w:pPr>
                  <w:r>
                    <w:rPr>
                      <w:rFonts w:hint="eastAsia" w:ascii="Times New Roman" w:hAnsi="Times New Roman" w:eastAsia="宋体"/>
                      <w:b/>
                      <w:bCs/>
                      <w:kern w:val="0"/>
                    </w:rPr>
                    <w:t>规划名称</w:t>
                  </w:r>
                </w:p>
              </w:tc>
              <w:tc>
                <w:tcPr>
                  <w:tcW w:w="34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eastAsia="宋体"/>
                      <w:b/>
                      <w:bCs/>
                      <w:kern w:val="0"/>
                    </w:rPr>
                  </w:pPr>
                  <w:r>
                    <w:rPr>
                      <w:rFonts w:hint="eastAsia" w:ascii="Times New Roman" w:hAnsi="Times New Roman" w:eastAsia="宋体"/>
                      <w:b/>
                      <w:bCs/>
                      <w:kern w:val="0"/>
                    </w:rPr>
                    <w:t>规划内容</w:t>
                  </w:r>
                </w:p>
              </w:tc>
              <w:tc>
                <w:tcPr>
                  <w:tcW w:w="18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eastAsia="宋体"/>
                      <w:b/>
                      <w:bCs/>
                      <w:kern w:val="0"/>
                    </w:rPr>
                  </w:pPr>
                  <w:r>
                    <w:rPr>
                      <w:rFonts w:hint="eastAsia" w:ascii="Times New Roman" w:hAnsi="Times New Roman" w:eastAsia="宋体"/>
                      <w:b/>
                      <w:bCs/>
                      <w:kern w:val="0"/>
                    </w:rPr>
                    <w:t>本项目情况</w:t>
                  </w:r>
                </w:p>
              </w:tc>
              <w:tc>
                <w:tcPr>
                  <w:tcW w:w="70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eastAsia="宋体"/>
                      <w:b/>
                      <w:bCs/>
                      <w:kern w:val="0"/>
                    </w:rPr>
                  </w:pPr>
                  <w:r>
                    <w:rPr>
                      <w:rFonts w:hint="eastAsia" w:ascii="Times New Roman" w:hAnsi="Times New Roman" w:eastAsia="宋体"/>
                      <w:b/>
                      <w:bCs/>
                      <w:kern w:val="0"/>
                    </w:rPr>
                    <w:t>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0" w:hRule="atLeast"/>
              </w:trPr>
              <w:tc>
                <w:tcPr>
                  <w:tcW w:w="9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eastAsia="宋体"/>
                      <w:kern w:val="0"/>
                    </w:rPr>
                  </w:pPr>
                  <w:r>
                    <w:rPr>
                      <w:rFonts w:hint="eastAsia" w:ascii="Times New Roman" w:hAnsi="Times New Roman" w:eastAsia="宋体"/>
                      <w:kern w:val="0"/>
                    </w:rPr>
                    <w:t>《西安市蓝田工业园电商物流片区控制性详细规划》</w:t>
                  </w:r>
                </w:p>
              </w:tc>
              <w:tc>
                <w:tcPr>
                  <w:tcW w:w="3438"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西安市蓝田工业园电商物流片区位于蓝田县西北侧，蓝田工业园二期规划范围内。北至营坡村，西至薛家河村，东至冯十路，南至福银高速，面积</w:t>
                  </w:r>
                  <w:r>
                    <w:rPr>
                      <w:rFonts w:ascii="Times New Roman" w:hAnsi="Times New Roman" w:eastAsia="宋体"/>
                      <w:kern w:val="0"/>
                      <w:sz w:val="21"/>
                    </w:rPr>
                    <w:t>137.09</w:t>
                  </w:r>
                  <w:r>
                    <w:rPr>
                      <w:rFonts w:hint="eastAsia" w:ascii="Times New Roman" w:hAnsi="Times New Roman" w:eastAsia="宋体"/>
                      <w:kern w:val="0"/>
                      <w:sz w:val="21"/>
                    </w:rPr>
                    <w:t>公顷。</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规划时限：</w:t>
                  </w:r>
                  <w:r>
                    <w:rPr>
                      <w:rFonts w:ascii="Times New Roman" w:hAnsi="Times New Roman" w:eastAsia="宋体"/>
                      <w:kern w:val="0"/>
                      <w:sz w:val="21"/>
                    </w:rPr>
                    <w:t>2021-2025</w:t>
                  </w:r>
                  <w:r>
                    <w:rPr>
                      <w:rFonts w:hint="eastAsia" w:ascii="Times New Roman" w:hAnsi="Times New Roman" w:eastAsia="宋体"/>
                      <w:kern w:val="0"/>
                      <w:sz w:val="21"/>
                    </w:rPr>
                    <w:t>年。</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规划目标：坚持绿色生产发展理念，构建“特色鲜明、产业集聚、专业化程度高、配套完善、竞争力强”的现代化工业园，积极引进一批行业龙头企业，深化加强与地方高校和知名医药科研院所合作，承接一批关键技术成果转化和产业转移，建设一批产业链完整、集聚度高的产业区，着力打造省级绿色生态现代化综合产业示范区，增强蓝田县经济实力，带动大西安发展。</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规划布局：规划采用“一心两片区”的功能结构。一心：电商交易服务中心，集电商交易、电商服务、电商直播等功能为一体的商务办公中心，是整个片区的核心。两片区：生产制造区和仓储物流区，生产制造区主要包括机械加工、设备制造、环保新材料、零部件加工、建材、包装印刷、橡胶塑料制品、智能家居等，仓储物流主要为电商产业提供商品储存和物流集散。</w:t>
                  </w:r>
                </w:p>
                <w:p>
                  <w:pPr>
                    <w:rPr>
                      <w:rFonts w:ascii="Times New Roman" w:hAnsi="Times New Roman" w:eastAsia="宋体"/>
                    </w:rPr>
                  </w:pPr>
                  <w:r>
                    <w:rPr>
                      <w:rFonts w:hint="eastAsia" w:ascii="Times New Roman" w:hAnsi="Times New Roman" w:eastAsia="宋体" w:cs="Times New Roman"/>
                    </w:rPr>
                    <w:t>规划用地布局：规划片区用地面积137.09公顷，其中商业服务业设施用地占1.62%、工业用地占76.78%、物流仓储用地占20.62%、道路与交通设施用地占13.49%、绿地与广场用地占0.97%。</w:t>
                  </w:r>
                </w:p>
              </w:tc>
              <w:tc>
                <w:tcPr>
                  <w:tcW w:w="1854"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rPr>
                      <w:rFonts w:ascii="Times New Roman" w:hAnsi="Times New Roman" w:eastAsia="宋体"/>
                      <w:sz w:val="21"/>
                    </w:rPr>
                  </w:pPr>
                  <w:r>
                    <w:rPr>
                      <w:rFonts w:hint="eastAsia" w:ascii="Times New Roman" w:hAnsi="Times New Roman" w:eastAsia="宋体"/>
                      <w:sz w:val="21"/>
                    </w:rPr>
                    <w:t>本项目租赁蓝田三元科技创新园B29栋厂房，该厂房位于蓝田三元环保科技产业园，属于西安市蓝田工业园电商物流片区规划布局“一心两片区”中的生产制造区内</w:t>
                  </w:r>
                  <w:r>
                    <w:rPr>
                      <w:rFonts w:hint="eastAsia" w:ascii="Times New Roman" w:hAnsi="Times New Roman" w:eastAsia="宋体"/>
                      <w:kern w:val="0"/>
                      <w:sz w:val="21"/>
                    </w:rPr>
                    <w:t>，符合产业集聚等现代化工业园规划目标。根据土地利用规划图（附图7）可知，项目位于二类工业用地，项目建设符合西安市蓝田工业园电商物流片区控制性详细规划中的产业布局规划。</w:t>
                  </w:r>
                </w:p>
              </w:tc>
              <w:tc>
                <w:tcPr>
                  <w:tcW w:w="704"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jc w:val="center"/>
                    <w:rPr>
                      <w:rFonts w:ascii="Times New Roman" w:hAnsi="Times New Roman" w:eastAsia="宋体"/>
                      <w:sz w:val="21"/>
                    </w:rPr>
                  </w:pPr>
                  <w:r>
                    <w:rPr>
                      <w:rFonts w:hint="eastAsia" w:ascii="Times New Roman" w:hAnsi="Times New Roman" w:eastAsia="宋体"/>
                      <w:sz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1" w:hRule="atLeast"/>
              </w:trPr>
              <w:tc>
                <w:tcPr>
                  <w:tcW w:w="929"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eastAsia="宋体"/>
                      <w:kern w:val="0"/>
                    </w:rPr>
                  </w:pPr>
                  <w:r>
                    <w:rPr>
                      <w:rFonts w:hint="eastAsia" w:ascii="Times New Roman" w:hAnsi="Times New Roman" w:eastAsia="宋体"/>
                      <w:kern w:val="0"/>
                    </w:rPr>
                    <w:t>《西安市蓝田工业园电商物流片区控制性详细规划环境影响报告书》</w:t>
                  </w:r>
                </w:p>
              </w:tc>
              <w:tc>
                <w:tcPr>
                  <w:tcW w:w="3438"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rPr>
                      <w:rFonts w:ascii="Times New Roman" w:hAnsi="Times New Roman" w:eastAsia="宋体"/>
                      <w:kern w:val="0"/>
                      <w:sz w:val="21"/>
                    </w:rPr>
                  </w:pPr>
                  <w:r>
                    <w:rPr>
                      <w:rFonts w:ascii="Times New Roman" w:hAnsi="Times New Roman" w:eastAsia="宋体"/>
                      <w:kern w:val="0"/>
                      <w:sz w:val="21"/>
                    </w:rPr>
                    <w:t>（1）</w:t>
                  </w:r>
                  <w:r>
                    <w:rPr>
                      <w:rFonts w:hint="eastAsia" w:ascii="Times New Roman" w:hAnsi="Times New Roman" w:eastAsia="宋体"/>
                      <w:kern w:val="0"/>
                      <w:sz w:val="21"/>
                    </w:rPr>
                    <w:t>环境空气</w:t>
                  </w:r>
                </w:p>
                <w:p>
                  <w:pPr>
                    <w:pStyle w:val="25"/>
                    <w:adjustRightInd w:val="0"/>
                    <w:snapToGrid w:val="0"/>
                    <w:ind w:firstLine="0" w:firstLineChars="0"/>
                    <w:rPr>
                      <w:rFonts w:ascii="Times New Roman" w:hAnsi="Times New Roman" w:eastAsia="宋体"/>
                      <w:kern w:val="0"/>
                      <w:sz w:val="21"/>
                    </w:rPr>
                  </w:pPr>
                  <w:r>
                    <w:rPr>
                      <w:rFonts w:ascii="Times New Roman" w:hAnsi="Times New Roman" w:eastAsia="宋体"/>
                      <w:kern w:val="0"/>
                      <w:sz w:val="21"/>
                    </w:rPr>
                    <w:t>加强大气污染源头治理措施监管，</w:t>
                  </w:r>
                  <w:r>
                    <w:rPr>
                      <w:rFonts w:hint="eastAsia" w:ascii="Times New Roman" w:hAnsi="Times New Roman" w:eastAsia="宋体"/>
                      <w:kern w:val="0"/>
                      <w:sz w:val="21"/>
                    </w:rPr>
                    <w:t>采用清洁能源，实施集中供热</w:t>
                  </w:r>
                  <w:r>
                    <w:rPr>
                      <w:rFonts w:ascii="Times New Roman" w:hAnsi="Times New Roman" w:eastAsia="宋体"/>
                      <w:kern w:val="0"/>
                      <w:sz w:val="21"/>
                    </w:rPr>
                    <w:t>。</w:t>
                  </w:r>
                  <w:r>
                    <w:rPr>
                      <w:rFonts w:hint="eastAsia" w:ascii="Times New Roman" w:hAnsi="Times New Roman" w:eastAsia="宋体"/>
                      <w:kern w:val="0"/>
                      <w:sz w:val="21"/>
                    </w:rPr>
                    <w:t>加强</w:t>
                  </w:r>
                  <w:r>
                    <w:rPr>
                      <w:rFonts w:ascii="Times New Roman" w:hAnsi="Times New Roman" w:eastAsia="宋体"/>
                      <w:kern w:val="0"/>
                      <w:sz w:val="21"/>
                    </w:rPr>
                    <w:t>VOCs</w:t>
                  </w:r>
                  <w:r>
                    <w:rPr>
                      <w:rFonts w:hint="eastAsia" w:ascii="Times New Roman" w:hAnsi="Times New Roman" w:eastAsia="宋体"/>
                      <w:kern w:val="0"/>
                      <w:sz w:val="21"/>
                    </w:rPr>
                    <w:t>储存、使用过程</w:t>
                  </w:r>
                  <w:r>
                    <w:rPr>
                      <w:rFonts w:ascii="Times New Roman" w:hAnsi="Times New Roman" w:eastAsia="宋体"/>
                      <w:kern w:val="0"/>
                      <w:sz w:val="21"/>
                    </w:rPr>
                    <w:t>控制，减少VOCs排放</w:t>
                  </w:r>
                  <w:r>
                    <w:rPr>
                      <w:rFonts w:hint="eastAsia" w:ascii="Times New Roman" w:hAnsi="Times New Roman" w:eastAsia="宋体"/>
                      <w:kern w:val="0"/>
                      <w:sz w:val="21"/>
                    </w:rPr>
                    <w:t>量</w:t>
                  </w:r>
                  <w:r>
                    <w:rPr>
                      <w:rFonts w:ascii="Times New Roman" w:hAnsi="Times New Roman" w:eastAsia="宋体"/>
                      <w:kern w:val="0"/>
                      <w:sz w:val="21"/>
                    </w:rPr>
                    <w:t>。</w:t>
                  </w:r>
                  <w:r>
                    <w:rPr>
                      <w:rFonts w:hint="eastAsia" w:ascii="Times New Roman" w:hAnsi="Times New Roman" w:eastAsia="宋体"/>
                      <w:kern w:val="0"/>
                      <w:sz w:val="21"/>
                    </w:rPr>
                    <w:t>入区企业采用可靠稳定的治理设施，大气污染物排放满足相应行业标准限值或综合排放标准限值，加强交通</w:t>
                  </w:r>
                  <w:r>
                    <w:rPr>
                      <w:rFonts w:ascii="Times New Roman" w:hAnsi="Times New Roman" w:eastAsia="宋体"/>
                      <w:kern w:val="0"/>
                      <w:sz w:val="21"/>
                    </w:rPr>
                    <w:t>运输</w:t>
                  </w:r>
                  <w:r>
                    <w:rPr>
                      <w:rFonts w:hint="eastAsia" w:ascii="Times New Roman" w:hAnsi="Times New Roman" w:eastAsia="宋体"/>
                      <w:kern w:val="0"/>
                      <w:sz w:val="21"/>
                    </w:rPr>
                    <w:t>管理，减少运输废气排放</w:t>
                  </w:r>
                  <w:r>
                    <w:rPr>
                      <w:rFonts w:ascii="Times New Roman" w:hAnsi="Times New Roman" w:eastAsia="宋体"/>
                      <w:kern w:val="0"/>
                      <w:sz w:val="21"/>
                    </w:rPr>
                    <w:t>。</w:t>
                  </w:r>
                  <w:r>
                    <w:rPr>
                      <w:rFonts w:hint="eastAsia" w:ascii="Times New Roman" w:hAnsi="Times New Roman" w:eastAsia="宋体"/>
                      <w:kern w:val="0"/>
                      <w:sz w:val="21"/>
                    </w:rPr>
                    <w:t>提高园区绿化率，净化空气</w:t>
                  </w:r>
                  <w:r>
                    <w:rPr>
                      <w:rFonts w:ascii="Times New Roman" w:hAnsi="Times New Roman" w:eastAsia="宋体"/>
                      <w:kern w:val="0"/>
                      <w:sz w:val="21"/>
                    </w:rPr>
                    <w:t>。</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（2）地表水</w:t>
                  </w:r>
                </w:p>
                <w:p>
                  <w:pPr>
                    <w:pStyle w:val="25"/>
                    <w:adjustRightInd w:val="0"/>
                    <w:snapToGrid w:val="0"/>
                    <w:ind w:firstLine="0" w:firstLineChars="0"/>
                    <w:rPr>
                      <w:rFonts w:ascii="Times New Roman" w:hAnsi="Times New Roman" w:eastAsia="宋体"/>
                      <w:kern w:val="0"/>
                      <w:sz w:val="21"/>
                    </w:rPr>
                  </w:pPr>
                  <w:r>
                    <w:rPr>
                      <w:rFonts w:ascii="Times New Roman" w:hAnsi="Times New Roman" w:eastAsia="宋体"/>
                      <w:kern w:val="0"/>
                      <w:sz w:val="21"/>
                    </w:rPr>
                    <w:t>积极推进中水回用</w:t>
                  </w:r>
                  <w:r>
                    <w:rPr>
                      <w:rFonts w:hint="eastAsia" w:ascii="Times New Roman" w:hAnsi="Times New Roman" w:eastAsia="宋体"/>
                      <w:kern w:val="0"/>
                      <w:sz w:val="21"/>
                    </w:rPr>
                    <w:t>，</w:t>
                  </w:r>
                  <w:r>
                    <w:rPr>
                      <w:rFonts w:ascii="Times New Roman" w:hAnsi="Times New Roman" w:eastAsia="宋体"/>
                      <w:kern w:val="0"/>
                      <w:sz w:val="21"/>
                    </w:rPr>
                    <w:t>提高水资源利用率</w:t>
                  </w:r>
                  <w:r>
                    <w:rPr>
                      <w:rFonts w:hint="eastAsia" w:ascii="Times New Roman" w:hAnsi="Times New Roman" w:eastAsia="宋体"/>
                      <w:kern w:val="0"/>
                      <w:sz w:val="21"/>
                    </w:rPr>
                    <w:t>，减少污染物排放量。入区涉及废水排放企业必须在厂区设预处理设施，满足《污水综合排放标准》（GB8978-1996）三级标准和《污水排入城镇下水道水质标准》（GB/T31962-2015）后方可排入园区污水管网。</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（3）地下水</w:t>
                  </w:r>
                </w:p>
                <w:p>
                  <w:pPr>
                    <w:pStyle w:val="25"/>
                    <w:adjustRightInd w:val="0"/>
                    <w:snapToGrid w:val="0"/>
                    <w:ind w:firstLine="0" w:firstLineChars="0"/>
                    <w:rPr>
                      <w:rFonts w:ascii="Times New Roman" w:hAnsi="Times New Roman" w:eastAsia="宋体"/>
                      <w:kern w:val="0"/>
                      <w:sz w:val="21"/>
                    </w:rPr>
                  </w:pPr>
                  <w:r>
                    <w:rPr>
                      <w:rFonts w:ascii="Times New Roman" w:hAnsi="Times New Roman" w:eastAsia="宋体"/>
                      <w:kern w:val="0"/>
                      <w:sz w:val="21"/>
                    </w:rPr>
                    <w:t>禁止利用渗坑、渗井、裂隙等排放污水</w:t>
                  </w:r>
                  <w:r>
                    <w:rPr>
                      <w:rFonts w:hint="eastAsia" w:ascii="Times New Roman" w:hAnsi="Times New Roman" w:eastAsia="宋体"/>
                      <w:kern w:val="0"/>
                      <w:sz w:val="21"/>
                    </w:rPr>
                    <w:t>，采取分区防渗措施，</w:t>
                  </w:r>
                  <w:r>
                    <w:rPr>
                      <w:rFonts w:ascii="Times New Roman" w:hAnsi="Times New Roman" w:eastAsia="宋体"/>
                      <w:kern w:val="0"/>
                      <w:sz w:val="21"/>
                    </w:rPr>
                    <w:t>将规划区域划分为重点污染防治区、一般污染防治区及简单防治区。加强日常环境监管</w:t>
                  </w:r>
                  <w:r>
                    <w:rPr>
                      <w:rFonts w:hint="eastAsia" w:ascii="Times New Roman" w:hAnsi="Times New Roman" w:eastAsia="宋体"/>
                      <w:kern w:val="0"/>
                      <w:sz w:val="21"/>
                    </w:rPr>
                    <w:t>，</w:t>
                  </w:r>
                  <w:r>
                    <w:rPr>
                      <w:rFonts w:ascii="Times New Roman" w:hAnsi="Times New Roman" w:eastAsia="宋体"/>
                      <w:kern w:val="0"/>
                      <w:sz w:val="21"/>
                    </w:rPr>
                    <w:t>完善防扬散、防流失、防渗漏等设施，制定整治方案并有序实施</w:t>
                  </w:r>
                  <w:r>
                    <w:rPr>
                      <w:rFonts w:hint="eastAsia" w:ascii="Times New Roman" w:hAnsi="Times New Roman" w:eastAsia="宋体"/>
                      <w:kern w:val="0"/>
                      <w:sz w:val="21"/>
                    </w:rPr>
                    <w:t>。</w:t>
                  </w:r>
                  <w:r>
                    <w:rPr>
                      <w:rFonts w:ascii="Times New Roman" w:hAnsi="Times New Roman" w:eastAsia="宋体"/>
                      <w:kern w:val="0"/>
                      <w:sz w:val="21"/>
                    </w:rPr>
                    <w:t>定期对地下水水质进行监测，尤其注意有毒有害物质的监测，以便及时发现问题，采取相应的措施</w:t>
                  </w:r>
                  <w:r>
                    <w:rPr>
                      <w:rFonts w:hint="eastAsia" w:ascii="Times New Roman" w:hAnsi="Times New Roman" w:eastAsia="宋体"/>
                      <w:kern w:val="0"/>
                      <w:sz w:val="21"/>
                    </w:rPr>
                    <w:t>。</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（4）声环境</w:t>
                  </w:r>
                </w:p>
                <w:p>
                  <w:pPr>
                    <w:pStyle w:val="25"/>
                    <w:adjustRightInd w:val="0"/>
                    <w:snapToGrid w:val="0"/>
                    <w:ind w:firstLine="0" w:firstLineChars="0"/>
                    <w:rPr>
                      <w:rFonts w:ascii="Times New Roman" w:hAnsi="Times New Roman" w:eastAsia="宋体"/>
                      <w:kern w:val="0"/>
                      <w:sz w:val="21"/>
                    </w:rPr>
                  </w:pPr>
                  <w:r>
                    <w:rPr>
                      <w:rFonts w:ascii="Times New Roman" w:hAnsi="Times New Roman" w:eastAsia="宋体"/>
                      <w:kern w:val="0"/>
                      <w:sz w:val="21"/>
                    </w:rPr>
                    <w:t>对各种工业噪声源分别采用隔声、吸声和消声等措施，增加隔声罩、隔声屏障等措施，</w:t>
                  </w:r>
                  <w:r>
                    <w:rPr>
                      <w:rFonts w:hint="eastAsia" w:ascii="Times New Roman" w:hAnsi="Times New Roman" w:eastAsia="宋体"/>
                      <w:kern w:val="0"/>
                      <w:sz w:val="21"/>
                    </w:rPr>
                    <w:t>优化</w:t>
                  </w:r>
                  <w:r>
                    <w:rPr>
                      <w:rFonts w:ascii="Times New Roman" w:hAnsi="Times New Roman" w:eastAsia="宋体"/>
                      <w:kern w:val="0"/>
                      <w:sz w:val="21"/>
                    </w:rPr>
                    <w:t>平面布置</w:t>
                  </w:r>
                  <w:r>
                    <w:rPr>
                      <w:rFonts w:hint="eastAsia" w:ascii="Times New Roman" w:hAnsi="Times New Roman" w:eastAsia="宋体"/>
                      <w:kern w:val="0"/>
                      <w:sz w:val="21"/>
                    </w:rPr>
                    <w:t>，</w:t>
                  </w:r>
                  <w:r>
                    <w:rPr>
                      <w:rFonts w:ascii="Times New Roman" w:hAnsi="Times New Roman" w:eastAsia="宋体"/>
                      <w:kern w:val="0"/>
                      <w:sz w:val="21"/>
                    </w:rPr>
                    <w:t>加强厂区绿化</w:t>
                  </w:r>
                  <w:r>
                    <w:rPr>
                      <w:rFonts w:hint="eastAsia" w:ascii="Times New Roman" w:hAnsi="Times New Roman" w:eastAsia="宋体"/>
                      <w:kern w:val="0"/>
                      <w:sz w:val="21"/>
                    </w:rPr>
                    <w:t>，噪声影响大的企业布局在距离居民区较远的位置。</w:t>
                  </w:r>
                </w:p>
                <w:p>
                  <w:pPr>
                    <w:pStyle w:val="25"/>
                    <w:adjustRightInd w:val="0"/>
                    <w:snapToGrid w:val="0"/>
                    <w:ind w:firstLine="0" w:firstLineChars="0"/>
                    <w:rPr>
                      <w:rFonts w:ascii="Times New Roman" w:hAnsi="Times New Roman" w:eastAsia="宋体"/>
                      <w:kern w:val="0"/>
                      <w:sz w:val="21"/>
                    </w:rPr>
                  </w:pPr>
                  <w:r>
                    <w:rPr>
                      <w:rFonts w:ascii="Times New Roman" w:hAnsi="Times New Roman" w:eastAsia="宋体"/>
                      <w:kern w:val="0"/>
                      <w:sz w:val="21"/>
                    </w:rPr>
                    <w:t>在交通干道两侧栽植混合林带</w:t>
                  </w:r>
                  <w:r>
                    <w:rPr>
                      <w:rFonts w:hint="eastAsia" w:ascii="Times New Roman" w:hAnsi="Times New Roman" w:eastAsia="宋体"/>
                      <w:kern w:val="0"/>
                      <w:sz w:val="21"/>
                    </w:rPr>
                    <w:t>，</w:t>
                  </w:r>
                  <w:r>
                    <w:rPr>
                      <w:rFonts w:ascii="Times New Roman" w:hAnsi="Times New Roman" w:eastAsia="宋体"/>
                      <w:kern w:val="0"/>
                      <w:sz w:val="21"/>
                    </w:rPr>
                    <w:t>加强交通管理，保持区域道路畅通，交通秩序良好</w:t>
                  </w:r>
                  <w:r>
                    <w:rPr>
                      <w:rFonts w:hint="eastAsia" w:ascii="Times New Roman" w:hAnsi="Times New Roman" w:eastAsia="宋体"/>
                      <w:kern w:val="0"/>
                      <w:sz w:val="21"/>
                    </w:rPr>
                    <w:t>，</w:t>
                  </w:r>
                  <w:r>
                    <w:rPr>
                      <w:rFonts w:ascii="Times New Roman" w:hAnsi="Times New Roman" w:eastAsia="宋体"/>
                      <w:kern w:val="0"/>
                      <w:sz w:val="21"/>
                    </w:rPr>
                    <w:t>对路面加强维护保养，提高车辆通行能力和行车的平稳性，合理安排</w:t>
                  </w:r>
                  <w:r>
                    <w:rPr>
                      <w:rFonts w:hint="eastAsia" w:ascii="Times New Roman" w:hAnsi="Times New Roman" w:eastAsia="宋体"/>
                      <w:kern w:val="0"/>
                      <w:sz w:val="21"/>
                    </w:rPr>
                    <w:t>运输</w:t>
                  </w:r>
                  <w:r>
                    <w:rPr>
                      <w:rFonts w:ascii="Times New Roman" w:hAnsi="Times New Roman" w:eastAsia="宋体"/>
                      <w:kern w:val="0"/>
                      <w:sz w:val="21"/>
                    </w:rPr>
                    <w:t>时段，在居住区等环境敏感地段实行交通管制措施，控制车速，禁止行驶车辆鸣笛等。</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（5）固体废物处置</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一般工业固废优先综合利用，不能利用的按照《一般工业固体废物处贮存、处置场污染控制标准》（GB18599-2020）要求，进行贮存和处置；危险废物建设危废间暂存，委托有资质单位处置；生活垃圾分类收集，集中清运至蓝田生活垃圾焚烧厂处置。</w:t>
                  </w:r>
                </w:p>
              </w:tc>
              <w:tc>
                <w:tcPr>
                  <w:tcW w:w="1854"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sz w:val="21"/>
                    </w:rPr>
                    <w:t>（1）项</w:t>
                  </w:r>
                  <w:r>
                    <w:rPr>
                      <w:rFonts w:hint="eastAsia" w:ascii="Times New Roman" w:hAnsi="Times New Roman" w:eastAsia="宋体"/>
                      <w:kern w:val="0"/>
                      <w:sz w:val="21"/>
                    </w:rPr>
                    <w:t>目产生的颗粒物通过除尘装置处理后由17m排气筒排放；产生的漆雾、挥发性有机物经干式过滤器+吸附</w:t>
                  </w:r>
                  <w:r>
                    <w:rPr>
                      <w:rFonts w:ascii="Times New Roman" w:hAnsi="Times New Roman" w:eastAsia="宋体"/>
                      <w:kern w:val="0"/>
                      <w:sz w:val="21"/>
                    </w:rPr>
                    <w:t>脱附催化燃烧</w:t>
                  </w:r>
                  <w:r>
                    <w:rPr>
                      <w:rFonts w:hint="eastAsia" w:ascii="Times New Roman" w:hAnsi="Times New Roman" w:eastAsia="宋体"/>
                      <w:kern w:val="0"/>
                      <w:sz w:val="21"/>
                    </w:rPr>
                    <w:t>处理后由17m排气筒排放；</w:t>
                  </w:r>
                  <w:r>
                    <w:rPr>
                      <w:rFonts w:ascii="Times New Roman" w:hAnsi="Times New Roman" w:eastAsia="宋体"/>
                      <w:kern w:val="0"/>
                      <w:sz w:val="21"/>
                    </w:rPr>
                    <w:t>满足</w:t>
                  </w:r>
                  <w:r>
                    <w:rPr>
                      <w:rFonts w:hint="eastAsia" w:ascii="Times New Roman" w:hAnsi="Times New Roman" w:eastAsia="宋体"/>
                      <w:kern w:val="0"/>
                      <w:sz w:val="21"/>
                    </w:rPr>
                    <w:t>相关</w:t>
                  </w:r>
                  <w:r>
                    <w:rPr>
                      <w:rFonts w:ascii="Times New Roman" w:hAnsi="Times New Roman" w:eastAsia="宋体"/>
                      <w:kern w:val="0"/>
                      <w:sz w:val="21"/>
                    </w:rPr>
                    <w:t>标准要求</w:t>
                  </w:r>
                  <w:r>
                    <w:rPr>
                      <w:rFonts w:hint="eastAsia" w:ascii="Times New Roman" w:hAnsi="Times New Roman" w:eastAsia="宋体"/>
                      <w:kern w:val="0"/>
                      <w:sz w:val="21"/>
                    </w:rPr>
                    <w:t>。</w:t>
                  </w:r>
                </w:p>
                <w:p>
                  <w:pPr>
                    <w:rPr>
                      <w:rFonts w:ascii="Times New Roman" w:hAnsi="Times New Roman" w:eastAsia="宋体" w:cs="宋体"/>
                      <w:kern w:val="0"/>
                      <w:lang w:bidi="ar"/>
                    </w:rPr>
                  </w:pPr>
                  <w:r>
                    <w:rPr>
                      <w:rFonts w:hint="eastAsia" w:ascii="Times New Roman" w:hAnsi="Times New Roman" w:eastAsia="宋体"/>
                      <w:kern w:val="0"/>
                    </w:rPr>
                    <w:t>（2）项目无生产废水产生，生活污水经</w:t>
                  </w:r>
                  <w:r>
                    <w:rPr>
                      <w:rFonts w:hint="eastAsia" w:ascii="Times New Roman" w:hAnsi="Times New Roman" w:eastAsia="宋体" w:cs="宋体"/>
                      <w:kern w:val="0"/>
                      <w:lang w:bidi="ar"/>
                    </w:rPr>
                    <w:t>厂内化粪池处理后通过园区污水管网排入蓝田工业园（洩湖镇）污水处理站。</w:t>
                  </w:r>
                </w:p>
                <w:p>
                  <w:pPr>
                    <w:rPr>
                      <w:rFonts w:ascii="Times New Roman" w:hAnsi="Times New Roman" w:eastAsia="宋体"/>
                      <w:lang w:bidi="ar"/>
                    </w:rPr>
                  </w:pPr>
                  <w:r>
                    <w:rPr>
                      <w:rFonts w:hint="eastAsia" w:ascii="Times New Roman" w:hAnsi="Times New Roman" w:eastAsia="宋体"/>
                      <w:lang w:bidi="ar"/>
                    </w:rPr>
                    <w:t>（3）项目厂区采取分区防渗措施，可有效避免污染地下水。</w:t>
                  </w:r>
                </w:p>
                <w:p>
                  <w:pPr>
                    <w:rPr>
                      <w:rFonts w:ascii="Times New Roman" w:hAnsi="Times New Roman" w:eastAsia="宋体"/>
                      <w:lang w:bidi="ar"/>
                    </w:rPr>
                  </w:pPr>
                  <w:r>
                    <w:rPr>
                      <w:rFonts w:hint="eastAsia" w:ascii="Times New Roman" w:hAnsi="Times New Roman" w:eastAsia="宋体"/>
                      <w:lang w:bidi="ar"/>
                    </w:rPr>
                    <w:t>（4）项目厂区设备采取减振、厂房隔声等措施，厂界噪声可达标排放。</w:t>
                  </w:r>
                </w:p>
                <w:p>
                  <w:pPr>
                    <w:rPr>
                      <w:rFonts w:ascii="Times New Roman" w:hAnsi="Times New Roman" w:eastAsia="宋体" w:cs="宋体"/>
                      <w:kern w:val="0"/>
                      <w:lang w:bidi="ar"/>
                    </w:rPr>
                  </w:pPr>
                  <w:r>
                    <w:rPr>
                      <w:rFonts w:hint="eastAsia" w:ascii="Times New Roman" w:hAnsi="Times New Roman" w:eastAsia="宋体"/>
                      <w:lang w:bidi="ar"/>
                    </w:rPr>
                    <w:t>（5）项目产生的固废分类存放，严格按照标准要求妥善处理。</w:t>
                  </w:r>
                </w:p>
              </w:tc>
              <w:tc>
                <w:tcPr>
                  <w:tcW w:w="704"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jc w:val="center"/>
                    <w:rPr>
                      <w:rFonts w:ascii="Times New Roman" w:hAnsi="Times New Roman" w:eastAsia="宋体"/>
                      <w:sz w:val="21"/>
                    </w:rPr>
                  </w:pPr>
                  <w:r>
                    <w:rPr>
                      <w:rFonts w:hint="eastAsia" w:ascii="Times New Roman" w:hAnsi="Times New Roman" w:eastAsia="宋体"/>
                      <w:sz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1" w:hRule="atLeast"/>
              </w:trPr>
              <w:tc>
                <w:tcPr>
                  <w:tcW w:w="929" w:type="dxa"/>
                  <w:vMerge w:val="continue"/>
                  <w:tcBorders>
                    <w:left w:val="single" w:color="auto" w:sz="4" w:space="0"/>
                    <w:right w:val="single" w:color="auto" w:sz="4" w:space="0"/>
                  </w:tcBorders>
                  <w:vAlign w:val="center"/>
                </w:tcPr>
                <w:p>
                  <w:pPr>
                    <w:autoSpaceDE w:val="0"/>
                    <w:autoSpaceDN w:val="0"/>
                    <w:adjustRightInd w:val="0"/>
                    <w:snapToGrid w:val="0"/>
                    <w:jc w:val="center"/>
                    <w:rPr>
                      <w:rFonts w:ascii="Times New Roman" w:hAnsi="Times New Roman" w:eastAsia="宋体"/>
                      <w:kern w:val="0"/>
                    </w:rPr>
                  </w:pPr>
                </w:p>
              </w:tc>
              <w:tc>
                <w:tcPr>
                  <w:tcW w:w="3438"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rPr>
                      <w:rFonts w:ascii="Times New Roman" w:hAnsi="Times New Roman" w:eastAsia="宋体"/>
                      <w:kern w:val="0"/>
                      <w:sz w:val="21"/>
                    </w:rPr>
                  </w:pPr>
                  <w:r>
                    <w:rPr>
                      <w:rFonts w:ascii="Times New Roman" w:hAnsi="Times New Roman" w:eastAsia="宋体"/>
                      <w:kern w:val="0"/>
                      <w:sz w:val="21"/>
                    </w:rPr>
                    <w:t>调整能源结构，鼓励使用清洁能源</w:t>
                  </w:r>
                  <w:r>
                    <w:rPr>
                      <w:rFonts w:hint="eastAsia" w:ascii="Times New Roman" w:hAnsi="Times New Roman" w:eastAsia="宋体"/>
                      <w:kern w:val="0"/>
                      <w:sz w:val="21"/>
                    </w:rPr>
                    <w:t>，限制高能耗、重污染的落后生产工艺和设备，推广清洁生产技术。</w:t>
                  </w:r>
                </w:p>
              </w:tc>
              <w:tc>
                <w:tcPr>
                  <w:tcW w:w="1854"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rPr>
                      <w:rFonts w:ascii="Times New Roman" w:hAnsi="Times New Roman" w:eastAsia="宋体"/>
                      <w:sz w:val="21"/>
                    </w:rPr>
                  </w:pPr>
                  <w:r>
                    <w:rPr>
                      <w:rFonts w:hint="eastAsia" w:ascii="Times New Roman" w:hAnsi="Times New Roman" w:eastAsia="宋体"/>
                      <w:sz w:val="21"/>
                    </w:rPr>
                    <w:t>本项目使用能源为水、电，不属于高耗能高污染项目，无落后生产工艺及设备。</w:t>
                  </w:r>
                </w:p>
              </w:tc>
              <w:tc>
                <w:tcPr>
                  <w:tcW w:w="704"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jc w:val="center"/>
                    <w:rPr>
                      <w:rFonts w:ascii="Times New Roman" w:hAnsi="Times New Roman" w:eastAsia="宋体"/>
                      <w:sz w:val="21"/>
                    </w:rPr>
                  </w:pPr>
                  <w:r>
                    <w:rPr>
                      <w:rFonts w:hint="eastAsia" w:ascii="Times New Roman" w:hAnsi="Times New Roman" w:eastAsia="宋体"/>
                      <w:sz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trPr>
              <w:tc>
                <w:tcPr>
                  <w:tcW w:w="929"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eastAsia="宋体"/>
                      <w:kern w:val="0"/>
                    </w:rPr>
                  </w:pPr>
                </w:p>
              </w:tc>
              <w:tc>
                <w:tcPr>
                  <w:tcW w:w="3438"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规划区供水管网接城区给水主干管，由蓝田供水厂供水；排水采用雨污分流制，雨水经雨水管道收集排入灞河，污水经污水管道收集进入蓝田工业园（洩湖镇）污水处理站处理后排入灞河。</w:t>
                  </w:r>
                </w:p>
              </w:tc>
              <w:tc>
                <w:tcPr>
                  <w:tcW w:w="1854"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rPr>
                      <w:rFonts w:ascii="Times New Roman" w:hAnsi="Times New Roman" w:eastAsia="宋体"/>
                      <w:sz w:val="21"/>
                    </w:rPr>
                  </w:pPr>
                  <w:r>
                    <w:rPr>
                      <w:rFonts w:hint="eastAsia" w:ascii="Times New Roman" w:hAnsi="Times New Roman" w:eastAsia="宋体"/>
                      <w:sz w:val="21"/>
                    </w:rPr>
                    <w:t>本项目采取雨污分流，雨水排入园区雨水管道最终排入灞河，</w:t>
                  </w:r>
                  <w:r>
                    <w:rPr>
                      <w:rFonts w:hint="eastAsia" w:ascii="Times New Roman" w:hAnsi="Times New Roman" w:eastAsia="宋体"/>
                      <w:kern w:val="0"/>
                      <w:sz w:val="21"/>
                    </w:rPr>
                    <w:t>污水通过污水管道进入蓝田工业园（洩湖镇）污水处理站处理后排入灞河。</w:t>
                  </w:r>
                </w:p>
              </w:tc>
              <w:tc>
                <w:tcPr>
                  <w:tcW w:w="704"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jc w:val="center"/>
                    <w:rPr>
                      <w:rFonts w:ascii="Times New Roman" w:hAnsi="Times New Roman" w:eastAsia="宋体"/>
                      <w:sz w:val="21"/>
                    </w:rPr>
                  </w:pPr>
                  <w:r>
                    <w:rPr>
                      <w:rFonts w:hint="eastAsia" w:ascii="Times New Roman" w:hAnsi="Times New Roman" w:eastAsia="宋体"/>
                      <w:sz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4" w:hRule="atLeast"/>
              </w:trPr>
              <w:tc>
                <w:tcPr>
                  <w:tcW w:w="9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eastAsia="宋体"/>
                      <w:kern w:val="0"/>
                    </w:rPr>
                  </w:pPr>
                  <w:r>
                    <w:rPr>
                      <w:rFonts w:hint="eastAsia" w:ascii="Times New Roman" w:hAnsi="Times New Roman" w:eastAsia="宋体"/>
                      <w:kern w:val="0"/>
                    </w:rPr>
                    <w:t>《西安市蓝田县生态环境局关于</w:t>
                  </w:r>
                  <w:r>
                    <w:rPr>
                      <w:rFonts w:ascii="Times New Roman" w:hAnsi="Times New Roman" w:eastAsia="宋体"/>
                      <w:kern w:val="0"/>
                    </w:rPr>
                    <w:t>&lt;</w:t>
                  </w:r>
                  <w:r>
                    <w:rPr>
                      <w:rFonts w:hint="eastAsia" w:ascii="Times New Roman" w:hAnsi="Times New Roman" w:eastAsia="宋体"/>
                      <w:kern w:val="0"/>
                    </w:rPr>
                    <w:t>西安市蓝田工业园电商物流片区控制性详细规划环境影响报告书</w:t>
                  </w:r>
                  <w:r>
                    <w:rPr>
                      <w:rFonts w:ascii="Times New Roman" w:hAnsi="Times New Roman" w:eastAsia="宋体"/>
                      <w:kern w:val="0"/>
                    </w:rPr>
                    <w:t>&gt;</w:t>
                  </w:r>
                  <w:r>
                    <w:rPr>
                      <w:rFonts w:hint="eastAsia" w:ascii="Times New Roman" w:hAnsi="Times New Roman" w:eastAsia="宋体"/>
                      <w:kern w:val="0"/>
                    </w:rPr>
                    <w:t>审查意见的函》</w:t>
                  </w:r>
                </w:p>
              </w:tc>
              <w:tc>
                <w:tcPr>
                  <w:tcW w:w="3438"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（一）规划应明确集中供热热源、规模及建设时序；补充中水回用相关设施建设规模、建设时序。</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（二）规划区周边分布有村庄，建议在规划区与村庄边界设置绿化带，靠近村庄区域优先布局污染物排放量少的企业，降低对居民区环境影响。</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（三）优化产业结构，提高后续引进企业间和产业间循环程度；建议蓝田工业园结合整个园区规划发展情况，优化食品企业布局，优先入驻食品产业园，避免食品企业与其它企业相互影响。</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（四）仓储物流、食品等涉及制冷的企业，不应使用氨、氟利昂等制冷剂。</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（五）加快完善园区路网建设。</w:t>
                  </w:r>
                </w:p>
                <w:p>
                  <w:pPr>
                    <w:pStyle w:val="25"/>
                    <w:adjustRightInd w:val="0"/>
                    <w:snapToGrid w:val="0"/>
                    <w:ind w:firstLine="0" w:firstLineChars="0"/>
                    <w:rPr>
                      <w:rFonts w:ascii="Times New Roman" w:hAnsi="Times New Roman" w:eastAsia="宋体"/>
                      <w:kern w:val="0"/>
                      <w:sz w:val="21"/>
                    </w:rPr>
                  </w:pPr>
                  <w:r>
                    <w:rPr>
                      <w:rFonts w:hint="eastAsia" w:ascii="Times New Roman" w:hAnsi="Times New Roman" w:eastAsia="宋体"/>
                      <w:kern w:val="0"/>
                      <w:sz w:val="21"/>
                    </w:rPr>
                    <w:t>（六）在规划实施过程中，定期进行环境影响跟踪评价，在规划修编时应重新编制环境影响报告书。</w:t>
                  </w:r>
                </w:p>
              </w:tc>
              <w:tc>
                <w:tcPr>
                  <w:tcW w:w="1854"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rPr>
                      <w:rFonts w:ascii="Times New Roman" w:hAnsi="Times New Roman" w:eastAsia="宋体"/>
                      <w:sz w:val="21"/>
                    </w:rPr>
                  </w:pPr>
                  <w:r>
                    <w:rPr>
                      <w:rFonts w:hint="eastAsia" w:ascii="Times New Roman" w:hAnsi="Times New Roman" w:eastAsia="宋体"/>
                      <w:sz w:val="21"/>
                    </w:rPr>
                    <w:t>（一）项目无生产废水，生活污水经厂内化粪池处理后通过园区污水管网排入蓝田工业园（洩湖镇）污水处理站；</w:t>
                  </w:r>
                </w:p>
                <w:p>
                  <w:pPr>
                    <w:pStyle w:val="25"/>
                    <w:adjustRightInd w:val="0"/>
                    <w:snapToGrid w:val="0"/>
                    <w:ind w:firstLine="0" w:firstLineChars="0"/>
                    <w:rPr>
                      <w:rFonts w:ascii="Times New Roman" w:hAnsi="Times New Roman" w:eastAsia="宋体"/>
                      <w:sz w:val="21"/>
                    </w:rPr>
                  </w:pPr>
                  <w:r>
                    <w:rPr>
                      <w:rFonts w:hint="eastAsia" w:ascii="Times New Roman" w:hAnsi="Times New Roman" w:eastAsia="宋体"/>
                      <w:sz w:val="21"/>
                    </w:rPr>
                    <w:t>（二）项目排气筒等污染源远离村庄设置；选用低噪声设备，减振、墙体隔声、软连接等降噪措施，固废合理处置，采取以上措施后项目对周围居民影响较小；</w:t>
                  </w:r>
                </w:p>
                <w:p>
                  <w:pPr>
                    <w:pStyle w:val="25"/>
                    <w:adjustRightInd w:val="0"/>
                    <w:snapToGrid w:val="0"/>
                    <w:ind w:firstLine="0" w:firstLineChars="0"/>
                    <w:rPr>
                      <w:rFonts w:ascii="Times New Roman" w:hAnsi="Times New Roman" w:eastAsia="宋体"/>
                      <w:sz w:val="21"/>
                    </w:rPr>
                  </w:pPr>
                  <w:r>
                    <w:rPr>
                      <w:rFonts w:hint="eastAsia" w:ascii="Times New Roman" w:hAnsi="Times New Roman" w:eastAsia="宋体"/>
                      <w:sz w:val="21"/>
                    </w:rPr>
                    <w:t>（三）本项目位于蓝田工业园电商物流片区中的三元环保科技产业园，</w:t>
                  </w:r>
                  <w:r>
                    <w:rPr>
                      <w:rFonts w:ascii="Times New Roman" w:hAnsi="Times New Roman" w:eastAsia="宋体"/>
                      <w:sz w:val="21"/>
                    </w:rPr>
                    <w:t>产业定位以</w:t>
                  </w:r>
                  <w:r>
                    <w:rPr>
                      <w:rFonts w:hint="eastAsia" w:ascii="Times New Roman" w:hAnsi="Times New Roman" w:eastAsia="宋体"/>
                      <w:sz w:val="21"/>
                    </w:rPr>
                    <w:t>机械及电子</w:t>
                  </w:r>
                  <w:r>
                    <w:rPr>
                      <w:rFonts w:ascii="Times New Roman" w:hAnsi="Times New Roman" w:eastAsia="宋体"/>
                      <w:sz w:val="21"/>
                    </w:rPr>
                    <w:t>装备</w:t>
                  </w:r>
                  <w:r>
                    <w:rPr>
                      <w:rFonts w:hint="eastAsia" w:ascii="Times New Roman" w:hAnsi="Times New Roman" w:eastAsia="宋体"/>
                      <w:sz w:val="21"/>
                    </w:rPr>
                    <w:t>加工</w:t>
                  </w:r>
                  <w:r>
                    <w:rPr>
                      <w:rFonts w:ascii="Times New Roman" w:hAnsi="Times New Roman" w:eastAsia="宋体"/>
                      <w:sz w:val="21"/>
                    </w:rPr>
                    <w:t>制造、新材料、零部件</w:t>
                  </w:r>
                  <w:r>
                    <w:rPr>
                      <w:rFonts w:hint="eastAsia" w:ascii="Times New Roman" w:hAnsi="Times New Roman" w:eastAsia="宋体"/>
                      <w:sz w:val="21"/>
                    </w:rPr>
                    <w:t>加工</w:t>
                  </w:r>
                  <w:r>
                    <w:rPr>
                      <w:rFonts w:ascii="Times New Roman" w:hAnsi="Times New Roman" w:eastAsia="宋体"/>
                      <w:sz w:val="21"/>
                    </w:rPr>
                    <w:t>、</w:t>
                  </w:r>
                  <w:r>
                    <w:rPr>
                      <w:rFonts w:hint="eastAsia" w:ascii="Times New Roman" w:hAnsi="Times New Roman" w:eastAsia="宋体"/>
                      <w:sz w:val="21"/>
                    </w:rPr>
                    <w:t>智能家居</w:t>
                  </w:r>
                  <w:r>
                    <w:rPr>
                      <w:rFonts w:ascii="Times New Roman" w:hAnsi="Times New Roman" w:eastAsia="宋体"/>
                      <w:sz w:val="21"/>
                    </w:rPr>
                    <w:t>、</w:t>
                  </w:r>
                  <w:r>
                    <w:rPr>
                      <w:rFonts w:hint="eastAsia" w:ascii="Times New Roman" w:hAnsi="Times New Roman" w:eastAsia="宋体"/>
                      <w:sz w:val="21"/>
                    </w:rPr>
                    <w:t>包装印刷、橡胶塑料制品</w:t>
                  </w:r>
                  <w:r>
                    <w:rPr>
                      <w:rFonts w:ascii="Times New Roman" w:hAnsi="Times New Roman" w:eastAsia="宋体"/>
                      <w:sz w:val="21"/>
                    </w:rPr>
                    <w:t>等为主。</w:t>
                  </w:r>
                  <w:r>
                    <w:rPr>
                      <w:rFonts w:hint="eastAsia" w:ascii="Times New Roman" w:hAnsi="Times New Roman" w:eastAsia="宋体"/>
                      <w:sz w:val="21"/>
                    </w:rPr>
                    <w:t>本项目属于加工制造类企业，符合产业结构及定位。</w:t>
                  </w:r>
                </w:p>
                <w:p>
                  <w:pPr>
                    <w:pStyle w:val="25"/>
                    <w:adjustRightInd w:val="0"/>
                    <w:snapToGrid w:val="0"/>
                    <w:ind w:firstLine="0" w:firstLineChars="0"/>
                    <w:rPr>
                      <w:rFonts w:ascii="Times New Roman" w:hAnsi="Times New Roman" w:eastAsia="宋体"/>
                      <w:sz w:val="21"/>
                    </w:rPr>
                  </w:pPr>
                  <w:r>
                    <w:rPr>
                      <w:rFonts w:hint="eastAsia" w:ascii="Times New Roman" w:hAnsi="Times New Roman" w:eastAsia="宋体"/>
                      <w:sz w:val="21"/>
                    </w:rPr>
                    <w:t>（四）本项目不涉及。</w:t>
                  </w:r>
                </w:p>
                <w:p>
                  <w:pPr>
                    <w:pStyle w:val="25"/>
                    <w:adjustRightInd w:val="0"/>
                    <w:snapToGrid w:val="0"/>
                    <w:ind w:firstLine="0" w:firstLineChars="0"/>
                    <w:rPr>
                      <w:rFonts w:ascii="Times New Roman" w:hAnsi="Times New Roman" w:eastAsia="宋体"/>
                      <w:sz w:val="21"/>
                    </w:rPr>
                  </w:pPr>
                  <w:r>
                    <w:rPr>
                      <w:rFonts w:hint="eastAsia" w:ascii="Times New Roman" w:hAnsi="Times New Roman" w:eastAsia="宋体"/>
                      <w:sz w:val="21"/>
                    </w:rPr>
                    <w:t>（五）本项目不涉及。</w:t>
                  </w:r>
                </w:p>
                <w:p>
                  <w:pPr>
                    <w:pStyle w:val="25"/>
                    <w:adjustRightInd w:val="0"/>
                    <w:snapToGrid w:val="0"/>
                    <w:ind w:firstLine="0" w:firstLineChars="0"/>
                    <w:rPr>
                      <w:rFonts w:ascii="Times New Roman" w:hAnsi="Times New Roman" w:eastAsia="宋体"/>
                      <w:sz w:val="21"/>
                    </w:rPr>
                  </w:pPr>
                  <w:r>
                    <w:rPr>
                      <w:rFonts w:hint="eastAsia" w:ascii="Times New Roman" w:hAnsi="Times New Roman" w:eastAsia="宋体"/>
                      <w:sz w:val="21"/>
                    </w:rPr>
                    <w:t>（六）本项目不涉及。</w:t>
                  </w:r>
                </w:p>
              </w:tc>
              <w:tc>
                <w:tcPr>
                  <w:tcW w:w="704" w:type="dxa"/>
                  <w:tcBorders>
                    <w:top w:val="single" w:color="auto" w:sz="4" w:space="0"/>
                    <w:left w:val="single" w:color="auto" w:sz="4" w:space="0"/>
                    <w:bottom w:val="single" w:color="auto" w:sz="4" w:space="0"/>
                    <w:right w:val="single" w:color="auto" w:sz="4" w:space="0"/>
                  </w:tcBorders>
                  <w:vAlign w:val="center"/>
                </w:tcPr>
                <w:p>
                  <w:pPr>
                    <w:pStyle w:val="25"/>
                    <w:adjustRightInd w:val="0"/>
                    <w:snapToGrid w:val="0"/>
                    <w:ind w:firstLine="0" w:firstLineChars="0"/>
                    <w:jc w:val="center"/>
                    <w:rPr>
                      <w:rFonts w:ascii="Times New Roman" w:hAnsi="Times New Roman" w:eastAsia="宋体"/>
                      <w:sz w:val="21"/>
                    </w:rPr>
                  </w:pPr>
                  <w:r>
                    <w:rPr>
                      <w:rFonts w:hint="eastAsia" w:ascii="Times New Roman" w:hAnsi="Times New Roman" w:eastAsia="宋体"/>
                      <w:sz w:val="21"/>
                    </w:rPr>
                    <w:t>符合</w:t>
                  </w:r>
                </w:p>
              </w:tc>
            </w:tr>
          </w:tbl>
          <w:p>
            <w:pPr>
              <w:widowControl/>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综上所述，本项目符合</w:t>
            </w:r>
            <w:r>
              <w:rPr>
                <w:rFonts w:hint="eastAsia" w:ascii="Times New Roman" w:hAnsi="Times New Roman" w:eastAsia="宋体"/>
                <w:sz w:val="24"/>
                <w:szCs w:val="24"/>
              </w:rPr>
              <w:t>《西安市蓝田工业园电商物流片区控制性详细规划》</w:t>
            </w:r>
            <w:r>
              <w:rPr>
                <w:rFonts w:hint="eastAsia" w:ascii="Times New Roman" w:hAnsi="Times New Roman" w:eastAsia="宋体"/>
                <w:sz w:val="24"/>
              </w:rPr>
              <w:t>、</w:t>
            </w:r>
            <w:r>
              <w:rPr>
                <w:rFonts w:hint="eastAsia" w:ascii="Times New Roman" w:hAnsi="Times New Roman" w:eastAsia="宋体"/>
                <w:kern w:val="0"/>
                <w:sz w:val="24"/>
                <w:szCs w:val="24"/>
              </w:rPr>
              <w:t>《</w:t>
            </w:r>
            <w:r>
              <w:rPr>
                <w:rFonts w:hint="eastAsia" w:ascii="Times New Roman" w:hAnsi="Times New Roman" w:eastAsia="宋体"/>
                <w:sz w:val="24"/>
                <w:szCs w:val="24"/>
              </w:rPr>
              <w:t>西安市蓝田工业园电商物流片区控制性详细规划环境影响报告书</w:t>
            </w:r>
            <w:r>
              <w:rPr>
                <w:rFonts w:hint="eastAsia" w:ascii="Times New Roman" w:hAnsi="Times New Roman" w:eastAsia="宋体"/>
                <w:kern w:val="0"/>
                <w:sz w:val="24"/>
                <w:szCs w:val="24"/>
              </w:rPr>
              <w:t>》</w:t>
            </w:r>
            <w:r>
              <w:rPr>
                <w:rFonts w:hint="eastAsia" w:ascii="Times New Roman" w:hAnsi="Times New Roman" w:eastAsia="宋体"/>
                <w:sz w:val="24"/>
              </w:rPr>
              <w:t>及审查意见的函</w:t>
            </w:r>
            <w:r>
              <w:rPr>
                <w:rFonts w:hint="eastAsia" w:ascii="Times New Roman" w:hAnsi="Times New Roman" w:eastAsia="宋体"/>
                <w:sz w:val="24"/>
                <w:szCs w:val="24"/>
              </w:rPr>
              <w:t>（蓝环评函［</w:t>
            </w:r>
            <w:r>
              <w:rPr>
                <w:rFonts w:ascii="Times New Roman" w:hAnsi="Times New Roman" w:eastAsia="宋体"/>
                <w:sz w:val="24"/>
                <w:szCs w:val="24"/>
              </w:rPr>
              <w:t>2022</w:t>
            </w:r>
            <w:r>
              <w:rPr>
                <w:rFonts w:hint="eastAsia" w:ascii="Times New Roman" w:hAnsi="Times New Roman" w:eastAsia="宋体"/>
                <w:sz w:val="24"/>
                <w:szCs w:val="24"/>
              </w:rPr>
              <w:t>］</w:t>
            </w:r>
            <w:r>
              <w:rPr>
                <w:rFonts w:ascii="Times New Roman" w:hAnsi="Times New Roman" w:eastAsia="宋体"/>
                <w:sz w:val="24"/>
                <w:szCs w:val="24"/>
              </w:rPr>
              <w:t>001</w:t>
            </w:r>
            <w:r>
              <w:rPr>
                <w:rFonts w:hint="eastAsia" w:ascii="Times New Roman" w:hAnsi="Times New Roman" w:eastAsia="宋体"/>
                <w:sz w:val="24"/>
                <w:szCs w:val="24"/>
              </w:rPr>
              <w:t>号）</w:t>
            </w:r>
            <w:r>
              <w:rPr>
                <w:rFonts w:hint="eastAsia" w:ascii="Times New Roman" w:hAnsi="Times New Roman" w:eastAsia="宋体"/>
                <w:sz w:val="24"/>
              </w:rPr>
              <w:t>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61" w:type="dxa"/>
            <w:tcMar>
              <w:left w:w="57" w:type="dxa"/>
              <w:right w:w="57" w:type="dxa"/>
            </w:tcMar>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其他符合性分析</w:t>
            </w:r>
          </w:p>
        </w:tc>
        <w:tc>
          <w:tcPr>
            <w:tcW w:w="7159" w:type="dxa"/>
            <w:gridSpan w:val="3"/>
            <w:tcMar>
              <w:left w:w="57" w:type="dxa"/>
              <w:right w:w="57" w:type="dxa"/>
            </w:tcMar>
            <w:vAlign w:val="center"/>
          </w:tcPr>
          <w:p>
            <w:pPr>
              <w:adjustRightInd w:val="0"/>
              <w:snapToGrid w:val="0"/>
              <w:spacing w:line="360" w:lineRule="auto"/>
              <w:jc w:val="left"/>
              <w:rPr>
                <w:rFonts w:ascii="Times New Roman" w:hAnsi="Times New Roman" w:eastAsia="宋体"/>
                <w:b/>
                <w:bCs/>
                <w:sz w:val="24"/>
              </w:rPr>
            </w:pPr>
            <w:r>
              <w:rPr>
                <w:rFonts w:hint="eastAsia" w:ascii="Times New Roman" w:hAnsi="Times New Roman" w:eastAsia="宋体"/>
                <w:b/>
                <w:bCs/>
                <w:sz w:val="24"/>
              </w:rPr>
              <w:t>1、与《市场准入负面清单（20</w:t>
            </w:r>
            <w:r>
              <w:rPr>
                <w:rFonts w:ascii="Times New Roman" w:hAnsi="Times New Roman" w:eastAsia="宋体"/>
                <w:b/>
                <w:bCs/>
                <w:sz w:val="24"/>
              </w:rPr>
              <w:t>22</w:t>
            </w:r>
            <w:r>
              <w:rPr>
                <w:rFonts w:hint="eastAsia" w:ascii="Times New Roman" w:hAnsi="Times New Roman" w:eastAsia="宋体"/>
                <w:b/>
                <w:bCs/>
                <w:sz w:val="24"/>
              </w:rPr>
              <w:t>年版）》符合性分析</w:t>
            </w:r>
          </w:p>
          <w:p>
            <w:pPr>
              <w:adjustRightInd w:val="0"/>
              <w:snapToGrid w:val="0"/>
              <w:spacing w:line="360" w:lineRule="auto"/>
              <w:ind w:firstLine="480"/>
              <w:rPr>
                <w:rFonts w:ascii="Times New Roman" w:hAnsi="Times New Roman" w:eastAsia="宋体"/>
                <w:sz w:val="24"/>
              </w:rPr>
            </w:pPr>
            <w:r>
              <w:rPr>
                <w:rFonts w:hint="eastAsia" w:ascii="Times New Roman" w:hAnsi="Times New Roman" w:eastAsia="宋体"/>
                <w:sz w:val="24"/>
              </w:rPr>
              <w:t>本项目行业类别属于“</w:t>
            </w:r>
            <w:r>
              <w:rPr>
                <w:rFonts w:ascii="Times New Roman" w:hAnsi="Times New Roman" w:eastAsia="宋体" w:cs="Times New Roman"/>
                <w:kern w:val="0"/>
                <w:sz w:val="24"/>
                <w:szCs w:val="24"/>
              </w:rPr>
              <w:t>C374</w:t>
            </w:r>
            <w:r>
              <w:rPr>
                <w:rFonts w:hint="eastAsia" w:ascii="Times New Roman" w:hAnsi="Times New Roman" w:eastAsia="宋体" w:cs="Times New Roman"/>
                <w:kern w:val="0"/>
                <w:sz w:val="24"/>
                <w:szCs w:val="24"/>
              </w:rPr>
              <w:t>航空、航天器及设备制造</w:t>
            </w:r>
            <w:r>
              <w:rPr>
                <w:rFonts w:hint="eastAsia" w:ascii="Times New Roman" w:hAnsi="Times New Roman" w:eastAsia="宋体"/>
                <w:sz w:val="24"/>
              </w:rPr>
              <w:t>”，不在《市场准入负面清单（20</w:t>
            </w:r>
            <w:r>
              <w:rPr>
                <w:rFonts w:ascii="Times New Roman" w:hAnsi="Times New Roman" w:eastAsia="宋体"/>
                <w:sz w:val="24"/>
              </w:rPr>
              <w:t>22</w:t>
            </w:r>
            <w:r>
              <w:rPr>
                <w:rFonts w:hint="eastAsia" w:ascii="Times New Roman" w:hAnsi="Times New Roman" w:eastAsia="宋体"/>
                <w:sz w:val="24"/>
              </w:rPr>
              <w:t>年版）》所列禁止准入类之中，因此项目的建设符合《市场准入负面清单（20</w:t>
            </w:r>
            <w:r>
              <w:rPr>
                <w:rFonts w:ascii="Times New Roman" w:hAnsi="Times New Roman" w:eastAsia="宋体"/>
                <w:sz w:val="24"/>
              </w:rPr>
              <w:t>22</w:t>
            </w:r>
            <w:r>
              <w:rPr>
                <w:rFonts w:hint="eastAsia" w:ascii="Times New Roman" w:hAnsi="Times New Roman" w:eastAsia="宋体"/>
                <w:sz w:val="24"/>
              </w:rPr>
              <w:t>年版）》要求。</w:t>
            </w:r>
          </w:p>
          <w:p>
            <w:pPr>
              <w:adjustRightInd w:val="0"/>
              <w:snapToGrid w:val="0"/>
              <w:spacing w:line="360" w:lineRule="auto"/>
              <w:rPr>
                <w:rFonts w:ascii="Times New Roman" w:hAnsi="Times New Roman" w:eastAsia="宋体"/>
                <w:b/>
                <w:bCs/>
                <w:sz w:val="24"/>
              </w:rPr>
            </w:pPr>
            <w:r>
              <w:rPr>
                <w:rFonts w:hint="eastAsia" w:ascii="Times New Roman" w:hAnsi="Times New Roman" w:eastAsia="宋体"/>
                <w:b/>
                <w:bCs/>
                <w:sz w:val="24"/>
              </w:rPr>
              <w:t>2、产业政策符合性分析</w:t>
            </w:r>
          </w:p>
          <w:p>
            <w:pPr>
              <w:adjustRightInd w:val="0"/>
              <w:snapToGrid w:val="0"/>
              <w:spacing w:line="360" w:lineRule="auto"/>
              <w:ind w:firstLine="480" w:firstLineChars="200"/>
              <w:rPr>
                <w:rFonts w:ascii="Times New Roman" w:hAnsi="Times New Roman" w:eastAsia="宋体"/>
              </w:rPr>
            </w:pPr>
            <w:r>
              <w:rPr>
                <w:rFonts w:ascii="Times New Roman" w:hAnsi="Times New Roman" w:eastAsia="宋体"/>
                <w:sz w:val="24"/>
              </w:rPr>
              <w:t>本项目</w:t>
            </w:r>
            <w:r>
              <w:rPr>
                <w:rFonts w:hint="eastAsia" w:ascii="Times New Roman" w:hAnsi="Times New Roman" w:eastAsia="宋体"/>
                <w:sz w:val="24"/>
              </w:rPr>
              <w:t>不属于</w:t>
            </w:r>
            <w:r>
              <w:rPr>
                <w:rFonts w:ascii="Times New Roman" w:hAnsi="Times New Roman" w:eastAsia="宋体"/>
                <w:sz w:val="24"/>
              </w:rPr>
              <w:t>《产业结构调整指导目录》（2024年本）</w:t>
            </w:r>
            <w:r>
              <w:rPr>
                <w:rFonts w:hint="eastAsia" w:ascii="Times New Roman" w:hAnsi="Times New Roman" w:eastAsia="宋体"/>
                <w:sz w:val="24"/>
              </w:rPr>
              <w:t>中限制类和淘汰类项目；不属于《</w:t>
            </w:r>
            <w:r>
              <w:rPr>
                <w:rFonts w:ascii="Times New Roman" w:hAnsi="Times New Roman" w:eastAsia="宋体"/>
                <w:sz w:val="24"/>
              </w:rPr>
              <w:t>陕西省投资限制类产业指导目录</w:t>
            </w:r>
            <w:r>
              <w:rPr>
                <w:rFonts w:hint="eastAsia" w:ascii="Times New Roman" w:hAnsi="Times New Roman" w:eastAsia="宋体"/>
                <w:sz w:val="24"/>
              </w:rPr>
              <w:t>》（</w:t>
            </w:r>
            <w:r>
              <w:rPr>
                <w:rFonts w:ascii="Times New Roman" w:hAnsi="Times New Roman" w:eastAsia="宋体"/>
                <w:sz w:val="24"/>
              </w:rPr>
              <w:t>陕发改产业【2007】97号</w:t>
            </w:r>
            <w:r>
              <w:rPr>
                <w:rFonts w:hint="eastAsia" w:ascii="Times New Roman" w:hAnsi="Times New Roman" w:eastAsia="宋体"/>
                <w:sz w:val="24"/>
              </w:rPr>
              <w:t>）中限制类项目，符合产业政策</w:t>
            </w:r>
            <w:r>
              <w:rPr>
                <w:rFonts w:hint="eastAsia" w:ascii="Times New Roman" w:hAnsi="Times New Roman" w:eastAsia="宋体"/>
              </w:rPr>
              <w:t>。</w:t>
            </w:r>
          </w:p>
          <w:p>
            <w:pPr>
              <w:adjustRightInd w:val="0"/>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3、</w:t>
            </w:r>
            <w:r>
              <w:rPr>
                <w:rFonts w:ascii="Times New Roman" w:hAnsi="Times New Roman" w:eastAsia="宋体"/>
                <w:sz w:val="24"/>
                <w:szCs w:val="24"/>
              </w:rPr>
              <w:t>选址合理性分析</w:t>
            </w:r>
          </w:p>
          <w:p>
            <w:pPr>
              <w:adjustRightInd w:val="0"/>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本项目位于陕西省西安市蓝田县规划一路1号三元科技创新园B29栋，位于工业园区，根据土地利用规划图（附图7）可知，项目土地性质为二类工业用地，根据“附件5</w:t>
            </w:r>
            <w:r>
              <w:rPr>
                <w:rFonts w:ascii="Times New Roman" w:hAnsi="Times New Roman" w:eastAsia="宋体"/>
                <w:sz w:val="24"/>
                <w:szCs w:val="24"/>
              </w:rPr>
              <w:t xml:space="preserve"> </w:t>
            </w:r>
            <w:r>
              <w:rPr>
                <w:rFonts w:hint="eastAsia" w:ascii="Times New Roman" w:hAnsi="Times New Roman" w:eastAsia="宋体"/>
                <w:sz w:val="24"/>
                <w:szCs w:val="24"/>
              </w:rPr>
              <w:t>园区关于本项目入园的意见”，项目符合园区产业规划，占地面积</w:t>
            </w:r>
            <w:r>
              <w:rPr>
                <w:rFonts w:ascii="Times New Roman" w:hAnsi="Times New Roman" w:eastAsia="宋体"/>
                <w:sz w:val="24"/>
                <w:szCs w:val="24"/>
              </w:rPr>
              <w:t>1970</w:t>
            </w:r>
            <w:r>
              <w:rPr>
                <w:rFonts w:hint="eastAsia" w:ascii="Times New Roman" w:hAnsi="Times New Roman" w:eastAsia="宋体"/>
                <w:sz w:val="24"/>
                <w:szCs w:val="24"/>
              </w:rPr>
              <w:t>m</w:t>
            </w:r>
            <w:r>
              <w:rPr>
                <w:rFonts w:hint="eastAsia" w:ascii="Times New Roman" w:hAnsi="Times New Roman" w:eastAsia="宋体"/>
                <w:sz w:val="24"/>
                <w:szCs w:val="24"/>
                <w:vertAlign w:val="superscript"/>
              </w:rPr>
              <w:t>2</w:t>
            </w:r>
            <w:r>
              <w:rPr>
                <w:rFonts w:hint="eastAsia" w:ascii="Times New Roman" w:hAnsi="Times New Roman" w:eastAsia="宋体"/>
                <w:sz w:val="24"/>
                <w:szCs w:val="24"/>
              </w:rPr>
              <w:t>，厂区满足本项目生产要求。三元科技创新园供水、供电、消防系统、雨污水管网等基础设施均已建成，园区配套设施成熟，可满足本项目需求。</w:t>
            </w:r>
          </w:p>
          <w:p>
            <w:pPr>
              <w:adjustRightInd w:val="0"/>
              <w:snapToGrid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项目</w:t>
            </w:r>
            <w:r>
              <w:rPr>
                <w:rFonts w:hint="eastAsia" w:ascii="Times New Roman" w:hAnsi="Times New Roman" w:eastAsia="宋体"/>
                <w:sz w:val="24"/>
                <w:szCs w:val="24"/>
              </w:rPr>
              <w:t>东临西安领筑智造</w:t>
            </w:r>
            <w:r>
              <w:rPr>
                <w:rFonts w:hint="eastAsia" w:ascii="Times New Roman" w:hAnsi="Times New Roman" w:eastAsia="宋体"/>
                <w:smallCaps/>
                <w:sz w:val="24"/>
                <w:szCs w:val="24"/>
              </w:rPr>
              <w:t>科技有限公司，南</w:t>
            </w:r>
            <w:r>
              <w:rPr>
                <w:rFonts w:hint="eastAsia" w:ascii="Times New Roman" w:hAnsi="Times New Roman" w:eastAsia="宋体"/>
                <w:sz w:val="24"/>
                <w:szCs w:val="24"/>
              </w:rPr>
              <w:t>临</w:t>
            </w:r>
            <w:r>
              <w:rPr>
                <w:rFonts w:hint="eastAsia" w:ascii="Times New Roman" w:hAnsi="Times New Roman" w:eastAsia="宋体"/>
                <w:smallCaps/>
                <w:sz w:val="24"/>
                <w:szCs w:val="24"/>
              </w:rPr>
              <w:t>B</w:t>
            </w:r>
            <w:r>
              <w:rPr>
                <w:rFonts w:ascii="Times New Roman" w:hAnsi="Times New Roman" w:eastAsia="宋体"/>
                <w:smallCaps/>
                <w:sz w:val="24"/>
                <w:szCs w:val="24"/>
              </w:rPr>
              <w:t>25</w:t>
            </w:r>
            <w:r>
              <w:rPr>
                <w:rFonts w:hint="eastAsia" w:ascii="Times New Roman" w:hAnsi="Times New Roman" w:eastAsia="宋体"/>
                <w:smallCaps/>
                <w:sz w:val="24"/>
                <w:szCs w:val="24"/>
              </w:rPr>
              <w:t>栋厂房，西临B</w:t>
            </w:r>
            <w:r>
              <w:rPr>
                <w:rFonts w:ascii="Times New Roman" w:hAnsi="Times New Roman" w:eastAsia="宋体"/>
                <w:smallCaps/>
                <w:sz w:val="24"/>
                <w:szCs w:val="24"/>
              </w:rPr>
              <w:t>28</w:t>
            </w:r>
            <w:r>
              <w:rPr>
                <w:rFonts w:hint="eastAsia" w:ascii="Times New Roman" w:hAnsi="Times New Roman" w:eastAsia="宋体"/>
                <w:smallCaps/>
                <w:sz w:val="24"/>
                <w:szCs w:val="24"/>
              </w:rPr>
              <w:t>栋厂房，北临B</w:t>
            </w:r>
            <w:r>
              <w:rPr>
                <w:rFonts w:ascii="Times New Roman" w:hAnsi="Times New Roman" w:eastAsia="宋体"/>
                <w:smallCaps/>
                <w:sz w:val="24"/>
                <w:szCs w:val="24"/>
              </w:rPr>
              <w:t>31</w:t>
            </w:r>
            <w:r>
              <w:rPr>
                <w:rFonts w:hint="eastAsia" w:ascii="Times New Roman" w:hAnsi="Times New Roman" w:eastAsia="宋体"/>
                <w:smallCaps/>
                <w:sz w:val="24"/>
                <w:szCs w:val="24"/>
              </w:rPr>
              <w:t>栋厂房，距最近村庄（华山沟）1</w:t>
            </w:r>
            <w:r>
              <w:rPr>
                <w:rFonts w:ascii="Times New Roman" w:hAnsi="Times New Roman" w:eastAsia="宋体"/>
                <w:smallCaps/>
                <w:sz w:val="24"/>
                <w:szCs w:val="24"/>
              </w:rPr>
              <w:t>69</w:t>
            </w:r>
            <w:r>
              <w:rPr>
                <w:rFonts w:hint="eastAsia" w:ascii="Times New Roman" w:hAnsi="Times New Roman" w:eastAsia="宋体"/>
                <w:sz w:val="24"/>
                <w:szCs w:val="24"/>
              </w:rPr>
              <w:t>m</w:t>
            </w:r>
            <w:r>
              <w:rPr>
                <w:rFonts w:hint="eastAsia" w:ascii="Times New Roman" w:hAnsi="Times New Roman" w:eastAsia="宋体"/>
                <w:smallCaps/>
                <w:sz w:val="24"/>
                <w:szCs w:val="24"/>
              </w:rPr>
              <w:t>，</w:t>
            </w:r>
            <w:r>
              <w:rPr>
                <w:rFonts w:ascii="Times New Roman" w:hAnsi="Times New Roman" w:eastAsia="宋体"/>
                <w:smallCaps/>
                <w:sz w:val="24"/>
                <w:szCs w:val="24"/>
              </w:rPr>
              <w:t>附近1</w:t>
            </w:r>
            <w:r>
              <w:rPr>
                <w:rFonts w:ascii="Times New Roman" w:hAnsi="Times New Roman" w:eastAsia="宋体"/>
                <w:sz w:val="24"/>
                <w:szCs w:val="24"/>
              </w:rPr>
              <w:t>km</w:t>
            </w:r>
            <w:r>
              <w:rPr>
                <w:rFonts w:ascii="Times New Roman" w:hAnsi="Times New Roman" w:eastAsia="宋体"/>
                <w:smallCaps/>
                <w:sz w:val="24"/>
                <w:szCs w:val="24"/>
              </w:rPr>
              <w:t>范围内无集中式水源地、自然保护区、风景名胜区、文物保护单位</w:t>
            </w:r>
            <w:r>
              <w:rPr>
                <w:rFonts w:ascii="Times New Roman" w:hAnsi="Times New Roman" w:eastAsia="宋体"/>
                <w:sz w:val="24"/>
                <w:szCs w:val="24"/>
              </w:rPr>
              <w:t>、革命历史古迹及珍稀濒危野生动植物等特殊环境保护目标。项目产生的各类污染物在采取本环评提出的各项污染防治措施后均能达标排放，项目运营对其影响较小。</w:t>
            </w:r>
          </w:p>
          <w:p>
            <w:pPr>
              <w:adjustRightInd w:val="0"/>
              <w:snapToGrid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因此，项目选址</w:t>
            </w:r>
            <w:r>
              <w:rPr>
                <w:rFonts w:hint="eastAsia" w:ascii="Times New Roman" w:hAnsi="Times New Roman" w:eastAsia="宋体"/>
                <w:sz w:val="24"/>
                <w:szCs w:val="24"/>
              </w:rPr>
              <w:t>基本</w:t>
            </w:r>
            <w:r>
              <w:rPr>
                <w:rFonts w:ascii="Times New Roman" w:hAnsi="Times New Roman" w:eastAsia="宋体"/>
                <w:sz w:val="24"/>
                <w:szCs w:val="24"/>
              </w:rPr>
              <w:t>合理。</w:t>
            </w:r>
          </w:p>
          <w:p>
            <w:pPr>
              <w:adjustRightInd w:val="0"/>
              <w:snapToGrid w:val="0"/>
              <w:spacing w:line="360" w:lineRule="auto"/>
              <w:ind w:firstLine="420" w:firstLineChars="200"/>
              <w:rPr>
                <w:rFonts w:ascii="Times New Roman" w:hAnsi="Times New Roman" w:eastAsia="宋体"/>
              </w:rPr>
            </w:pPr>
          </w:p>
        </w:tc>
      </w:tr>
    </w:tbl>
    <w:p>
      <w:pPr>
        <w:pStyle w:val="21"/>
        <w:rPr>
          <w:color w:val="auto"/>
        </w:rPr>
        <w:sectPr>
          <w:footerReference r:id="rId5" w:type="default"/>
          <w:pgSz w:w="11906" w:h="16838"/>
          <w:pgMar w:top="1440" w:right="1797" w:bottom="1440" w:left="1797" w:header="851" w:footer="992" w:gutter="0"/>
          <w:pgNumType w:start="1"/>
          <w:cols w:space="425" w:num="1"/>
          <w:docGrid w:type="lines" w:linePitch="312" w:charSpace="0"/>
        </w:sectPr>
      </w:pPr>
      <w:bookmarkStart w:id="1" w:name="_Toc18215"/>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7" w:hRule="atLeast"/>
        </w:trPr>
        <w:tc>
          <w:tcPr>
            <w:tcW w:w="1555" w:type="dxa"/>
            <w:vAlign w:val="center"/>
          </w:tcPr>
          <w:p>
            <w:pPr>
              <w:pStyle w:val="21"/>
              <w:rPr>
                <w:color w:val="auto"/>
              </w:rPr>
            </w:pPr>
            <w:r>
              <w:rPr>
                <w:rFonts w:hint="eastAsia"/>
                <w:color w:val="auto"/>
              </w:rPr>
              <w:t>其他符合性分析</w:t>
            </w:r>
          </w:p>
        </w:tc>
        <w:tc>
          <w:tcPr>
            <w:tcW w:w="12393" w:type="dxa"/>
          </w:tcPr>
          <w:p>
            <w:pPr>
              <w:adjustRightInd w:val="0"/>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b/>
                <w:bCs/>
                <w:kern w:val="0"/>
                <w:sz w:val="24"/>
                <w:szCs w:val="24"/>
              </w:rPr>
              <w:t>4、政策相符性分析</w:t>
            </w:r>
          </w:p>
          <w:p>
            <w:pPr>
              <w:pStyle w:val="71"/>
              <w:rPr>
                <w:color w:val="auto"/>
              </w:rPr>
            </w:pPr>
            <w:r>
              <w:rPr>
                <w:color w:val="auto"/>
              </w:rPr>
              <w:t>表1-2  本项目与相关政策符合性分析</w:t>
            </w:r>
          </w:p>
          <w:tbl>
            <w:tblPr>
              <w:tblStyle w:val="2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748"/>
              <w:gridCol w:w="5743"/>
              <w:gridCol w:w="394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jc w:val="center"/>
                    <w:rPr>
                      <w:rFonts w:ascii="Times New Roman" w:hAnsi="Times New Roman" w:eastAsia="宋体"/>
                      <w:b/>
                      <w:bCs/>
                    </w:rPr>
                  </w:pPr>
                  <w:bookmarkStart w:id="2" w:name="_Hlk157519227"/>
                  <w:r>
                    <w:rPr>
                      <w:rFonts w:ascii="Times New Roman" w:hAnsi="Times New Roman" w:eastAsia="宋体"/>
                      <w:b/>
                      <w:bCs/>
                    </w:rPr>
                    <w:t>文件</w:t>
                  </w:r>
                </w:p>
              </w:tc>
              <w:tc>
                <w:tcPr>
                  <w:tcW w:w="2362" w:type="pct"/>
                  <w:vAlign w:val="center"/>
                </w:tcPr>
                <w:p>
                  <w:pPr>
                    <w:adjustRightInd w:val="0"/>
                    <w:snapToGrid w:val="0"/>
                    <w:spacing w:line="240" w:lineRule="atLeast"/>
                    <w:jc w:val="center"/>
                    <w:rPr>
                      <w:rFonts w:ascii="Times New Roman" w:hAnsi="Times New Roman" w:eastAsia="宋体"/>
                      <w:b/>
                      <w:bCs/>
                    </w:rPr>
                  </w:pPr>
                  <w:r>
                    <w:rPr>
                      <w:rFonts w:ascii="Times New Roman" w:hAnsi="Times New Roman" w:eastAsia="宋体"/>
                      <w:b/>
                      <w:bCs/>
                    </w:rPr>
                    <w:t>政策要求</w:t>
                  </w:r>
                </w:p>
              </w:tc>
              <w:tc>
                <w:tcPr>
                  <w:tcW w:w="1622" w:type="pct"/>
                  <w:vAlign w:val="center"/>
                </w:tcPr>
                <w:p>
                  <w:pPr>
                    <w:adjustRightInd w:val="0"/>
                    <w:snapToGrid w:val="0"/>
                    <w:spacing w:line="240" w:lineRule="atLeast"/>
                    <w:jc w:val="center"/>
                    <w:rPr>
                      <w:rFonts w:ascii="Times New Roman" w:hAnsi="Times New Roman" w:eastAsia="宋体"/>
                      <w:b/>
                      <w:bCs/>
                    </w:rPr>
                  </w:pPr>
                  <w:r>
                    <w:rPr>
                      <w:rFonts w:ascii="Times New Roman" w:hAnsi="Times New Roman" w:eastAsia="宋体"/>
                      <w:b/>
                      <w:bCs/>
                    </w:rPr>
                    <w:t>拟采取措施</w:t>
                  </w:r>
                </w:p>
              </w:tc>
              <w:tc>
                <w:tcPr>
                  <w:tcW w:w="297" w:type="pct"/>
                  <w:vAlign w:val="center"/>
                </w:tcPr>
                <w:p>
                  <w:pPr>
                    <w:adjustRightInd w:val="0"/>
                    <w:snapToGrid w:val="0"/>
                    <w:spacing w:line="240" w:lineRule="atLeast"/>
                    <w:jc w:val="center"/>
                    <w:rPr>
                      <w:rFonts w:ascii="Times New Roman" w:hAnsi="Times New Roman" w:eastAsia="宋体"/>
                      <w:b/>
                      <w:bCs/>
                    </w:rPr>
                  </w:pPr>
                  <w:r>
                    <w:rPr>
                      <w:rFonts w:hint="eastAsia" w:ascii="Times New Roman" w:hAnsi="Times New Roman" w:eastAsia="宋体"/>
                      <w:b/>
                      <w:bCs/>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jc w:val="center"/>
                    <w:rPr>
                      <w:rFonts w:ascii="Times New Roman" w:hAnsi="Times New Roman" w:eastAsia="宋体"/>
                      <w:b/>
                      <w:bCs/>
                    </w:rPr>
                  </w:pPr>
                  <w:r>
                    <w:rPr>
                      <w:rFonts w:hint="eastAsia" w:ascii="Times New Roman" w:hAnsi="Times New Roman" w:eastAsia="宋体"/>
                    </w:rPr>
                    <w:t>《“十四五”土壤、地下水和农村生态环境保护规划》（环土壤〔2021〕120号）</w:t>
                  </w:r>
                </w:p>
              </w:tc>
              <w:tc>
                <w:tcPr>
                  <w:tcW w:w="2362" w:type="pct"/>
                  <w:vAlign w:val="center"/>
                </w:tcPr>
                <w:p>
                  <w:pPr>
                    <w:adjustRightInd w:val="0"/>
                    <w:snapToGrid w:val="0"/>
                    <w:spacing w:line="240" w:lineRule="atLeast"/>
                    <w:rPr>
                      <w:rFonts w:ascii="Times New Roman" w:hAnsi="Times New Roman" w:eastAsia="宋体"/>
                    </w:rPr>
                  </w:pPr>
                  <w:r>
                    <w:rPr>
                      <w:rFonts w:hint="eastAsia" w:ascii="Times New Roman" w:hAnsi="Times New Roman" w:eastAsia="宋体"/>
                    </w:rPr>
                    <w:t>2.防范工矿企业新增土壤污染。严格建设项目土壤环境影响评价制度。对涉及有毒有害物质可能造成土壤污染的新(改、扩) 建项目，依法进行环境影响评价，提出并落实防腐蚀、防渗漏、防遗撒等土壤污染防治具体措施。</w:t>
                  </w:r>
                </w:p>
              </w:tc>
              <w:tc>
                <w:tcPr>
                  <w:tcW w:w="1622" w:type="pct"/>
                  <w:vAlign w:val="center"/>
                </w:tcPr>
                <w:p>
                  <w:pPr>
                    <w:adjustRightInd w:val="0"/>
                    <w:snapToGrid w:val="0"/>
                    <w:spacing w:line="240" w:lineRule="atLeast"/>
                    <w:jc w:val="center"/>
                    <w:rPr>
                      <w:rFonts w:ascii="Times New Roman" w:hAnsi="Times New Roman" w:eastAsia="宋体"/>
                      <w:b/>
                      <w:bCs/>
                    </w:rPr>
                  </w:pPr>
                  <w:r>
                    <w:rPr>
                      <w:rFonts w:hint="eastAsia" w:ascii="Times New Roman" w:hAnsi="Times New Roman" w:eastAsia="宋体"/>
                    </w:rPr>
                    <w:t>本项目厂区采取分区防渗措施，提出并落实防腐蚀、防渗漏、防遗撒等土壤污染防治具体措施，可有效避免污染土壤。</w:t>
                  </w:r>
                </w:p>
              </w:tc>
              <w:tc>
                <w:tcPr>
                  <w:tcW w:w="297" w:type="pct"/>
                  <w:vAlign w:val="center"/>
                </w:tcPr>
                <w:p>
                  <w:pPr>
                    <w:adjustRightInd w:val="0"/>
                    <w:snapToGrid w:val="0"/>
                    <w:spacing w:line="240" w:lineRule="atLeast"/>
                    <w:jc w:val="center"/>
                    <w:rPr>
                      <w:rFonts w:ascii="Times New Roman" w:hAnsi="Times New Roman" w:eastAsia="宋体"/>
                      <w:b/>
                      <w:bCs/>
                    </w:rPr>
                  </w:pPr>
                  <w:r>
                    <w:rPr>
                      <w:rFonts w:hint="eastAsia" w:ascii="Times New Roman" w:hAnsi="Times New Roman" w:eastAsia="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rPr>
                      <w:rFonts w:ascii="Times New Roman" w:hAnsi="Times New Roman" w:eastAsia="宋体"/>
                    </w:rPr>
                  </w:pPr>
                  <w:r>
                    <w:rPr>
                      <w:rFonts w:ascii="Times New Roman" w:hAnsi="Times New Roman" w:eastAsia="宋体"/>
                    </w:rPr>
                    <w:t>《陕西省“十四五”生态环境保护规划》</w:t>
                  </w:r>
                </w:p>
              </w:tc>
              <w:tc>
                <w:tcPr>
                  <w:tcW w:w="2362" w:type="pct"/>
                  <w:vAlign w:val="center"/>
                </w:tcPr>
                <w:p>
                  <w:pPr>
                    <w:pStyle w:val="106"/>
                    <w:spacing w:line="240" w:lineRule="atLeast"/>
                    <w:ind w:firstLine="0"/>
                    <w:rPr>
                      <w:rFonts w:ascii="Times New Roman" w:hAnsi="Times New Roman" w:cs="Times New Roman"/>
                      <w:sz w:val="21"/>
                      <w:szCs w:val="21"/>
                      <w:lang w:val="en"/>
                    </w:rPr>
                  </w:pPr>
                  <w:r>
                    <w:rPr>
                      <w:rFonts w:ascii="Times New Roman" w:hAnsi="Times New Roman" w:cstheme="minorBidi"/>
                      <w:sz w:val="21"/>
                      <w:szCs w:val="21"/>
                      <w:lang w:val="en-US" w:eastAsia="zh-CN" w:bidi="ar-SA"/>
                    </w:rPr>
                    <w:t>推进重点行业挥发性有机物综合整治。建立石化、化工、工业涂装、包装印刷、家具、电子制造、工程机械制造等重点行业源头、过程和末端全过程控制体系，实施挥发性有机物总量控制。全面落实《挥发性有机物无组织排放控制标准（GB37822-2019）》要求，持续开展无组织排放排查整治工作，加强含挥发性有机物物料全方位、全链条、全环节密闭管理。企业新建治污设施或对现有治污设施实施改造，应依据排放废气的浓度、组分、风量，温度、湿度、压力，以及生产工况等，合理选择治理技术和治污设施，提高挥发性有机物治理效率。</w:t>
                  </w:r>
                </w:p>
              </w:tc>
              <w:tc>
                <w:tcPr>
                  <w:tcW w:w="1622" w:type="pct"/>
                  <w:vAlign w:val="center"/>
                </w:tcPr>
                <w:p>
                  <w:pPr>
                    <w:adjustRightInd w:val="0"/>
                    <w:snapToGrid w:val="0"/>
                    <w:spacing w:line="240" w:lineRule="atLeast"/>
                    <w:rPr>
                      <w:rFonts w:ascii="Times New Roman" w:hAnsi="Times New Roman" w:eastAsia="宋体"/>
                    </w:rPr>
                  </w:pPr>
                  <w:r>
                    <w:rPr>
                      <w:rFonts w:hint="eastAsia" w:ascii="Times New Roman" w:hAnsi="Times New Roman" w:eastAsia="宋体"/>
                    </w:rPr>
                    <w:t>项目涂装工序属于重点行业，</w:t>
                  </w:r>
                  <w:r>
                    <w:rPr>
                      <w:rFonts w:ascii="Times New Roman" w:hAnsi="Times New Roman" w:eastAsia="宋体"/>
                    </w:rPr>
                    <w:t>使用涂料为</w:t>
                  </w:r>
                  <w:r>
                    <w:rPr>
                      <w:rFonts w:hint="eastAsia" w:ascii="Times New Roman" w:hAnsi="Times New Roman" w:eastAsia="宋体"/>
                    </w:rPr>
                    <w:t>低挥发性有机物含量</w:t>
                  </w:r>
                  <w:r>
                    <w:rPr>
                      <w:rFonts w:ascii="Times New Roman" w:hAnsi="Times New Roman" w:eastAsia="宋体"/>
                    </w:rPr>
                    <w:t>涂料</w:t>
                  </w:r>
                  <w:r>
                    <w:rPr>
                      <w:rFonts w:hint="eastAsia" w:ascii="Times New Roman" w:hAnsi="Times New Roman" w:eastAsia="宋体"/>
                    </w:rPr>
                    <w:t>，生产过程中产生的废气经管道负压收集处理，其中颗粒物通过除尘装置处理后由17m排气筒排放；产生的漆雾、挥发性有机物经干式过滤器+吸附</w:t>
                  </w:r>
                  <w:r>
                    <w:rPr>
                      <w:rFonts w:ascii="Times New Roman" w:hAnsi="Times New Roman" w:eastAsia="宋体"/>
                    </w:rPr>
                    <w:t>脱附催化燃烧</w:t>
                  </w:r>
                  <w:r>
                    <w:rPr>
                      <w:rFonts w:hint="eastAsia" w:ascii="Times New Roman" w:hAnsi="Times New Roman" w:eastAsia="宋体"/>
                    </w:rPr>
                    <w:t>处理后由17m排气筒排放；符合</w:t>
                  </w:r>
                  <w:r>
                    <w:rPr>
                      <w:rFonts w:ascii="Times New Roman" w:hAnsi="Times New Roman" w:eastAsia="宋体"/>
                    </w:rPr>
                    <w:t>源头、过程和末端全过程控制体系</w:t>
                  </w:r>
                  <w:r>
                    <w:rPr>
                      <w:rFonts w:hint="eastAsia" w:ascii="Times New Roman" w:hAnsi="Times New Roman" w:eastAsia="宋体"/>
                    </w:rPr>
                    <w:t>，</w:t>
                  </w:r>
                  <w:r>
                    <w:rPr>
                      <w:rFonts w:ascii="Times New Roman" w:hAnsi="Times New Roman" w:eastAsia="宋体"/>
                    </w:rPr>
                    <w:t>全面落实</w:t>
                  </w:r>
                  <w:r>
                    <w:rPr>
                      <w:rFonts w:hint="eastAsia" w:ascii="Times New Roman" w:hAnsi="Times New Roman" w:eastAsia="宋体"/>
                    </w:rPr>
                    <w:t>了</w:t>
                  </w:r>
                  <w:r>
                    <w:rPr>
                      <w:rFonts w:ascii="Times New Roman" w:hAnsi="Times New Roman" w:eastAsia="宋体"/>
                    </w:rPr>
                    <w:t>《挥发性有机物无组织排放控制标准（GB37822-2019）》要求，加强</w:t>
                  </w:r>
                  <w:r>
                    <w:rPr>
                      <w:rFonts w:hint="eastAsia" w:ascii="Times New Roman" w:hAnsi="Times New Roman" w:eastAsia="宋体"/>
                    </w:rPr>
                    <w:t>了</w:t>
                  </w:r>
                  <w:r>
                    <w:rPr>
                      <w:rFonts w:ascii="Times New Roman" w:hAnsi="Times New Roman" w:eastAsia="宋体"/>
                    </w:rPr>
                    <w:t>全环节密闭管理</w:t>
                  </w:r>
                  <w:r>
                    <w:rPr>
                      <w:rFonts w:hint="eastAsia" w:ascii="Times New Roman" w:hAnsi="Times New Roman" w:eastAsia="宋体"/>
                    </w:rPr>
                    <w:t>，通过环保措施提高了挥发性有机物治理效率，</w:t>
                  </w:r>
                  <w:r>
                    <w:rPr>
                      <w:rFonts w:ascii="Times New Roman" w:hAnsi="Times New Roman" w:eastAsia="宋体"/>
                    </w:rPr>
                    <w:t>满足</w:t>
                  </w:r>
                  <w:r>
                    <w:rPr>
                      <w:rFonts w:hint="eastAsia" w:ascii="Times New Roman" w:hAnsi="Times New Roman" w:eastAsia="宋体"/>
                    </w:rPr>
                    <w:t>相关</w:t>
                  </w:r>
                  <w:r>
                    <w:rPr>
                      <w:rFonts w:ascii="Times New Roman" w:hAnsi="Times New Roman" w:eastAsia="宋体"/>
                    </w:rPr>
                    <w:t>标准要求</w:t>
                  </w:r>
                  <w:r>
                    <w:rPr>
                      <w:rFonts w:hint="eastAsia" w:ascii="Times New Roman" w:hAnsi="Times New Roman" w:eastAsia="宋体"/>
                      <w:lang w:val="en"/>
                    </w:rPr>
                    <w:t>。</w:t>
                  </w:r>
                </w:p>
              </w:tc>
              <w:tc>
                <w:tcPr>
                  <w:tcW w:w="297" w:type="pct"/>
                  <w:vAlign w:val="center"/>
                </w:tcPr>
                <w:p>
                  <w:pPr>
                    <w:adjustRightInd w:val="0"/>
                    <w:snapToGrid w:val="0"/>
                    <w:spacing w:line="240" w:lineRule="atLeast"/>
                    <w:jc w:val="center"/>
                    <w:rPr>
                      <w:rFonts w:ascii="Times New Roman" w:hAnsi="Times New Roman" w:eastAsia="宋体"/>
                    </w:rPr>
                  </w:pPr>
                  <w:r>
                    <w:rPr>
                      <w:rFonts w:ascii="Times New Roman" w:hAnsi="Times New Roman" w:eastAsia="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rPr>
                      <w:rFonts w:ascii="Times New Roman" w:hAnsi="Times New Roman" w:eastAsia="宋体"/>
                    </w:rPr>
                  </w:pPr>
                  <w:r>
                    <w:rPr>
                      <w:rFonts w:ascii="Times New Roman" w:hAnsi="Times New Roman" w:eastAsia="宋体" w:cs="Times New Roman"/>
                    </w:rPr>
                    <w:t>《西安市“十四五”生态环境保护规划》</w:t>
                  </w:r>
                </w:p>
              </w:tc>
              <w:tc>
                <w:tcPr>
                  <w:tcW w:w="2362" w:type="pct"/>
                  <w:vAlign w:val="center"/>
                </w:tcPr>
                <w:p>
                  <w:pPr>
                    <w:adjustRightInd w:val="0"/>
                    <w:snapToGrid w:val="0"/>
                    <w:spacing w:line="240" w:lineRule="atLeast"/>
                    <w:rPr>
                      <w:rFonts w:ascii="Times New Roman" w:hAnsi="Times New Roman" w:eastAsia="宋体"/>
                    </w:rPr>
                  </w:pPr>
                  <w:r>
                    <w:rPr>
                      <w:rFonts w:ascii="Times New Roman" w:hAnsi="Times New Roman" w:eastAsia="宋体" w:cs="Times New Roman"/>
                    </w:rPr>
                    <w:t>强化VOCs综合整治。将挥发性有机物纳入污染物排放总量控制体系，有效减少重点污染源、全社会挥发性有机物和NOx排放总量。开展重点行业工业企业挥发性有机物无组织排放治理，以工业涂装、包装印刷、汽修和油品储运销等为重点领域，以工业园区、企业集群和重点企业为重点管控对象，全面加强对光化学反应活性强的VOCs物质控制。建立完善重点行业源头、过程和末端VOCs全过程控制体系，实施VOCs总量控制。严格落实产品强制标准中VOCs含量限值；全面落实《挥发性有机物无组织排放控制标准》要求，引导企业加强对含VOCs物料的存储、转移和输送等环节的</w:t>
                  </w:r>
                  <w:r>
                    <w:rPr>
                      <w:rFonts w:ascii="Times New Roman" w:hAnsi="Times New Roman" w:eastAsia="宋体"/>
                    </w:rPr>
                    <w:t>全方位</w:t>
                  </w:r>
                  <w:r>
                    <w:rPr>
                      <w:rFonts w:ascii="Times New Roman" w:hAnsi="Times New Roman" w:eastAsia="宋体" w:cs="Times New Roman"/>
                    </w:rPr>
                    <w:t>密闭管理，以及对设备与管线组件泄漏、敞开液面逸散以及工艺过程等方面的全过程精细化管控，实现VOCs排放量明显下降。</w:t>
                  </w:r>
                </w:p>
              </w:tc>
              <w:tc>
                <w:tcPr>
                  <w:tcW w:w="1622" w:type="pct"/>
                  <w:vAlign w:val="center"/>
                </w:tcPr>
                <w:p>
                  <w:pPr>
                    <w:adjustRightInd w:val="0"/>
                    <w:snapToGrid w:val="0"/>
                    <w:spacing w:line="240" w:lineRule="atLeast"/>
                    <w:rPr>
                      <w:rFonts w:ascii="Times New Roman" w:hAnsi="Times New Roman" w:eastAsia="宋体"/>
                    </w:rPr>
                  </w:pPr>
                  <w:r>
                    <w:rPr>
                      <w:rFonts w:hint="eastAsia" w:ascii="Times New Roman" w:hAnsi="Times New Roman" w:eastAsia="宋体"/>
                    </w:rPr>
                    <w:t>项目涂装工序属于重点行业，</w:t>
                  </w:r>
                  <w:r>
                    <w:rPr>
                      <w:rFonts w:ascii="Times New Roman" w:hAnsi="Times New Roman" w:eastAsia="宋体"/>
                    </w:rPr>
                    <w:t>使用涂料为</w:t>
                  </w:r>
                  <w:r>
                    <w:rPr>
                      <w:rFonts w:hint="eastAsia" w:ascii="Times New Roman" w:hAnsi="Times New Roman" w:eastAsia="宋体"/>
                    </w:rPr>
                    <w:t>低挥发性有机物含量</w:t>
                  </w:r>
                  <w:r>
                    <w:rPr>
                      <w:rFonts w:ascii="Times New Roman" w:hAnsi="Times New Roman" w:eastAsia="宋体"/>
                    </w:rPr>
                    <w:t>涂料</w:t>
                  </w:r>
                  <w:r>
                    <w:rPr>
                      <w:rFonts w:hint="eastAsia" w:ascii="Times New Roman" w:hAnsi="Times New Roman" w:eastAsia="宋体"/>
                    </w:rPr>
                    <w:t>，生产过程中产生的废气经管道负压收集处理，其中颗粒物通过除尘装置处理后由17m排气筒排放；产生的漆雾、挥发性有机物经干式过滤器+吸附</w:t>
                  </w:r>
                  <w:r>
                    <w:rPr>
                      <w:rFonts w:ascii="Times New Roman" w:hAnsi="Times New Roman" w:eastAsia="宋体"/>
                    </w:rPr>
                    <w:t>脱附催化燃烧</w:t>
                  </w:r>
                  <w:r>
                    <w:rPr>
                      <w:rFonts w:hint="eastAsia" w:ascii="Times New Roman" w:hAnsi="Times New Roman" w:eastAsia="宋体"/>
                    </w:rPr>
                    <w:t>处理后由17m排气筒排放；符合</w:t>
                  </w:r>
                  <w:r>
                    <w:rPr>
                      <w:rFonts w:ascii="Times New Roman" w:hAnsi="Times New Roman" w:eastAsia="宋体"/>
                    </w:rPr>
                    <w:t>源头、过程和末端全过程控制体系</w:t>
                  </w:r>
                  <w:r>
                    <w:rPr>
                      <w:rFonts w:hint="eastAsia" w:ascii="Times New Roman" w:hAnsi="Times New Roman" w:eastAsia="宋体"/>
                    </w:rPr>
                    <w:t>，</w:t>
                  </w:r>
                  <w:r>
                    <w:rPr>
                      <w:rFonts w:ascii="Times New Roman" w:hAnsi="Times New Roman" w:eastAsia="宋体"/>
                    </w:rPr>
                    <w:t>全面落实</w:t>
                  </w:r>
                  <w:r>
                    <w:rPr>
                      <w:rFonts w:hint="eastAsia" w:ascii="Times New Roman" w:hAnsi="Times New Roman" w:eastAsia="宋体"/>
                    </w:rPr>
                    <w:t>了</w:t>
                  </w:r>
                  <w:r>
                    <w:rPr>
                      <w:rFonts w:ascii="Times New Roman" w:hAnsi="Times New Roman" w:eastAsia="宋体"/>
                    </w:rPr>
                    <w:t>《挥发性有机物无组织排放控制标准（GB37822-2019）》要求，</w:t>
                  </w:r>
                  <w:r>
                    <w:rPr>
                      <w:rFonts w:hint="eastAsia" w:ascii="Times New Roman" w:hAnsi="Times New Roman" w:eastAsia="宋体"/>
                    </w:rPr>
                    <w:t>通过环保措施提高了挥发性有机物治理效率，</w:t>
                  </w:r>
                  <w:r>
                    <w:rPr>
                      <w:rFonts w:ascii="Times New Roman" w:hAnsi="Times New Roman" w:eastAsia="宋体"/>
                    </w:rPr>
                    <w:t>满足</w:t>
                  </w:r>
                  <w:r>
                    <w:rPr>
                      <w:rFonts w:hint="eastAsia" w:ascii="Times New Roman" w:hAnsi="Times New Roman" w:eastAsia="宋体"/>
                    </w:rPr>
                    <w:t>相关排放</w:t>
                  </w:r>
                  <w:r>
                    <w:rPr>
                      <w:rFonts w:ascii="Times New Roman" w:hAnsi="Times New Roman" w:eastAsia="宋体"/>
                    </w:rPr>
                    <w:t>标准要求</w:t>
                  </w:r>
                  <w:r>
                    <w:rPr>
                      <w:rFonts w:hint="eastAsia" w:ascii="Times New Roman" w:hAnsi="Times New Roman" w:eastAsia="宋体"/>
                    </w:rPr>
                    <w:t>。同时要求企业</w:t>
                  </w:r>
                  <w:r>
                    <w:rPr>
                      <w:rFonts w:ascii="Times New Roman" w:hAnsi="Times New Roman" w:eastAsia="宋体"/>
                    </w:rPr>
                    <w:t>加强</w:t>
                  </w:r>
                  <w:r>
                    <w:rPr>
                      <w:rFonts w:hint="eastAsia" w:ascii="Times New Roman" w:hAnsi="Times New Roman" w:eastAsia="宋体"/>
                    </w:rPr>
                    <w:t>对V</w:t>
                  </w:r>
                  <w:r>
                    <w:rPr>
                      <w:rFonts w:ascii="Times New Roman" w:hAnsi="Times New Roman" w:eastAsia="宋体"/>
                    </w:rPr>
                    <w:t>OC</w:t>
                  </w:r>
                  <w:r>
                    <w:rPr>
                      <w:rFonts w:hint="eastAsia" w:ascii="Times New Roman" w:hAnsi="Times New Roman" w:eastAsia="宋体"/>
                    </w:rPr>
                    <w:t>s物料储存、输送等</w:t>
                  </w:r>
                  <w:r>
                    <w:rPr>
                      <w:rFonts w:ascii="Times New Roman" w:hAnsi="Times New Roman" w:eastAsia="宋体"/>
                    </w:rPr>
                    <w:t>全环节密闭管理</w:t>
                  </w:r>
                  <w:r>
                    <w:rPr>
                      <w:rFonts w:hint="eastAsia" w:ascii="Times New Roman" w:hAnsi="Times New Roman" w:eastAsia="宋体"/>
                    </w:rPr>
                    <w:t>，并加强涉及V</w:t>
                  </w:r>
                  <w:r>
                    <w:rPr>
                      <w:rFonts w:ascii="Times New Roman" w:hAnsi="Times New Roman" w:eastAsia="宋体"/>
                    </w:rPr>
                    <w:t>OC</w:t>
                  </w:r>
                  <w:r>
                    <w:rPr>
                      <w:rFonts w:hint="eastAsia" w:ascii="Times New Roman" w:hAnsi="Times New Roman" w:eastAsia="宋体"/>
                    </w:rPr>
                    <w:t>s的设备及管线检修，实现V</w:t>
                  </w:r>
                  <w:r>
                    <w:rPr>
                      <w:rFonts w:ascii="Times New Roman" w:hAnsi="Times New Roman" w:eastAsia="宋体"/>
                    </w:rPr>
                    <w:t>OC</w:t>
                  </w:r>
                  <w:r>
                    <w:rPr>
                      <w:rFonts w:hint="eastAsia" w:ascii="Times New Roman" w:hAnsi="Times New Roman" w:eastAsia="宋体"/>
                    </w:rPr>
                    <w:t>s排放量明显下降</w:t>
                  </w:r>
                  <w:r>
                    <w:rPr>
                      <w:rFonts w:hint="eastAsia" w:ascii="Times New Roman" w:hAnsi="Times New Roman" w:eastAsia="宋体"/>
                      <w:lang w:val="en"/>
                    </w:rPr>
                    <w:t>。</w:t>
                  </w:r>
                  <w:r>
                    <w:rPr>
                      <w:rFonts w:hint="eastAsia" w:ascii="Times New Roman" w:hAnsi="Times New Roman" w:eastAsia="宋体"/>
                    </w:rPr>
                    <w:t>本次环评依据“十四五”规划，将V</w:t>
                  </w:r>
                  <w:r>
                    <w:rPr>
                      <w:rFonts w:ascii="Times New Roman" w:hAnsi="Times New Roman" w:eastAsia="宋体"/>
                    </w:rPr>
                    <w:t>OC</w:t>
                  </w:r>
                  <w:r>
                    <w:rPr>
                      <w:rFonts w:hint="eastAsia" w:ascii="Times New Roman" w:hAnsi="Times New Roman" w:eastAsia="宋体"/>
                    </w:rPr>
                    <w:t>s</w:t>
                  </w:r>
                  <w:r>
                    <w:rPr>
                      <w:rFonts w:ascii="Times New Roman" w:hAnsi="Times New Roman" w:eastAsia="宋体"/>
                    </w:rPr>
                    <w:t>纳入污染物排放总量控制体系</w:t>
                  </w:r>
                  <w:r>
                    <w:rPr>
                      <w:rFonts w:hint="eastAsia" w:ascii="Times New Roman" w:hAnsi="Times New Roman" w:eastAsia="宋体"/>
                    </w:rPr>
                    <w:t>。</w:t>
                  </w:r>
                </w:p>
              </w:tc>
              <w:tc>
                <w:tcPr>
                  <w:tcW w:w="297" w:type="pct"/>
                  <w:vAlign w:val="center"/>
                </w:tcPr>
                <w:p>
                  <w:pPr>
                    <w:adjustRightInd w:val="0"/>
                    <w:snapToGrid w:val="0"/>
                    <w:spacing w:line="240" w:lineRule="atLeast"/>
                    <w:jc w:val="center"/>
                    <w:rPr>
                      <w:rFonts w:ascii="Times New Roman" w:hAnsi="Times New Roman" w:eastAsia="宋体"/>
                    </w:rPr>
                  </w:pPr>
                  <w:r>
                    <w:rPr>
                      <w:rFonts w:ascii="Times New Roman" w:hAnsi="Times New Roman" w:eastAsia="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rPr>
                      <w:rFonts w:ascii="Times New Roman" w:hAnsi="Times New Roman" w:eastAsia="宋体"/>
                    </w:rPr>
                  </w:pPr>
                  <w:r>
                    <w:rPr>
                      <w:rFonts w:hint="eastAsia" w:ascii="Times New Roman" w:hAnsi="Times New Roman" w:eastAsia="宋体"/>
                    </w:rPr>
                    <w:t>《西安市“十四五”工业和信息化发展规划》</w:t>
                  </w:r>
                </w:p>
              </w:tc>
              <w:tc>
                <w:tcPr>
                  <w:tcW w:w="2362" w:type="pct"/>
                  <w:vAlign w:val="center"/>
                </w:tcPr>
                <w:p>
                  <w:pPr>
                    <w:widowControl/>
                    <w:shd w:val="clear" w:color="auto" w:fill="FFFFFF"/>
                    <w:adjustRightInd w:val="0"/>
                    <w:snapToGrid w:val="0"/>
                    <w:rPr>
                      <w:rFonts w:ascii="Times New Roman" w:hAnsi="Times New Roman" w:eastAsia="宋体"/>
                    </w:rPr>
                  </w:pPr>
                  <w:r>
                    <w:rPr>
                      <w:rFonts w:hint="eastAsia" w:ascii="Times New Roman" w:hAnsi="Times New Roman" w:eastAsia="宋体"/>
                    </w:rPr>
                    <w:t>改进装备工艺提高生产效能：加快淘汰落后工艺技术和设备，推广应用自动化、数字化、网络化、智能化等先进制造系统、智能制造设备及大型成套技术装备。支持重点企业瞄准世界前沿技术，加快装备升级改造，推动关键领域的技术装备达到国际先进水平。引导制造业企业根据行业发展和自身实际，以提高质量、提高效率、提高生产稳定性、降低消耗、降低成本为主攻方向，积极采用先进工艺技术，实施原料处理、加工制造、产品精制等环节工艺流程和生产物流过程优化改造，提高企业制造水平和技术经济指标。</w:t>
                  </w:r>
                </w:p>
              </w:tc>
              <w:tc>
                <w:tcPr>
                  <w:tcW w:w="1622" w:type="pct"/>
                  <w:vAlign w:val="center"/>
                </w:tcPr>
                <w:p>
                  <w:pPr>
                    <w:adjustRightInd w:val="0"/>
                    <w:snapToGrid w:val="0"/>
                    <w:spacing w:line="240" w:lineRule="atLeast"/>
                    <w:rPr>
                      <w:rFonts w:ascii="Times New Roman" w:hAnsi="Times New Roman" w:eastAsia="宋体"/>
                    </w:rPr>
                  </w:pPr>
                  <w:r>
                    <w:rPr>
                      <w:rFonts w:hint="eastAsia" w:ascii="Times New Roman" w:hAnsi="Times New Roman" w:eastAsia="宋体"/>
                    </w:rPr>
                    <w:t>本项目无落后生产工艺及设备，项目使用能源为水、电，不属于高耗能高污染项目，原料均属于低V</w:t>
                  </w:r>
                  <w:r>
                    <w:rPr>
                      <w:rFonts w:ascii="Times New Roman" w:hAnsi="Times New Roman" w:eastAsia="宋体"/>
                    </w:rPr>
                    <w:t>OC</w:t>
                  </w:r>
                  <w:r>
                    <w:rPr>
                      <w:rFonts w:hint="eastAsia" w:ascii="Times New Roman" w:hAnsi="Times New Roman" w:eastAsia="宋体"/>
                    </w:rPr>
                    <w:t>原料，工艺效率较高，生产稳定，优化了企业制造水平。</w:t>
                  </w:r>
                </w:p>
              </w:tc>
              <w:tc>
                <w:tcPr>
                  <w:tcW w:w="297" w:type="pct"/>
                  <w:vAlign w:val="center"/>
                </w:tcPr>
                <w:p>
                  <w:pPr>
                    <w:adjustRightInd w:val="0"/>
                    <w:snapToGrid w:val="0"/>
                    <w:spacing w:line="240" w:lineRule="atLeast"/>
                    <w:jc w:val="center"/>
                    <w:rPr>
                      <w:rFonts w:ascii="Times New Roman" w:hAnsi="Times New Roman" w:eastAsia="宋体"/>
                    </w:rPr>
                  </w:pPr>
                  <w:r>
                    <w:rPr>
                      <w:rFonts w:hint="eastAsia" w:ascii="Times New Roman" w:hAnsi="Times New Roman" w:eastAsia="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rPr>
                      <w:rFonts w:ascii="Times New Roman" w:hAnsi="Times New Roman" w:eastAsia="宋体"/>
                    </w:rPr>
                  </w:pPr>
                  <w:r>
                    <w:rPr>
                      <w:rFonts w:hint="eastAsia" w:ascii="Times New Roman" w:hAnsi="Times New Roman" w:eastAsia="宋体"/>
                    </w:rPr>
                    <w:t>《西安市“十四五”产业发展规划》</w:t>
                  </w:r>
                </w:p>
              </w:tc>
              <w:tc>
                <w:tcPr>
                  <w:tcW w:w="2362" w:type="pct"/>
                  <w:vAlign w:val="center"/>
                </w:tcPr>
                <w:p>
                  <w:pPr>
                    <w:adjustRightInd w:val="0"/>
                    <w:snapToGrid w:val="0"/>
                    <w:spacing w:line="240" w:lineRule="atLeast"/>
                    <w:rPr>
                      <w:rFonts w:ascii="Times New Roman" w:hAnsi="Times New Roman" w:eastAsia="宋体"/>
                    </w:rPr>
                  </w:pPr>
                  <w:r>
                    <w:rPr>
                      <w:rFonts w:ascii="Times New Roman" w:hAnsi="Times New Roman" w:eastAsia="宋体"/>
                    </w:rPr>
                    <w:t>坚持绿色低碳。贯彻“绿水青山就是金山银山”理念，对标国家碳达峰碳中和战略要求，将绿色发展理念融入到产业发展全过程，加快产业发展方式从粗放型向集约型、环境友好型转变，构建绿色产业体系。抢抓绿色发展机遇，加快构建绿色技术创新体系，推进绿色能源、绿色制造、绿色服务发展，发展循环经济，推动减量化、轻量化生产，壮大清洁生产产业和清洁能源企业，为经济转型升级增添强劲“绿色动力”。</w:t>
                  </w:r>
                </w:p>
              </w:tc>
              <w:tc>
                <w:tcPr>
                  <w:tcW w:w="1622" w:type="pct"/>
                  <w:vAlign w:val="center"/>
                </w:tcPr>
                <w:p>
                  <w:pPr>
                    <w:adjustRightInd w:val="0"/>
                    <w:snapToGrid w:val="0"/>
                    <w:spacing w:line="240" w:lineRule="atLeast"/>
                    <w:rPr>
                      <w:rFonts w:ascii="Times New Roman" w:hAnsi="Times New Roman" w:eastAsia="宋体"/>
                    </w:rPr>
                  </w:pPr>
                  <w:r>
                    <w:rPr>
                      <w:rFonts w:hint="eastAsia" w:ascii="Times New Roman" w:hAnsi="Times New Roman" w:eastAsia="宋体"/>
                    </w:rPr>
                    <w:t>本项目原料均属于低V</w:t>
                  </w:r>
                  <w:r>
                    <w:rPr>
                      <w:rFonts w:ascii="Times New Roman" w:hAnsi="Times New Roman" w:eastAsia="宋体"/>
                    </w:rPr>
                    <w:t>OC</w:t>
                  </w:r>
                  <w:r>
                    <w:rPr>
                      <w:rFonts w:hint="eastAsia" w:ascii="Times New Roman" w:hAnsi="Times New Roman" w:eastAsia="宋体"/>
                    </w:rPr>
                    <w:t>原料，有机废气通过干式过滤器+吸附脱附催化燃烧废气处理装置处理后有组织排放，粉尘通过脉冲除尘器处理后有组织排放；无生产废水产生，生活污水经厂内化粪池处理后通过园区污水管网排入蓝田工业园（洩湖镇）污水处理站，推动了</w:t>
                  </w:r>
                  <w:r>
                    <w:rPr>
                      <w:rFonts w:ascii="Times New Roman" w:hAnsi="Times New Roman" w:eastAsia="宋体"/>
                    </w:rPr>
                    <w:t>清洁生产</w:t>
                  </w:r>
                  <w:r>
                    <w:rPr>
                      <w:rFonts w:hint="eastAsia" w:ascii="Times New Roman" w:hAnsi="Times New Roman" w:eastAsia="宋体"/>
                    </w:rPr>
                    <w:t>。</w:t>
                  </w:r>
                </w:p>
              </w:tc>
              <w:tc>
                <w:tcPr>
                  <w:tcW w:w="297" w:type="pct"/>
                  <w:vAlign w:val="center"/>
                </w:tcPr>
                <w:p>
                  <w:pPr>
                    <w:adjustRightInd w:val="0"/>
                    <w:snapToGrid w:val="0"/>
                    <w:spacing w:line="240" w:lineRule="atLeast"/>
                    <w:jc w:val="center"/>
                    <w:rPr>
                      <w:rFonts w:ascii="Times New Roman" w:hAnsi="Times New Roman" w:eastAsia="宋体"/>
                    </w:rPr>
                  </w:pPr>
                  <w:r>
                    <w:rPr>
                      <w:rFonts w:hint="eastAsia" w:ascii="Times New Roman" w:hAnsi="Times New Roman" w:eastAsia="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rPr>
                      <w:rFonts w:ascii="Times New Roman" w:hAnsi="Times New Roman" w:eastAsia="宋体"/>
                    </w:rPr>
                  </w:pPr>
                  <w:r>
                    <w:rPr>
                      <w:rFonts w:hint="eastAsia" w:ascii="Times New Roman" w:hAnsi="Times New Roman" w:eastAsia="宋体"/>
                    </w:rPr>
                    <w:t>陕西省大气污染治理专项行动方案（2023-2027年）</w:t>
                  </w:r>
                </w:p>
              </w:tc>
              <w:tc>
                <w:tcPr>
                  <w:tcW w:w="2362" w:type="pct"/>
                  <w:vAlign w:val="center"/>
                </w:tcPr>
                <w:p>
                  <w:pPr>
                    <w:adjustRightInd w:val="0"/>
                    <w:snapToGrid w:val="0"/>
                    <w:spacing w:line="240" w:lineRule="atLeast"/>
                    <w:rPr>
                      <w:rFonts w:ascii="Times New Roman" w:hAnsi="Times New Roman" w:eastAsia="宋体"/>
                    </w:rPr>
                  </w:pPr>
                  <w:r>
                    <w:rPr>
                      <w:rFonts w:hint="eastAsia" w:ascii="Times New Roman" w:hAnsi="Times New Roman" w:eastAsia="宋体"/>
                    </w:rPr>
                    <w:t>关中地区市辖区及开发区范围内新、改、扩建涉气重点行业企业应达到环保绩效A级、绩效引领性水平，西安市、咸阳市、渭南市的其他区域应达到环保绩效B级及以上水平。</w:t>
                  </w:r>
                </w:p>
              </w:tc>
              <w:tc>
                <w:tcPr>
                  <w:tcW w:w="1622" w:type="pct"/>
                  <w:vAlign w:val="center"/>
                </w:tcPr>
                <w:p>
                  <w:pPr>
                    <w:adjustRightInd w:val="0"/>
                    <w:snapToGrid w:val="0"/>
                    <w:spacing w:line="240" w:lineRule="atLeast"/>
                    <w:rPr>
                      <w:rFonts w:ascii="Times New Roman" w:hAnsi="Times New Roman" w:eastAsia="宋体"/>
                      <w:kern w:val="21"/>
                    </w:rPr>
                  </w:pPr>
                  <w:r>
                    <w:rPr>
                      <w:rFonts w:hint="eastAsia" w:ascii="Times New Roman" w:hAnsi="Times New Roman" w:eastAsia="宋体"/>
                    </w:rPr>
                    <w:t>本项目属于《重污染天气重点行业应急减排措施制定技术指南》（2</w:t>
                  </w:r>
                  <w:r>
                    <w:rPr>
                      <w:rFonts w:ascii="Times New Roman" w:hAnsi="Times New Roman" w:eastAsia="宋体"/>
                    </w:rPr>
                    <w:t>020</w:t>
                  </w:r>
                  <w:r>
                    <w:rPr>
                      <w:rFonts w:hint="eastAsia" w:ascii="Times New Roman" w:hAnsi="Times New Roman" w:eastAsia="宋体"/>
                    </w:rPr>
                    <w:t>年修订版）中</w:t>
                  </w:r>
                  <w:bookmarkStart w:id="3" w:name="_Hlk154441020"/>
                  <w:r>
                    <w:rPr>
                      <w:rFonts w:hint="eastAsia" w:ascii="Times New Roman" w:hAnsi="Times New Roman" w:eastAsia="宋体"/>
                    </w:rPr>
                    <w:t>三十九、工业涂装</w:t>
                  </w:r>
                  <w:bookmarkEnd w:id="3"/>
                  <w:r>
                    <w:rPr>
                      <w:rFonts w:hint="eastAsia" w:ascii="Times New Roman" w:hAnsi="Times New Roman" w:eastAsia="宋体"/>
                    </w:rPr>
                    <w:t>，位于</w:t>
                  </w:r>
                  <w:r>
                    <w:rPr>
                      <w:rFonts w:ascii="Times New Roman" w:hAnsi="Times New Roman" w:eastAsia="宋体" w:cs="Times New Roman"/>
                      <w:szCs w:val="24"/>
                    </w:rPr>
                    <w:t>蓝田县</w:t>
                  </w:r>
                  <w:r>
                    <w:rPr>
                      <w:rFonts w:hint="eastAsia" w:ascii="Times New Roman" w:hAnsi="Times New Roman" w:eastAsia="宋体" w:cs="Times New Roman"/>
                      <w:szCs w:val="24"/>
                    </w:rPr>
                    <w:t>，</w:t>
                  </w:r>
                  <w:r>
                    <w:rPr>
                      <w:rFonts w:hint="eastAsia" w:ascii="Times New Roman" w:hAnsi="Times New Roman" w:eastAsia="宋体"/>
                    </w:rPr>
                    <w:t>执行环保绩效</w:t>
                  </w:r>
                  <w:r>
                    <w:rPr>
                      <w:rFonts w:ascii="Times New Roman" w:hAnsi="Times New Roman" w:eastAsia="宋体"/>
                    </w:rPr>
                    <w:t>B</w:t>
                  </w:r>
                  <w:r>
                    <w:rPr>
                      <w:rFonts w:hint="eastAsia" w:ascii="Times New Roman" w:hAnsi="Times New Roman" w:eastAsia="宋体"/>
                    </w:rPr>
                    <w:t>级指标，</w:t>
                  </w:r>
                  <w:r>
                    <w:rPr>
                      <w:rFonts w:ascii="Times New Roman" w:hAnsi="Times New Roman" w:eastAsia="宋体"/>
                    </w:rPr>
                    <w:t>详见本报告环保绩效管理篇章</w:t>
                  </w:r>
                  <w:r>
                    <w:rPr>
                      <w:rFonts w:hint="eastAsia" w:ascii="Times New Roman" w:hAnsi="Times New Roman" w:eastAsia="宋体"/>
                    </w:rPr>
                    <w:t>。</w:t>
                  </w:r>
                </w:p>
              </w:tc>
              <w:tc>
                <w:tcPr>
                  <w:tcW w:w="297" w:type="pct"/>
                  <w:vAlign w:val="center"/>
                </w:tcPr>
                <w:p>
                  <w:pPr>
                    <w:adjustRightInd w:val="0"/>
                    <w:snapToGrid w:val="0"/>
                    <w:spacing w:line="240" w:lineRule="atLeast"/>
                    <w:jc w:val="center"/>
                    <w:rPr>
                      <w:rFonts w:ascii="Times New Roman" w:hAnsi="Times New Roman" w:eastAsia="宋体"/>
                    </w:rPr>
                  </w:pPr>
                  <w:r>
                    <w:rPr>
                      <w:rFonts w:ascii="Times New Roman" w:hAnsi="Times New Roman" w:eastAsia="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rPr>
                      <w:rFonts w:ascii="Times New Roman" w:hAnsi="Times New Roman" w:eastAsia="宋体"/>
                    </w:rPr>
                  </w:pPr>
                  <w:r>
                    <w:rPr>
                      <w:rFonts w:ascii="Times New Roman" w:hAnsi="Times New Roman" w:eastAsia="宋体" w:cs="Times New Roman"/>
                    </w:rPr>
                    <w:t>《西安市大气污染治理专项行动方案（2023-2027年）》</w:t>
                  </w:r>
                  <w:r>
                    <w:rPr>
                      <w:rFonts w:hint="eastAsia" w:ascii="Times New Roman" w:hAnsi="Times New Roman" w:eastAsia="宋体" w:cs="Times New Roman"/>
                    </w:rPr>
                    <w:t>（</w:t>
                  </w:r>
                  <w:r>
                    <w:rPr>
                      <w:rFonts w:ascii="Times New Roman" w:hAnsi="Times New Roman" w:eastAsia="宋体" w:cs="Times New Roman"/>
                    </w:rPr>
                    <w:t>市字</w:t>
                  </w:r>
                  <w:r>
                    <w:rPr>
                      <w:rStyle w:val="119"/>
                      <w:rFonts w:ascii="Times New Roman" w:hAnsi="Times New Roman" w:eastAsia="宋体" w:cs="Times New Roman"/>
                    </w:rPr>
                    <w:t>〔</w:t>
                  </w:r>
                  <w:r>
                    <w:rPr>
                      <w:rFonts w:ascii="Times New Roman" w:hAnsi="Times New Roman" w:eastAsia="宋体" w:cs="Times New Roman"/>
                    </w:rPr>
                    <w:t>2023</w:t>
                  </w:r>
                  <w:r>
                    <w:rPr>
                      <w:rStyle w:val="119"/>
                      <w:rFonts w:ascii="Times New Roman" w:hAnsi="Times New Roman" w:eastAsia="宋体" w:cs="Times New Roman"/>
                    </w:rPr>
                    <w:t>〕</w:t>
                  </w:r>
                  <w:r>
                    <w:rPr>
                      <w:rFonts w:ascii="Times New Roman" w:hAnsi="Times New Roman" w:eastAsia="宋体" w:cs="Times New Roman"/>
                    </w:rPr>
                    <w:t>32号</w:t>
                  </w:r>
                  <w:r>
                    <w:rPr>
                      <w:rFonts w:hint="eastAsia" w:ascii="Times New Roman" w:hAnsi="Times New Roman" w:eastAsia="宋体" w:cs="Times New Roman"/>
                    </w:rPr>
                    <w:t>）</w:t>
                  </w:r>
                </w:p>
              </w:tc>
              <w:tc>
                <w:tcPr>
                  <w:tcW w:w="2362" w:type="pct"/>
                  <w:vAlign w:val="center"/>
                </w:tcPr>
                <w:p>
                  <w:pPr>
                    <w:rPr>
                      <w:rFonts w:ascii="Times New Roman" w:hAnsi="Times New Roman" w:eastAsia="宋体"/>
                    </w:rPr>
                  </w:pPr>
                  <w:r>
                    <w:rPr>
                      <w:rFonts w:ascii="Times New Roman" w:hAnsi="Times New Roman" w:eastAsia="宋体" w:cs="Times New Roman"/>
                      <w:szCs w:val="24"/>
                    </w:rPr>
                    <w:t>严格新改扩建涉气重点行业绩效评级限制条件。各区、开发区范围内新改扩建涉气重点行业企业应达到环保绩效A级、绩效引领性水平，周至县、蓝田县应达到环保绩效B级及以上水平。</w:t>
                  </w:r>
                </w:p>
              </w:tc>
              <w:tc>
                <w:tcPr>
                  <w:tcW w:w="1622" w:type="pct"/>
                  <w:vAlign w:val="center"/>
                </w:tcPr>
                <w:p>
                  <w:pPr>
                    <w:adjustRightInd w:val="0"/>
                    <w:snapToGrid w:val="0"/>
                    <w:spacing w:line="240" w:lineRule="atLeast"/>
                    <w:rPr>
                      <w:rFonts w:ascii="Times New Roman" w:hAnsi="Times New Roman" w:eastAsia="宋体"/>
                      <w:kern w:val="21"/>
                    </w:rPr>
                  </w:pPr>
                  <w:r>
                    <w:rPr>
                      <w:rFonts w:hint="eastAsia" w:ascii="Times New Roman" w:hAnsi="Times New Roman" w:eastAsia="宋体"/>
                    </w:rPr>
                    <w:t>本项目属于《重污染天气重点行业应急减排措施制定技术指南》（2</w:t>
                  </w:r>
                  <w:r>
                    <w:rPr>
                      <w:rFonts w:ascii="Times New Roman" w:hAnsi="Times New Roman" w:eastAsia="宋体"/>
                    </w:rPr>
                    <w:t>020</w:t>
                  </w:r>
                  <w:r>
                    <w:rPr>
                      <w:rFonts w:hint="eastAsia" w:ascii="Times New Roman" w:hAnsi="Times New Roman" w:eastAsia="宋体"/>
                    </w:rPr>
                    <w:t>年修订版）中三十九、工业涂装，位于</w:t>
                  </w:r>
                  <w:r>
                    <w:rPr>
                      <w:rFonts w:ascii="Times New Roman" w:hAnsi="Times New Roman" w:eastAsia="宋体" w:cs="Times New Roman"/>
                      <w:szCs w:val="24"/>
                    </w:rPr>
                    <w:t>蓝田县</w:t>
                  </w:r>
                  <w:r>
                    <w:rPr>
                      <w:rFonts w:hint="eastAsia" w:ascii="Times New Roman" w:hAnsi="Times New Roman" w:eastAsia="宋体" w:cs="Times New Roman"/>
                      <w:szCs w:val="24"/>
                    </w:rPr>
                    <w:t>，</w:t>
                  </w:r>
                  <w:r>
                    <w:rPr>
                      <w:rFonts w:hint="eastAsia" w:ascii="Times New Roman" w:hAnsi="Times New Roman" w:eastAsia="宋体"/>
                    </w:rPr>
                    <w:t>执行环保绩效</w:t>
                  </w:r>
                  <w:r>
                    <w:rPr>
                      <w:rFonts w:ascii="Times New Roman" w:hAnsi="Times New Roman" w:eastAsia="宋体"/>
                    </w:rPr>
                    <w:t>B</w:t>
                  </w:r>
                  <w:r>
                    <w:rPr>
                      <w:rFonts w:hint="eastAsia" w:ascii="Times New Roman" w:hAnsi="Times New Roman" w:eastAsia="宋体"/>
                    </w:rPr>
                    <w:t>级指标，</w:t>
                  </w:r>
                  <w:r>
                    <w:rPr>
                      <w:rFonts w:ascii="Times New Roman" w:hAnsi="Times New Roman" w:eastAsia="宋体"/>
                    </w:rPr>
                    <w:t>详见本报告环保绩效管理篇章</w:t>
                  </w:r>
                  <w:r>
                    <w:rPr>
                      <w:rFonts w:hint="eastAsia" w:ascii="Times New Roman" w:hAnsi="Times New Roman" w:eastAsia="宋体"/>
                    </w:rPr>
                    <w:t>。</w:t>
                  </w:r>
                </w:p>
              </w:tc>
              <w:tc>
                <w:tcPr>
                  <w:tcW w:w="297" w:type="pct"/>
                  <w:vAlign w:val="center"/>
                </w:tcPr>
                <w:p>
                  <w:pPr>
                    <w:adjustRightInd w:val="0"/>
                    <w:snapToGrid w:val="0"/>
                    <w:spacing w:line="240" w:lineRule="atLeast"/>
                    <w:jc w:val="center"/>
                    <w:rPr>
                      <w:rFonts w:ascii="Times New Roman" w:hAnsi="Times New Roman" w:eastAsia="宋体"/>
                    </w:rPr>
                  </w:pPr>
                  <w:r>
                    <w:rPr>
                      <w:rFonts w:hint="eastAsia" w:ascii="Times New Roman" w:hAnsi="Times New Roman" w:eastAsia="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rPr>
                      <w:rFonts w:ascii="Times New Roman" w:hAnsi="Times New Roman" w:eastAsia="宋体" w:cs="Times New Roman"/>
                    </w:rPr>
                  </w:pPr>
                  <w:r>
                    <w:rPr>
                      <w:rFonts w:hint="eastAsia" w:ascii="Times New Roman" w:hAnsi="Times New Roman" w:eastAsia="宋体" w:cs="Times New Roman"/>
                    </w:rPr>
                    <w:t>《西安市挥发性有机物污染整治专项实施方案（2023-2027）年》</w:t>
                  </w:r>
                </w:p>
              </w:tc>
              <w:tc>
                <w:tcPr>
                  <w:tcW w:w="2362" w:type="pct"/>
                  <w:vAlign w:val="center"/>
                </w:tcPr>
                <w:p>
                  <w:pPr>
                    <w:rPr>
                      <w:rFonts w:ascii="Times New Roman" w:hAnsi="Times New Roman" w:eastAsia="宋体" w:cs="Times New Roman"/>
                      <w:szCs w:val="24"/>
                    </w:rPr>
                  </w:pPr>
                  <w:r>
                    <w:rPr>
                      <w:rFonts w:ascii="Times New Roman" w:hAnsi="Times New Roman" w:eastAsia="宋体" w:cs="Times New Roman"/>
                      <w:szCs w:val="24"/>
                    </w:rPr>
                    <w:t>采用活性炭吸附技术的，其中颗粒碳碘吸附值不低于800mg/g或四氯化碳吸附率不低于60%，蜂窝活性炭碘吸附值不低于600mg/g或四氯化碳吸附率不低于30%，按设计要求足量添加、定期更换</w:t>
                  </w:r>
                  <w:r>
                    <w:rPr>
                      <w:rFonts w:hint="eastAsia" w:ascii="Times New Roman" w:hAnsi="Times New Roman" w:eastAsia="宋体" w:cs="Times New Roman"/>
                      <w:szCs w:val="24"/>
                    </w:rPr>
                    <w:t>，动态更新挥发性有机物治理设施台账</w:t>
                  </w:r>
                  <w:r>
                    <w:rPr>
                      <w:rFonts w:ascii="Times New Roman" w:hAnsi="Times New Roman" w:eastAsia="宋体" w:cs="Times New Roman"/>
                      <w:szCs w:val="24"/>
                    </w:rPr>
                    <w:t>。组织开展活性炭技术等VOCs治理设施排查，对达不到要求的，应当更换或升级改造，实现稳定达标排放。</w:t>
                  </w:r>
                </w:p>
              </w:tc>
              <w:tc>
                <w:tcPr>
                  <w:tcW w:w="1622" w:type="pct"/>
                  <w:vAlign w:val="center"/>
                </w:tcPr>
                <w:p>
                  <w:pPr>
                    <w:adjustRightInd w:val="0"/>
                    <w:snapToGrid w:val="0"/>
                    <w:spacing w:line="240" w:lineRule="atLeast"/>
                    <w:rPr>
                      <w:rFonts w:ascii="Times New Roman" w:hAnsi="Times New Roman" w:eastAsia="宋体"/>
                    </w:rPr>
                  </w:pPr>
                  <w:r>
                    <w:rPr>
                      <w:rFonts w:hint="eastAsia" w:ascii="Times New Roman" w:hAnsi="Times New Roman" w:eastAsia="宋体" w:cs="Times New Roman"/>
                    </w:rPr>
                    <w:t>本项目拟采用活性炭</w:t>
                  </w:r>
                  <w:r>
                    <w:rPr>
                      <w:rFonts w:ascii="Times New Roman" w:hAnsi="Times New Roman" w:eastAsia="宋体" w:cs="Times New Roman"/>
                    </w:rPr>
                    <w:t>碘吸附值不低于800mg/g</w:t>
                  </w:r>
                  <w:r>
                    <w:rPr>
                      <w:rFonts w:hint="eastAsia" w:ascii="Times New Roman" w:hAnsi="Times New Roman" w:eastAsia="宋体" w:cs="Times New Roman"/>
                    </w:rPr>
                    <w:t>，活性炭</w:t>
                  </w:r>
                  <w:r>
                    <w:rPr>
                      <w:rFonts w:ascii="Times New Roman" w:hAnsi="Times New Roman" w:eastAsia="宋体" w:cs="Times New Roman"/>
                    </w:rPr>
                    <w:t>吸附浓缩</w:t>
                  </w:r>
                  <w:r>
                    <w:rPr>
                      <w:rFonts w:hint="eastAsia" w:ascii="Times New Roman" w:hAnsi="Times New Roman" w:eastAsia="宋体" w:cs="Times New Roman"/>
                    </w:rPr>
                    <w:t>后进行</w:t>
                  </w:r>
                  <w:r>
                    <w:rPr>
                      <w:rFonts w:ascii="Times New Roman" w:hAnsi="Times New Roman" w:eastAsia="宋体" w:cs="Times New Roman"/>
                    </w:rPr>
                    <w:t>脱附再生</w:t>
                  </w:r>
                  <w:r>
                    <w:rPr>
                      <w:rFonts w:hint="eastAsia" w:ascii="Times New Roman" w:hAnsi="Times New Roman" w:eastAsia="宋体" w:cs="Times New Roman"/>
                    </w:rPr>
                    <w:t>，</w:t>
                  </w:r>
                  <w:r>
                    <w:rPr>
                      <w:rFonts w:ascii="Times New Roman" w:hAnsi="Times New Roman" w:eastAsia="宋体" w:cs="Times New Roman"/>
                    </w:rPr>
                    <w:t>企业根据</w:t>
                  </w:r>
                  <w:r>
                    <w:rPr>
                      <w:rFonts w:hint="eastAsia" w:ascii="Times New Roman" w:hAnsi="Times New Roman" w:eastAsia="宋体" w:cs="Times New Roman"/>
                    </w:rPr>
                    <w:t>活性炭吸附能力</w:t>
                  </w:r>
                  <w:r>
                    <w:rPr>
                      <w:rFonts w:ascii="Times New Roman" w:hAnsi="Times New Roman" w:eastAsia="宋体" w:cs="Times New Roman"/>
                    </w:rPr>
                    <w:t>定期更换活性炭</w:t>
                  </w:r>
                  <w:r>
                    <w:rPr>
                      <w:rFonts w:hint="eastAsia" w:ascii="Times New Roman" w:hAnsi="Times New Roman" w:eastAsia="宋体" w:cs="Times New Roman"/>
                    </w:rPr>
                    <w:t>，并</w:t>
                  </w:r>
                  <w:r>
                    <w:rPr>
                      <w:rFonts w:hint="eastAsia" w:ascii="Times New Roman" w:hAnsi="Times New Roman" w:eastAsia="宋体" w:cs="Times New Roman"/>
                      <w:szCs w:val="24"/>
                    </w:rPr>
                    <w:t>更新挥发性有机物治理设施台账</w:t>
                  </w:r>
                  <w:r>
                    <w:rPr>
                      <w:rFonts w:hint="eastAsia" w:ascii="Times New Roman" w:hAnsi="Times New Roman" w:eastAsia="宋体" w:cs="Times New Roman"/>
                    </w:rPr>
                    <w:t>。</w:t>
                  </w:r>
                </w:p>
              </w:tc>
              <w:tc>
                <w:tcPr>
                  <w:tcW w:w="297" w:type="pct"/>
                  <w:vAlign w:val="center"/>
                </w:tcPr>
                <w:p>
                  <w:pPr>
                    <w:adjustRightInd w:val="0"/>
                    <w:snapToGrid w:val="0"/>
                    <w:spacing w:line="240" w:lineRule="atLeast"/>
                    <w:jc w:val="center"/>
                    <w:rPr>
                      <w:rFonts w:ascii="Times New Roman" w:hAnsi="Times New Roman" w:eastAsia="宋体"/>
                    </w:rPr>
                  </w:pPr>
                  <w:r>
                    <w:rPr>
                      <w:rFonts w:hint="eastAsia" w:ascii="Times New Roman" w:hAnsi="Times New Roman" w:eastAsia="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Merge w:val="restart"/>
                  <w:vAlign w:val="center"/>
                </w:tcPr>
                <w:p>
                  <w:pPr>
                    <w:adjustRightInd w:val="0"/>
                    <w:snapToGrid w:val="0"/>
                    <w:spacing w:line="240" w:lineRule="atLeast"/>
                    <w:rPr>
                      <w:rFonts w:ascii="Times New Roman" w:hAnsi="Times New Roman" w:eastAsia="宋体" w:cs="Times New Roman"/>
                    </w:rPr>
                  </w:pPr>
                  <w:r>
                    <w:rPr>
                      <w:rFonts w:ascii="Times New Roman" w:hAnsi="Times New Roman" w:eastAsia="宋体" w:cs="Times New Roman"/>
                    </w:rPr>
                    <w:t>《西安市空气质量达标规划（2023—2030年）》</w:t>
                  </w:r>
                </w:p>
              </w:tc>
              <w:tc>
                <w:tcPr>
                  <w:tcW w:w="2362" w:type="pct"/>
                  <w:vAlign w:val="center"/>
                </w:tcPr>
                <w:p>
                  <w:pPr>
                    <w:rPr>
                      <w:rFonts w:ascii="Times New Roman" w:hAnsi="Times New Roman" w:eastAsia="宋体" w:cs="Times New Roman"/>
                    </w:rPr>
                  </w:pPr>
                  <w:r>
                    <w:rPr>
                      <w:rFonts w:ascii="Times New Roman" w:hAnsi="Times New Roman" w:eastAsia="宋体" w:cs="Times New Roman"/>
                    </w:rPr>
                    <w:t>新建项目不再采用单一低温等离子、光氧化、光催化等治理技术，非水溶性VOCs废气不再采用单一喷淋吸收方式处理。严格新改扩建涉气重点行业绩效评级限制条件，各区县、开发区范围内新改扩建涉气重点行业企业应达到环保绩效A级、绩效引领性水平，周至县、蓝田县应达到环保绩效B级及以上水平。督促指导企业落实重污染天气重点行业绩效分级技术指南要求</w:t>
                  </w:r>
                  <w:r>
                    <w:rPr>
                      <w:rFonts w:hint="eastAsia" w:ascii="Times New Roman" w:hAnsi="Times New Roman" w:eastAsia="宋体" w:cs="Times New Roman"/>
                    </w:rPr>
                    <w:t>。</w:t>
                  </w:r>
                </w:p>
              </w:tc>
              <w:tc>
                <w:tcPr>
                  <w:tcW w:w="1622" w:type="pct"/>
                  <w:vAlign w:val="center"/>
                </w:tcPr>
                <w:p>
                  <w:pPr>
                    <w:adjustRightInd w:val="0"/>
                    <w:snapToGrid w:val="0"/>
                    <w:spacing w:line="240" w:lineRule="atLeast"/>
                    <w:rPr>
                      <w:rFonts w:ascii="Times New Roman" w:hAnsi="Times New Roman" w:eastAsia="宋体" w:cs="Times New Roman"/>
                    </w:rPr>
                  </w:pPr>
                  <w:r>
                    <w:rPr>
                      <w:rFonts w:ascii="Times New Roman" w:hAnsi="Times New Roman" w:eastAsia="宋体"/>
                    </w:rPr>
                    <w:t>项目</w:t>
                  </w:r>
                  <w:r>
                    <w:rPr>
                      <w:rFonts w:hint="eastAsia" w:ascii="Times New Roman" w:hAnsi="Times New Roman" w:eastAsia="宋体"/>
                    </w:rPr>
                    <w:t>产生的漆雾、挥发性有机物经干式过滤器+吸附</w:t>
                  </w:r>
                  <w:r>
                    <w:rPr>
                      <w:rFonts w:ascii="Times New Roman" w:hAnsi="Times New Roman" w:eastAsia="宋体"/>
                    </w:rPr>
                    <w:t>脱附催化燃烧</w:t>
                  </w:r>
                  <w:r>
                    <w:rPr>
                      <w:rFonts w:hint="eastAsia" w:ascii="Times New Roman" w:hAnsi="Times New Roman" w:eastAsia="宋体"/>
                    </w:rPr>
                    <w:t>处理后由17m排气筒排放，处理技术可行；本项目位于</w:t>
                  </w:r>
                  <w:r>
                    <w:rPr>
                      <w:rFonts w:ascii="Times New Roman" w:hAnsi="Times New Roman" w:eastAsia="宋体" w:cs="Times New Roman"/>
                      <w:szCs w:val="24"/>
                    </w:rPr>
                    <w:t>蓝田县</w:t>
                  </w:r>
                  <w:r>
                    <w:rPr>
                      <w:rFonts w:hint="eastAsia" w:ascii="Times New Roman" w:hAnsi="Times New Roman" w:eastAsia="宋体" w:cs="Times New Roman"/>
                      <w:szCs w:val="24"/>
                    </w:rPr>
                    <w:t>，</w:t>
                  </w:r>
                  <w:r>
                    <w:rPr>
                      <w:rFonts w:hint="eastAsia" w:ascii="Times New Roman" w:hAnsi="Times New Roman" w:eastAsia="宋体"/>
                    </w:rPr>
                    <w:t>执行环保绩效</w:t>
                  </w:r>
                  <w:r>
                    <w:rPr>
                      <w:rFonts w:ascii="Times New Roman" w:hAnsi="Times New Roman" w:eastAsia="宋体"/>
                    </w:rPr>
                    <w:t>B</w:t>
                  </w:r>
                  <w:r>
                    <w:rPr>
                      <w:rFonts w:hint="eastAsia" w:ascii="Times New Roman" w:hAnsi="Times New Roman" w:eastAsia="宋体"/>
                    </w:rPr>
                    <w:t>级指标，</w:t>
                  </w:r>
                  <w:r>
                    <w:rPr>
                      <w:rFonts w:ascii="Times New Roman" w:hAnsi="Times New Roman" w:eastAsia="宋体"/>
                    </w:rPr>
                    <w:t>详见本报告环保绩效管理篇章</w:t>
                  </w:r>
                  <w:r>
                    <w:rPr>
                      <w:rFonts w:hint="eastAsia" w:ascii="Times New Roman" w:hAnsi="Times New Roman" w:eastAsia="宋体"/>
                    </w:rPr>
                    <w:t>。</w:t>
                  </w:r>
                </w:p>
              </w:tc>
              <w:tc>
                <w:tcPr>
                  <w:tcW w:w="297" w:type="pct"/>
                  <w:vAlign w:val="center"/>
                </w:tcPr>
                <w:p>
                  <w:pPr>
                    <w:adjustRightInd w:val="0"/>
                    <w:snapToGrid w:val="0"/>
                    <w:spacing w:line="240" w:lineRule="atLeast"/>
                    <w:jc w:val="center"/>
                    <w:rPr>
                      <w:rFonts w:ascii="Times New Roman" w:hAnsi="Times New Roman" w:eastAsia="宋体"/>
                    </w:rPr>
                  </w:pPr>
                  <w:r>
                    <w:rPr>
                      <w:rFonts w:hint="eastAsia" w:ascii="Times New Roman" w:hAnsi="Times New Roman" w:eastAsia="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Merge w:val="continue"/>
                  <w:vAlign w:val="center"/>
                </w:tcPr>
                <w:p>
                  <w:pPr>
                    <w:adjustRightInd w:val="0"/>
                    <w:snapToGrid w:val="0"/>
                    <w:spacing w:line="240" w:lineRule="atLeast"/>
                    <w:rPr>
                      <w:rFonts w:ascii="Times New Roman" w:hAnsi="Times New Roman" w:eastAsia="宋体" w:cs="Times New Roman"/>
                    </w:rPr>
                  </w:pPr>
                </w:p>
              </w:tc>
              <w:tc>
                <w:tcPr>
                  <w:tcW w:w="2362" w:type="pct"/>
                  <w:vAlign w:val="center"/>
                </w:tcPr>
                <w:p>
                  <w:pPr>
                    <w:rPr>
                      <w:rFonts w:ascii="Times New Roman" w:hAnsi="Times New Roman" w:eastAsia="宋体" w:cs="Times New Roman"/>
                    </w:rPr>
                  </w:pPr>
                  <w:r>
                    <w:rPr>
                      <w:rFonts w:ascii="Times New Roman" w:hAnsi="Times New Roman" w:eastAsia="宋体" w:cs="Times New Roman"/>
                    </w:rPr>
                    <w:t>大力推进涉VOCs企业低挥发性原辅材料替代和污染治理设施升级改造，鼓励企业积极进行源头替代，推广使用低（无）挥发性有机物含量、低反应活性的原辅材料。现有工业涂装、包装印刷、汽车整车制造等重点涉VOCs行业企业要加快产品升级转型，制定工作计划，加大低VOCs含量原辅材料的源头替代力度，提高水性、高固体分、无溶剂、粉末等低VOCs含量产品的比重。深入开展重点行业工业企业环保绩效提升工作，逐步提高绩效分级B级及以上和引领性企业占比，推动重点行业头部企业、排放大户率先升级。2025年底前评定为环保绩效最低等级水平的涉气企业，由区县政府、开发区管委会依法依规处置。</w:t>
                  </w:r>
                </w:p>
              </w:tc>
              <w:tc>
                <w:tcPr>
                  <w:tcW w:w="1622" w:type="pct"/>
                  <w:vAlign w:val="center"/>
                </w:tcPr>
                <w:p>
                  <w:pPr>
                    <w:adjustRightInd w:val="0"/>
                    <w:snapToGrid w:val="0"/>
                    <w:spacing w:line="240" w:lineRule="atLeast"/>
                    <w:rPr>
                      <w:rFonts w:ascii="Times New Roman" w:hAnsi="Times New Roman" w:eastAsia="宋体" w:cs="Times New Roman"/>
                    </w:rPr>
                  </w:pPr>
                  <w:r>
                    <w:rPr>
                      <w:rFonts w:hint="eastAsia" w:ascii="Times New Roman" w:hAnsi="Times New Roman" w:eastAsia="宋体" w:cs="Times New Roman"/>
                    </w:rPr>
                    <w:t>项目为发动机结构件等喷漆涂装，由于发动机性能要求，底漆采用低V</w:t>
                  </w:r>
                  <w:r>
                    <w:rPr>
                      <w:rFonts w:ascii="Times New Roman" w:hAnsi="Times New Roman" w:eastAsia="宋体" w:cs="Times New Roman"/>
                    </w:rPr>
                    <w:t>OC</w:t>
                  </w:r>
                  <w:r>
                    <w:rPr>
                      <w:rFonts w:hint="eastAsia" w:ascii="Times New Roman" w:hAnsi="Times New Roman" w:eastAsia="宋体" w:cs="Times New Roman"/>
                    </w:rPr>
                    <w:t>s溶剂型涂料，面漆采用低V</w:t>
                  </w:r>
                  <w:r>
                    <w:rPr>
                      <w:rFonts w:ascii="Times New Roman" w:hAnsi="Times New Roman" w:eastAsia="宋体" w:cs="Times New Roman"/>
                    </w:rPr>
                    <w:t>OC</w:t>
                  </w:r>
                  <w:r>
                    <w:rPr>
                      <w:rFonts w:hint="eastAsia" w:ascii="Times New Roman" w:hAnsi="Times New Roman" w:eastAsia="宋体" w:cs="Times New Roman"/>
                    </w:rPr>
                    <w:t>s涂料，均满足《低挥发性有机化合物含量涂料产品技术要求》（G</w:t>
                  </w:r>
                  <w:r>
                    <w:rPr>
                      <w:rFonts w:ascii="Times New Roman" w:hAnsi="Times New Roman" w:eastAsia="宋体" w:cs="Times New Roman"/>
                    </w:rPr>
                    <w:t>B/T 38597-2020</w:t>
                  </w:r>
                  <w:r>
                    <w:rPr>
                      <w:rFonts w:hint="eastAsia" w:ascii="Times New Roman" w:hAnsi="Times New Roman" w:eastAsia="宋体" w:cs="Times New Roman"/>
                    </w:rPr>
                    <w:t>）。本项目</w:t>
                  </w:r>
                  <w:r>
                    <w:rPr>
                      <w:rFonts w:hint="eastAsia" w:ascii="Times New Roman" w:hAnsi="Times New Roman" w:eastAsia="宋体"/>
                    </w:rPr>
                    <w:t>位于</w:t>
                  </w:r>
                  <w:r>
                    <w:rPr>
                      <w:rFonts w:ascii="Times New Roman" w:hAnsi="Times New Roman" w:eastAsia="宋体" w:cs="Times New Roman"/>
                      <w:szCs w:val="24"/>
                    </w:rPr>
                    <w:t>蓝田县</w:t>
                  </w:r>
                  <w:r>
                    <w:rPr>
                      <w:rFonts w:hint="eastAsia" w:ascii="Times New Roman" w:hAnsi="Times New Roman" w:eastAsia="宋体" w:cs="Times New Roman"/>
                      <w:szCs w:val="24"/>
                    </w:rPr>
                    <w:t>，</w:t>
                  </w:r>
                  <w:r>
                    <w:rPr>
                      <w:rFonts w:hint="eastAsia" w:ascii="Times New Roman" w:hAnsi="Times New Roman" w:eastAsia="宋体" w:cs="Times New Roman"/>
                    </w:rPr>
                    <w:t>执行环保绩效</w:t>
                  </w:r>
                  <w:r>
                    <w:rPr>
                      <w:rFonts w:ascii="Times New Roman" w:hAnsi="Times New Roman" w:eastAsia="宋体" w:cs="Times New Roman"/>
                    </w:rPr>
                    <w:t>B</w:t>
                  </w:r>
                  <w:r>
                    <w:rPr>
                      <w:rFonts w:hint="eastAsia" w:ascii="Times New Roman" w:hAnsi="Times New Roman" w:eastAsia="宋体" w:cs="Times New Roman"/>
                    </w:rPr>
                    <w:t>级指标，</w:t>
                  </w:r>
                  <w:r>
                    <w:rPr>
                      <w:rFonts w:ascii="Times New Roman" w:hAnsi="Times New Roman" w:eastAsia="宋体" w:cs="Times New Roman"/>
                    </w:rPr>
                    <w:t>详见本报告环保绩效管理篇章</w:t>
                  </w:r>
                  <w:r>
                    <w:rPr>
                      <w:rFonts w:hint="eastAsia" w:ascii="Times New Roman" w:hAnsi="Times New Roman" w:eastAsia="宋体"/>
                    </w:rPr>
                    <w:t>。</w:t>
                  </w:r>
                </w:p>
              </w:tc>
              <w:tc>
                <w:tcPr>
                  <w:tcW w:w="297" w:type="pct"/>
                  <w:vAlign w:val="center"/>
                </w:tcPr>
                <w:p>
                  <w:pPr>
                    <w:adjustRightInd w:val="0"/>
                    <w:snapToGrid w:val="0"/>
                    <w:spacing w:line="240" w:lineRule="atLeast"/>
                    <w:jc w:val="center"/>
                    <w:rPr>
                      <w:rFonts w:ascii="Times New Roman" w:hAnsi="Times New Roman" w:eastAsia="宋体"/>
                    </w:rPr>
                  </w:pPr>
                  <w:r>
                    <w:rPr>
                      <w:rFonts w:hint="eastAsia" w:ascii="Times New Roman" w:hAnsi="Times New Roman" w:eastAsia="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rPr>
                      <w:rFonts w:ascii="Times New Roman" w:hAnsi="Times New Roman" w:eastAsia="宋体" w:cs="Times New Roman"/>
                    </w:rPr>
                  </w:pPr>
                  <w:r>
                    <w:rPr>
                      <w:rFonts w:hint="eastAsia" w:ascii="Times New Roman" w:hAnsi="Times New Roman" w:eastAsia="宋体" w:cs="Times New Roman"/>
                    </w:rPr>
                    <w:t>《西安市生态环境局关于加强挥发性有机物活性炭吸附处理设施运行管理工作的通知》（市环发[2022]65号）</w:t>
                  </w:r>
                </w:p>
              </w:tc>
              <w:tc>
                <w:tcPr>
                  <w:tcW w:w="2362" w:type="pct"/>
                  <w:vAlign w:val="center"/>
                </w:tcPr>
                <w:p>
                  <w:pPr>
                    <w:rPr>
                      <w:rFonts w:ascii="Times New Roman" w:hAnsi="Times New Roman" w:eastAsia="宋体" w:cs="Times New Roman"/>
                      <w:szCs w:val="24"/>
                    </w:rPr>
                  </w:pPr>
                  <w:r>
                    <w:rPr>
                      <w:rFonts w:ascii="Times New Roman" w:hAnsi="Times New Roman" w:eastAsia="宋体" w:cs="Times New Roman"/>
                    </w:rPr>
                    <w:t>污处设施运行维护管理规程</w:t>
                  </w:r>
                  <w:r>
                    <w:rPr>
                      <w:rFonts w:hint="eastAsia" w:ascii="Times New Roman" w:hAnsi="Times New Roman" w:eastAsia="宋体" w:cs="Times New Roman"/>
                    </w:rPr>
                    <w:t>：</w:t>
                  </w:r>
                  <w:r>
                    <w:rPr>
                      <w:rFonts w:ascii="Times New Roman" w:hAnsi="Times New Roman" w:eastAsia="宋体" w:cs="Times New Roman"/>
                    </w:rPr>
                    <w:t>企业自行制定《污处设施运行维护管理规程》，规程内容要详实，具有针对性和操作性应明确过滤</w:t>
                  </w:r>
                  <w:r>
                    <w:rPr>
                      <w:rFonts w:hint="eastAsia" w:ascii="Times New Roman" w:hAnsi="Times New Roman" w:eastAsia="宋体" w:cs="Times New Roman"/>
                    </w:rPr>
                    <w:t>棉</w:t>
                  </w:r>
                  <w:r>
                    <w:rPr>
                      <w:rFonts w:ascii="Times New Roman" w:hAnsi="Times New Roman" w:eastAsia="宋体" w:cs="Times New Roman"/>
                    </w:rPr>
                    <w:t>、活性炭等易损耗材料的更换周期，更换周期应结合理论计算和实际运行得出，原则上活性炭更换周期一般不应超过累计运行500小时或3个月</w:t>
                  </w:r>
                  <w:r>
                    <w:rPr>
                      <w:rFonts w:hint="eastAsia" w:ascii="Times New Roman" w:hAnsi="Times New Roman" w:eastAsia="宋体" w:cs="Times New Roman"/>
                    </w:rPr>
                    <w:t>（</w:t>
                  </w:r>
                  <w:r>
                    <w:rPr>
                      <w:rFonts w:ascii="Times New Roman" w:hAnsi="Times New Roman" w:eastAsia="宋体" w:cs="Times New Roman"/>
                    </w:rPr>
                    <w:t>从严执行</w:t>
                  </w:r>
                  <w:r>
                    <w:rPr>
                      <w:rFonts w:hint="eastAsia" w:ascii="Times New Roman" w:hAnsi="Times New Roman" w:eastAsia="宋体" w:cs="Times New Roman"/>
                    </w:rPr>
                    <w:t>）。</w:t>
                  </w:r>
                </w:p>
              </w:tc>
              <w:tc>
                <w:tcPr>
                  <w:tcW w:w="1622" w:type="pct"/>
                  <w:vAlign w:val="center"/>
                </w:tcPr>
                <w:p>
                  <w:pPr>
                    <w:adjustRightInd w:val="0"/>
                    <w:snapToGrid w:val="0"/>
                    <w:spacing w:line="240" w:lineRule="atLeast"/>
                    <w:rPr>
                      <w:rFonts w:ascii="Times New Roman" w:hAnsi="Times New Roman" w:eastAsia="宋体" w:cs="Times New Roman"/>
                    </w:rPr>
                  </w:pPr>
                  <w:r>
                    <w:rPr>
                      <w:rFonts w:hint="eastAsia" w:ascii="Times New Roman" w:hAnsi="Times New Roman" w:eastAsia="宋体" w:cs="Times New Roman"/>
                    </w:rPr>
                    <w:t>本项目活性炭</w:t>
                  </w:r>
                  <w:r>
                    <w:rPr>
                      <w:rFonts w:ascii="Times New Roman" w:hAnsi="Times New Roman" w:eastAsia="宋体" w:cs="Times New Roman"/>
                    </w:rPr>
                    <w:t>吸附浓缩</w:t>
                  </w:r>
                  <w:r>
                    <w:rPr>
                      <w:rFonts w:hint="eastAsia" w:ascii="Times New Roman" w:hAnsi="Times New Roman" w:eastAsia="宋体" w:cs="Times New Roman"/>
                    </w:rPr>
                    <w:t>后进行</w:t>
                  </w:r>
                  <w:r>
                    <w:rPr>
                      <w:rFonts w:ascii="Times New Roman" w:hAnsi="Times New Roman" w:eastAsia="宋体" w:cs="Times New Roman"/>
                    </w:rPr>
                    <w:t>脱附再生</w:t>
                  </w:r>
                  <w:r>
                    <w:rPr>
                      <w:rFonts w:hint="eastAsia" w:ascii="Times New Roman" w:hAnsi="Times New Roman" w:eastAsia="宋体" w:cs="Times New Roman"/>
                    </w:rPr>
                    <w:t>，活性炭装填量为3</w:t>
                  </w:r>
                  <w:r>
                    <w:rPr>
                      <w:rFonts w:ascii="Times New Roman" w:hAnsi="Times New Roman" w:eastAsia="宋体" w:cs="Times New Roman"/>
                    </w:rPr>
                    <w:t>00</w:t>
                  </w:r>
                  <w:r>
                    <w:rPr>
                      <w:rFonts w:hint="eastAsia" w:ascii="Times New Roman" w:hAnsi="Times New Roman" w:eastAsia="宋体" w:cs="Times New Roman"/>
                    </w:rPr>
                    <w:t>kg，脱附时间2~</w:t>
                  </w:r>
                  <w:r>
                    <w:rPr>
                      <w:rFonts w:ascii="Times New Roman" w:hAnsi="Times New Roman" w:eastAsia="宋体" w:cs="Times New Roman"/>
                    </w:rPr>
                    <w:t>3</w:t>
                  </w:r>
                  <w:r>
                    <w:rPr>
                      <w:rFonts w:hint="eastAsia" w:ascii="Times New Roman" w:hAnsi="Times New Roman" w:eastAsia="宋体" w:cs="Times New Roman"/>
                    </w:rPr>
                    <w:t>h，1</w:t>
                  </w:r>
                  <w:r>
                    <w:rPr>
                      <w:rFonts w:ascii="Times New Roman" w:hAnsi="Times New Roman" w:eastAsia="宋体" w:cs="Times New Roman"/>
                    </w:rPr>
                    <w:t>5</w:t>
                  </w:r>
                  <w:r>
                    <w:rPr>
                      <w:rFonts w:hint="eastAsia" w:ascii="Times New Roman" w:hAnsi="Times New Roman" w:eastAsia="宋体" w:cs="Times New Roman"/>
                    </w:rPr>
                    <w:t>d脱附一次，脱附后可</w:t>
                  </w:r>
                  <w:r>
                    <w:rPr>
                      <w:rFonts w:ascii="Times New Roman" w:hAnsi="Times New Roman" w:eastAsia="宋体" w:cs="Times New Roman"/>
                    </w:rPr>
                    <w:t>使</w:t>
                  </w:r>
                  <w:r>
                    <w:rPr>
                      <w:rFonts w:hint="eastAsia" w:ascii="Times New Roman" w:hAnsi="Times New Roman" w:eastAsia="宋体" w:cs="Times New Roman"/>
                    </w:rPr>
                    <w:t>活性炭</w:t>
                  </w:r>
                  <w:r>
                    <w:rPr>
                      <w:rFonts w:ascii="Times New Roman" w:hAnsi="Times New Roman" w:eastAsia="宋体" w:cs="Times New Roman"/>
                    </w:rPr>
                    <w:t>恢复原有的活性</w:t>
                  </w:r>
                  <w:r>
                    <w:rPr>
                      <w:rFonts w:hint="eastAsia" w:ascii="Times New Roman" w:hAnsi="Times New Roman" w:eastAsia="宋体" w:cs="Times New Roman"/>
                    </w:rPr>
                    <w:t>，因此活性炭脱附周期满足规范要求中的</w:t>
                  </w:r>
                  <w:r>
                    <w:rPr>
                      <w:rFonts w:ascii="Times New Roman" w:hAnsi="Times New Roman" w:eastAsia="宋体" w:cs="Times New Roman"/>
                    </w:rPr>
                    <w:t>500小时或3个月</w:t>
                  </w:r>
                  <w:r>
                    <w:rPr>
                      <w:rFonts w:hint="eastAsia" w:ascii="Times New Roman" w:hAnsi="Times New Roman" w:eastAsia="宋体" w:cs="Times New Roman"/>
                    </w:rPr>
                    <w:t>。为保证活性炭活性，</w:t>
                  </w:r>
                  <w:r>
                    <w:rPr>
                      <w:rFonts w:ascii="Times New Roman" w:hAnsi="Times New Roman" w:eastAsia="宋体" w:cs="Times New Roman"/>
                    </w:rPr>
                    <w:t>企业</w:t>
                  </w:r>
                  <w:r>
                    <w:rPr>
                      <w:rFonts w:hint="eastAsia" w:ascii="Times New Roman" w:hAnsi="Times New Roman" w:eastAsia="宋体" w:cs="Times New Roman"/>
                    </w:rPr>
                    <w:t>每年更换一次</w:t>
                  </w:r>
                  <w:r>
                    <w:rPr>
                      <w:rFonts w:ascii="Times New Roman" w:hAnsi="Times New Roman" w:eastAsia="宋体" w:cs="Times New Roman"/>
                    </w:rPr>
                    <w:t>活性炭</w:t>
                  </w:r>
                  <w:r>
                    <w:rPr>
                      <w:rFonts w:hint="eastAsia" w:ascii="Times New Roman" w:hAnsi="Times New Roman" w:eastAsia="宋体" w:cs="Times New Roman"/>
                    </w:rPr>
                    <w:t>。</w:t>
                  </w:r>
                </w:p>
              </w:tc>
              <w:tc>
                <w:tcPr>
                  <w:tcW w:w="297" w:type="pct"/>
                  <w:vAlign w:val="center"/>
                </w:tcPr>
                <w:p>
                  <w:pPr>
                    <w:adjustRightInd w:val="0"/>
                    <w:snapToGrid w:val="0"/>
                    <w:spacing w:line="240" w:lineRule="atLeast"/>
                    <w:jc w:val="center"/>
                    <w:rPr>
                      <w:rFonts w:ascii="Times New Roman" w:hAnsi="Times New Roman" w:eastAsia="宋体"/>
                    </w:rPr>
                  </w:pPr>
                  <w:r>
                    <w:rPr>
                      <w:rFonts w:hint="eastAsia" w:ascii="Times New Roman" w:hAnsi="Times New Roman" w:eastAsia="宋体" w:cs="Times New Roma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rPr>
                      <w:rFonts w:ascii="Times New Roman" w:hAnsi="Times New Roman" w:eastAsia="宋体" w:cs="Times New Roman"/>
                    </w:rPr>
                  </w:pPr>
                  <w:r>
                    <w:rPr>
                      <w:rFonts w:ascii="Times New Roman" w:hAnsi="Times New Roman" w:eastAsia="宋体"/>
                    </w:rPr>
                    <w:t>挥发性有机物（VOC</w:t>
                  </w:r>
                  <w:r>
                    <w:rPr>
                      <w:rFonts w:hint="eastAsia" w:ascii="Times New Roman" w:hAnsi="Times New Roman" w:eastAsia="宋体"/>
                      <w:vertAlign w:val="subscript"/>
                    </w:rPr>
                    <w:t>S</w:t>
                  </w:r>
                  <w:r>
                    <w:rPr>
                      <w:rFonts w:ascii="Times New Roman" w:hAnsi="Times New Roman" w:eastAsia="宋体"/>
                    </w:rPr>
                    <w:t>）污染防治技术政策</w:t>
                  </w:r>
                </w:p>
              </w:tc>
              <w:tc>
                <w:tcPr>
                  <w:tcW w:w="2362" w:type="pct"/>
                  <w:vAlign w:val="center"/>
                </w:tcPr>
                <w:p>
                  <w:pPr>
                    <w:pStyle w:val="57"/>
                  </w:pPr>
                  <w:r>
                    <w:t>二、源头和过程控制：对生产装置排放的含VOC</w:t>
                  </w:r>
                  <w:r>
                    <w:rPr>
                      <w:rFonts w:hint="eastAsia"/>
                      <w:vertAlign w:val="subscript"/>
                    </w:rPr>
                    <w:t>S</w:t>
                  </w:r>
                  <w:r>
                    <w:t>工艺排气宜优先回收利用，不能（或不能完全）回收利用的经处理后达标排放；废水收集和处理过程产生的含VOC</w:t>
                  </w:r>
                  <w:r>
                    <w:rPr>
                      <w:rFonts w:hint="eastAsia"/>
                      <w:vertAlign w:val="subscript"/>
                    </w:rPr>
                    <w:t>S</w:t>
                  </w:r>
                  <w:r>
                    <w:t>废气经收集处理后达标排放；根据涂装工艺的不同，鼓励使用水性涂料、高固份涂料、粉末涂料、紫外光固化（UV）涂料等环保型涂料；推广采用静电喷涂、淋涂、辊涂、浸涂等效率较高的涂装工艺；应尽量避免无VOC</w:t>
                  </w:r>
                  <w:r>
                    <w:rPr>
                      <w:rFonts w:hint="eastAsia"/>
                      <w:vertAlign w:val="subscript"/>
                    </w:rPr>
                    <w:t>S</w:t>
                  </w:r>
                  <w:r>
                    <w:t>净化、回收措施的露天喷涂作业；含VOC</w:t>
                  </w:r>
                  <w:r>
                    <w:rPr>
                      <w:rFonts w:hint="eastAsia"/>
                      <w:vertAlign w:val="subscript"/>
                    </w:rPr>
                    <w:t>S</w:t>
                  </w:r>
                  <w:r>
                    <w:t>产品的使用过程中，应采取废气收集措施，提高废气收集效率，减少废气的无组织排放与逸散，并对收集后的废气进行回收或处理后达标排放，并辅助以其他治理技术实现达标排放。</w:t>
                  </w:r>
                </w:p>
                <w:p>
                  <w:pPr>
                    <w:rPr>
                      <w:rFonts w:ascii="Times New Roman" w:hAnsi="Times New Roman" w:eastAsia="宋体" w:cs="Times New Roman"/>
                    </w:rPr>
                  </w:pPr>
                  <w:r>
                    <w:rPr>
                      <w:rFonts w:ascii="Times New Roman" w:hAnsi="Times New Roman" w:eastAsia="宋体"/>
                    </w:rPr>
                    <w:t>三、末端治理与综合利用：对于含中等浓度VOCs的废气，可采用吸附技术回收有机溶剂，或采用催化燃烧和热力焚烧技术净化后达标排放。当采用催化燃烧和热力焚烧技术进行净化时，应进行余热回收利用；对于含低浓度VOC</w:t>
                  </w:r>
                  <w:r>
                    <w:rPr>
                      <w:rFonts w:hint="eastAsia" w:ascii="Times New Roman" w:hAnsi="Times New Roman" w:eastAsia="宋体"/>
                      <w:vertAlign w:val="subscript"/>
                    </w:rPr>
                    <w:t>S</w:t>
                  </w:r>
                  <w:r>
                    <w:rPr>
                      <w:rFonts w:ascii="Times New Roman" w:hAnsi="Times New Roman" w:eastAsia="宋体"/>
                    </w:rPr>
                    <w:t>的废气，有回收价值时可采用吸附技术、吸收技术对有机溶剂回收后达标排放；不宜回收时，可采用吸附浓缩燃烧技术、生物技术、吸收技术、等离子体技术或紫外光高级氧化技术等净化后达标排放；恶臭气体污染源可采用生物技术、等离子体技术、吸附技术、吸收技术、紫外光高级氧化技术或组合技术等进行净化。净化后的恶臭气体除满足达标排放的要求外，还应采取高空排放等措施，避免产生扰民问题</w:t>
                  </w:r>
                  <w:r>
                    <w:rPr>
                      <w:rFonts w:hint="eastAsia" w:ascii="Times New Roman" w:hAnsi="Times New Roman" w:eastAsia="宋体"/>
                    </w:rPr>
                    <w:t>。</w:t>
                  </w:r>
                </w:p>
              </w:tc>
              <w:tc>
                <w:tcPr>
                  <w:tcW w:w="1622" w:type="pct"/>
                  <w:vAlign w:val="center"/>
                </w:tcPr>
                <w:p>
                  <w:pPr>
                    <w:adjustRightInd w:val="0"/>
                    <w:snapToGrid w:val="0"/>
                    <w:spacing w:line="240" w:lineRule="atLeast"/>
                    <w:rPr>
                      <w:rFonts w:ascii="Times New Roman" w:hAnsi="Times New Roman" w:eastAsia="宋体" w:cs="Times New Roman"/>
                    </w:rPr>
                  </w:pPr>
                  <w:r>
                    <w:rPr>
                      <w:rFonts w:ascii="Times New Roman" w:hAnsi="Times New Roman" w:eastAsia="宋体"/>
                    </w:rPr>
                    <w:t>本项目使用涂料为</w:t>
                  </w:r>
                  <w:r>
                    <w:rPr>
                      <w:rFonts w:hint="eastAsia" w:ascii="Times New Roman" w:hAnsi="Times New Roman" w:eastAsia="宋体"/>
                    </w:rPr>
                    <w:t>低挥发性有机物含量</w:t>
                  </w:r>
                  <w:r>
                    <w:rPr>
                      <w:rFonts w:ascii="Times New Roman" w:hAnsi="Times New Roman" w:eastAsia="宋体"/>
                    </w:rPr>
                    <w:t>涂料；</w:t>
                  </w:r>
                  <w:r>
                    <w:rPr>
                      <w:rFonts w:hint="eastAsia" w:ascii="Times New Roman" w:hAnsi="Times New Roman" w:eastAsia="宋体"/>
                    </w:rPr>
                    <w:t>项目涂装工艺采取空气</w:t>
                  </w:r>
                  <w:r>
                    <w:rPr>
                      <w:rFonts w:ascii="Times New Roman" w:hAnsi="Times New Roman" w:eastAsia="宋体"/>
                    </w:rPr>
                    <w:t>喷涂</w:t>
                  </w:r>
                  <w:r>
                    <w:rPr>
                      <w:rFonts w:hint="eastAsia" w:ascii="Times New Roman" w:hAnsi="Times New Roman" w:eastAsia="宋体"/>
                    </w:rPr>
                    <w:t>工艺。喷涂</w:t>
                  </w:r>
                  <w:r>
                    <w:rPr>
                      <w:rFonts w:ascii="Times New Roman" w:hAnsi="Times New Roman" w:eastAsia="宋体"/>
                    </w:rPr>
                    <w:t>涂装环节产生的含VOC</w:t>
                  </w:r>
                  <w:r>
                    <w:rPr>
                      <w:rFonts w:hint="eastAsia" w:ascii="Times New Roman" w:hAnsi="Times New Roman" w:eastAsia="宋体"/>
                      <w:vertAlign w:val="subscript"/>
                    </w:rPr>
                    <w:t>S</w:t>
                  </w:r>
                  <w:r>
                    <w:rPr>
                      <w:rFonts w:ascii="Times New Roman" w:hAnsi="Times New Roman" w:eastAsia="宋体"/>
                    </w:rPr>
                    <w:t>废气采用</w:t>
                  </w:r>
                  <w:r>
                    <w:rPr>
                      <w:rFonts w:hint="eastAsia" w:ascii="Times New Roman" w:hAnsi="Times New Roman" w:eastAsia="宋体"/>
                    </w:rPr>
                    <w:t>干式过滤器+吸附</w:t>
                  </w:r>
                  <w:r>
                    <w:rPr>
                      <w:rFonts w:ascii="Times New Roman" w:hAnsi="Times New Roman" w:eastAsia="宋体"/>
                    </w:rPr>
                    <w:t>脱附催化燃烧处理达标后排放</w:t>
                  </w:r>
                  <w:r>
                    <w:rPr>
                      <w:rFonts w:hint="eastAsia" w:ascii="Times New Roman" w:hAnsi="Times New Roman" w:eastAsia="宋体"/>
                    </w:rPr>
                    <w:t>。</w:t>
                  </w:r>
                </w:p>
              </w:tc>
              <w:tc>
                <w:tcPr>
                  <w:tcW w:w="297" w:type="pct"/>
                  <w:vAlign w:val="center"/>
                </w:tcPr>
                <w:p>
                  <w:pPr>
                    <w:adjustRightInd w:val="0"/>
                    <w:snapToGrid w:val="0"/>
                    <w:spacing w:line="240" w:lineRule="atLeast"/>
                    <w:jc w:val="center"/>
                    <w:rPr>
                      <w:rFonts w:ascii="Times New Roman" w:hAnsi="Times New Roman" w:eastAsia="宋体" w:cs="Times New Roman"/>
                    </w:rPr>
                  </w:pPr>
                  <w:r>
                    <w:rPr>
                      <w:rFonts w:ascii="Times New Roman" w:hAnsi="Times New Roman" w:eastAsia="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jc w:val="center"/>
                    <w:rPr>
                      <w:rFonts w:ascii="Times New Roman" w:hAnsi="Times New Roman" w:eastAsia="宋体" w:cs="Times New Roman"/>
                    </w:rPr>
                  </w:pPr>
                  <w:r>
                    <w:rPr>
                      <w:rFonts w:ascii="Times New Roman" w:hAnsi="Times New Roman" w:eastAsia="宋体"/>
                    </w:rPr>
                    <w:t>《挥发性有机物排放控制标准》（DB61</w:t>
                  </w:r>
                  <w:r>
                    <w:rPr>
                      <w:rFonts w:hint="eastAsia" w:ascii="Times New Roman" w:hAnsi="Times New Roman" w:eastAsia="宋体"/>
                    </w:rPr>
                    <w:t>/</w:t>
                  </w:r>
                  <w:r>
                    <w:rPr>
                      <w:rFonts w:ascii="Times New Roman" w:hAnsi="Times New Roman" w:eastAsia="宋体"/>
                    </w:rPr>
                    <w:t>T 1061-2017）</w:t>
                  </w:r>
                </w:p>
              </w:tc>
              <w:tc>
                <w:tcPr>
                  <w:tcW w:w="2362" w:type="pct"/>
                  <w:vAlign w:val="center"/>
                </w:tcPr>
                <w:p>
                  <w:pPr>
                    <w:rPr>
                      <w:rFonts w:ascii="Times New Roman" w:hAnsi="Times New Roman" w:eastAsia="宋体" w:cs="Times New Roman"/>
                    </w:rPr>
                  </w:pPr>
                  <w:r>
                    <w:rPr>
                      <w:rFonts w:hint="eastAsia" w:ascii="Times New Roman" w:hAnsi="Times New Roman" w:eastAsia="宋体" w:cs="Times New Roman"/>
                    </w:rPr>
                    <w:t>1、产生VOCs的生产工序或装置应设立局部或整体气体收集系统。</w:t>
                  </w:r>
                </w:p>
                <w:p>
                  <w:pPr>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、生产过程产生的废弃溶剂应及时进行收集并密闭保存，定期处理，并记录处理量及去向。</w:t>
                  </w:r>
                </w:p>
                <w:p>
                  <w:pPr>
                    <w:rPr>
                      <w:rFonts w:ascii="Times New Roman" w:hAnsi="Times New Roman" w:eastAsia="宋体"/>
                    </w:rPr>
                  </w:pPr>
                  <w:r>
                    <w:rPr>
                      <w:rFonts w:ascii="Times New Roman" w:hAnsi="Times New Roman" w:eastAsia="宋体" w:cs="Times New Roman"/>
                    </w:rPr>
                    <w:t>3</w:t>
                  </w:r>
                  <w:r>
                    <w:rPr>
                      <w:rFonts w:hint="eastAsia" w:ascii="Times New Roman" w:hAnsi="Times New Roman" w:eastAsia="宋体" w:cs="Times New Roman"/>
                    </w:rPr>
                    <w:t>、</w:t>
                  </w:r>
                  <w:r>
                    <w:rPr>
                      <w:rFonts w:hint="eastAsia" w:ascii="Times New Roman" w:hAnsi="Times New Roman" w:eastAsia="宋体"/>
                    </w:rPr>
                    <w:t>建立含有VOCs原辅材料、产品和废弃物的使用、销售和处置的记录及统计年报。</w:t>
                  </w:r>
                </w:p>
                <w:p>
                  <w:pPr>
                    <w:rPr>
                      <w:rFonts w:ascii="Times New Roman" w:hAnsi="Times New Roman" w:eastAsia="宋体" w:cs="Times New Roman"/>
                    </w:rPr>
                  </w:pPr>
                  <w:r>
                    <w:rPr>
                      <w:rFonts w:hint="eastAsia" w:ascii="Times New Roman" w:hAnsi="Times New Roman" w:eastAsia="宋体"/>
                    </w:rPr>
                    <w:t>4、污染控制设施应当及时维护，填写运行、维护记录并存档。</w:t>
                  </w:r>
                </w:p>
              </w:tc>
              <w:tc>
                <w:tcPr>
                  <w:tcW w:w="1622" w:type="pct"/>
                  <w:vAlign w:val="center"/>
                </w:tcPr>
                <w:p>
                  <w:pPr>
                    <w:adjustRightInd w:val="0"/>
                    <w:snapToGrid w:val="0"/>
                    <w:spacing w:line="240" w:lineRule="atLeas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、项目产生的V</w:t>
                  </w:r>
                  <w:r>
                    <w:rPr>
                      <w:rFonts w:ascii="Times New Roman" w:hAnsi="Times New Roman" w:eastAsia="宋体" w:cs="Times New Roman"/>
                    </w:rPr>
                    <w:t>OC</w:t>
                  </w:r>
                  <w:r>
                    <w:rPr>
                      <w:rFonts w:hint="eastAsia" w:ascii="Times New Roman" w:hAnsi="Times New Roman" w:eastAsia="宋体" w:cs="Times New Roman"/>
                    </w:rPr>
                    <w:t>s采取负压收集处理。</w:t>
                  </w:r>
                </w:p>
                <w:p>
                  <w:pPr>
                    <w:rPr>
                      <w:rFonts w:ascii="Times New Roman" w:hAnsi="Times New Roman" w:eastAsia="宋体" w:cs="Times New Roman"/>
                    </w:rPr>
                  </w:pPr>
                  <w:r>
                    <w:rPr>
                      <w:rFonts w:hint="eastAsia" w:ascii="Times New Roman" w:hAnsi="Times New Roman" w:eastAsia="宋体" w:cs="Times New Roman"/>
                    </w:rPr>
                    <w:t>2、项目生产过程产生的废弃溶剂及时进行收集并密闭保存。</w:t>
                  </w:r>
                </w:p>
                <w:p>
                  <w:pPr>
                    <w:rPr>
                      <w:rFonts w:ascii="Times New Roman" w:hAnsi="Times New Roman" w:eastAsia="宋体" w:cs="Times New Roman"/>
                    </w:rPr>
                  </w:pPr>
                  <w:r>
                    <w:rPr>
                      <w:rFonts w:hint="eastAsia" w:ascii="Times New Roman" w:hAnsi="Times New Roman" w:eastAsia="宋体" w:cs="Times New Roman"/>
                    </w:rPr>
                    <w:t>3、环评要求企业建立含有VOCs原辅材料、产品和废弃物的使用、销售和处置的记录及统计年报。</w:t>
                  </w:r>
                </w:p>
                <w:p>
                  <w:pPr>
                    <w:rPr>
                      <w:rFonts w:ascii="Times New Roman" w:hAnsi="Times New Roman" w:eastAsia="宋体" w:cs="Times New Roman"/>
                    </w:rPr>
                  </w:pPr>
                  <w:r>
                    <w:rPr>
                      <w:rFonts w:hint="eastAsia" w:ascii="Times New Roman" w:hAnsi="Times New Roman" w:eastAsia="宋体" w:cs="Times New Roman"/>
                    </w:rPr>
                    <w:t>4、环评要求企业应当及时维护污染控制设施。</w:t>
                  </w:r>
                </w:p>
              </w:tc>
              <w:tc>
                <w:tcPr>
                  <w:tcW w:w="297" w:type="pct"/>
                  <w:vAlign w:val="center"/>
                </w:tcPr>
                <w:p>
                  <w:pPr>
                    <w:adjustRightInd w:val="0"/>
                    <w:snapToGrid w:val="0"/>
                    <w:spacing w:line="240" w:lineRule="atLeast"/>
                    <w:jc w:val="center"/>
                    <w:rPr>
                      <w:rFonts w:ascii="Times New Roman" w:hAnsi="Times New Roman" w:eastAsia="宋体" w:cs="Times New Roman"/>
                    </w:rPr>
                  </w:pPr>
                  <w:r>
                    <w:rPr>
                      <w:rFonts w:hint="eastAsia" w:ascii="Times New Roman" w:hAnsi="Times New Roman" w:eastAsia="宋体" w:cs="Times New Roma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Merge w:val="restart"/>
                  <w:vAlign w:val="center"/>
                </w:tcPr>
                <w:p>
                  <w:pPr>
                    <w:adjustRightInd w:val="0"/>
                    <w:snapToGrid w:val="0"/>
                    <w:spacing w:line="240" w:lineRule="atLeast"/>
                    <w:rPr>
                      <w:rFonts w:ascii="Times New Roman" w:hAnsi="Times New Roman" w:eastAsia="宋体" w:cs="Times New Roman"/>
                    </w:rPr>
                  </w:pPr>
                  <w:r>
                    <w:rPr>
                      <w:rFonts w:ascii="Times New Roman" w:hAnsi="Times New Roman" w:eastAsia="宋体" w:cs="Times New Roman"/>
                    </w:rPr>
                    <w:t>《重点行业挥发性有机物综合治理方案》（环大气[2019]53号）</w:t>
                  </w:r>
                </w:p>
              </w:tc>
              <w:tc>
                <w:tcPr>
                  <w:tcW w:w="2362" w:type="pct"/>
                  <w:vAlign w:val="center"/>
                </w:tcPr>
                <w:p>
                  <w:pPr>
                    <w:rPr>
                      <w:rFonts w:ascii="Times New Roman" w:hAnsi="Times New Roman" w:eastAsia="宋体" w:cs="Times New Roman"/>
                    </w:rPr>
                  </w:pPr>
                  <w:r>
                    <w:rPr>
                      <w:rFonts w:ascii="Times New Roman" w:hAnsi="Times New Roman" w:eastAsia="宋体" w:cs="Times New Roman"/>
                    </w:rPr>
                    <w:t>推进建设适宜高效的治污设施。企业新建治污设施或对现有治污设施实施改造，应依据排放废气的浓度、组分、风量，温度、湿度、压力，以及生产工况等，合理选择治理技术。鼓励企业采用多种技术的组合工艺，提高VOCs治理效率。低浓度、大风量废气，宜采用沸石转轮吸附、活性炭吸附、减风增浓等浓缩技术，提高VOCs浓度后净化处理；非水溶性的VOCs废气禁止采用水或水溶液喷淋吸收处理。采用一次性活性炭吸附技术的，应定期更换活性炭，废旧活性炭应再生或处理处置。</w:t>
                  </w:r>
                </w:p>
              </w:tc>
              <w:tc>
                <w:tcPr>
                  <w:tcW w:w="1622" w:type="pct"/>
                  <w:vAlign w:val="center"/>
                </w:tcPr>
                <w:p>
                  <w:pPr>
                    <w:adjustRightInd w:val="0"/>
                    <w:snapToGrid w:val="0"/>
                    <w:spacing w:line="240" w:lineRule="atLeast"/>
                    <w:rPr>
                      <w:rFonts w:ascii="Times New Roman" w:hAnsi="Times New Roman" w:eastAsia="宋体" w:cs="Times New Roman"/>
                    </w:rPr>
                  </w:pPr>
                  <w:r>
                    <w:rPr>
                      <w:rFonts w:ascii="Times New Roman" w:hAnsi="Times New Roman" w:eastAsia="宋体" w:cs="Times New Roman"/>
                    </w:rPr>
                    <w:t>本</w:t>
                  </w:r>
                  <w:r>
                    <w:rPr>
                      <w:rFonts w:hint="eastAsia" w:ascii="Times New Roman" w:hAnsi="Times New Roman" w:eastAsia="宋体"/>
                    </w:rPr>
                    <w:t>项目产生的漆雾、挥发性有机物经干式过滤器+吸附</w:t>
                  </w:r>
                  <w:r>
                    <w:rPr>
                      <w:rFonts w:ascii="Times New Roman" w:hAnsi="Times New Roman" w:eastAsia="宋体"/>
                    </w:rPr>
                    <w:t>脱附催化燃烧</w:t>
                  </w:r>
                  <w:r>
                    <w:rPr>
                      <w:rFonts w:hint="eastAsia" w:ascii="Times New Roman" w:hAnsi="Times New Roman" w:eastAsia="宋体"/>
                    </w:rPr>
                    <w:t>处理后由17m排气筒排放，</w:t>
                  </w:r>
                  <w:r>
                    <w:rPr>
                      <w:rFonts w:ascii="Times New Roman" w:hAnsi="Times New Roman" w:eastAsia="宋体"/>
                    </w:rPr>
                    <w:t>形成了吸附浓缩和脱附再生同时连续运行。企业根据</w:t>
                  </w:r>
                  <w:r>
                    <w:rPr>
                      <w:rFonts w:hint="eastAsia" w:ascii="Times New Roman" w:hAnsi="Times New Roman" w:eastAsia="宋体"/>
                    </w:rPr>
                    <w:t>活性炭吸附能力</w:t>
                  </w:r>
                  <w:r>
                    <w:rPr>
                      <w:rFonts w:ascii="Times New Roman" w:hAnsi="Times New Roman" w:eastAsia="宋体"/>
                    </w:rPr>
                    <w:t>定期更换活性炭，废旧活性炭暂存于危废间内，定期交由有资质单位处</w:t>
                  </w:r>
                  <w:r>
                    <w:rPr>
                      <w:rFonts w:ascii="Times New Roman" w:hAnsi="Times New Roman" w:eastAsia="宋体" w:cs="Times New Roman"/>
                    </w:rPr>
                    <w:t>置。</w:t>
                  </w:r>
                </w:p>
              </w:tc>
              <w:tc>
                <w:tcPr>
                  <w:tcW w:w="297" w:type="pct"/>
                  <w:vAlign w:val="center"/>
                </w:tcPr>
                <w:p>
                  <w:pPr>
                    <w:adjustRightInd w:val="0"/>
                    <w:snapToGrid w:val="0"/>
                    <w:spacing w:line="240" w:lineRule="atLeast"/>
                    <w:jc w:val="center"/>
                    <w:rPr>
                      <w:rFonts w:ascii="Times New Roman" w:hAnsi="Times New Roman" w:eastAsia="宋体" w:cs="Times New Roman"/>
                    </w:rPr>
                  </w:pPr>
                  <w:r>
                    <w:rPr>
                      <w:rFonts w:ascii="Times New Roman" w:hAnsi="Times New Roman" w:eastAsia="宋体" w:cs="Times New Roman"/>
                      <w:kern w:val="0"/>
                      <w:lang w:bidi="ar"/>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Merge w:val="continue"/>
                  <w:vAlign w:val="center"/>
                </w:tcPr>
                <w:p>
                  <w:pPr>
                    <w:adjustRightInd w:val="0"/>
                    <w:snapToGrid w:val="0"/>
                    <w:spacing w:line="240" w:lineRule="atLeast"/>
                    <w:rPr>
                      <w:rFonts w:ascii="Times New Roman" w:hAnsi="Times New Roman" w:eastAsia="宋体" w:cs="Times New Roman"/>
                    </w:rPr>
                  </w:pPr>
                </w:p>
              </w:tc>
              <w:tc>
                <w:tcPr>
                  <w:tcW w:w="2362" w:type="pct"/>
                  <w:vAlign w:val="center"/>
                </w:tcPr>
                <w:p>
                  <w:pPr>
                    <w:rPr>
                      <w:rFonts w:ascii="Times New Roman" w:hAnsi="Times New Roman" w:eastAsia="宋体" w:cs="Times New Roman"/>
                    </w:rPr>
                  </w:pPr>
                  <w:r>
                    <w:rPr>
                      <w:rFonts w:ascii="Times New Roman" w:hAnsi="Times New Roman" w:eastAsia="宋体" w:cs="Times New Roman"/>
                    </w:rPr>
                    <w:t>提高废气收集率。遵循“应收尽收、分质收集”的原则，科学设计废气收集系统，将无组织排放转变为有组织排放进行控制。采用全密闭集气罩或密闭空间的，除行业有特殊要求外，应保持微负压状态，并根据相关规范合理设置通风量。采用局部集气罩的，距集气罩开口面最远处的VOCs无组织排放位置，控制风速应不低于0.3米/秒，有行业要求的按相关规定执行。</w:t>
                  </w:r>
                </w:p>
              </w:tc>
              <w:tc>
                <w:tcPr>
                  <w:tcW w:w="1622" w:type="pct"/>
                  <w:vAlign w:val="center"/>
                </w:tcPr>
                <w:p>
                  <w:pPr>
                    <w:adjustRightInd w:val="0"/>
                    <w:snapToGrid w:val="0"/>
                    <w:spacing w:line="240" w:lineRule="atLeast"/>
                    <w:rPr>
                      <w:rFonts w:ascii="Times New Roman" w:hAnsi="Times New Roman" w:eastAsia="宋体" w:cs="Times New Roman"/>
                    </w:rPr>
                  </w:pPr>
                  <w:r>
                    <w:rPr>
                      <w:rFonts w:ascii="Times New Roman" w:hAnsi="Times New Roman" w:eastAsia="宋体" w:cs="Times New Roman"/>
                    </w:rPr>
                    <w:t>项目</w:t>
                  </w:r>
                  <w:r>
                    <w:rPr>
                      <w:rFonts w:hint="eastAsia" w:ascii="Times New Roman" w:hAnsi="Times New Roman" w:eastAsia="宋体" w:cs="Times New Roman"/>
                    </w:rPr>
                    <w:t>涂料间、喷漆房、流平间、清洗间、烘干间均属于密闭空间，</w:t>
                  </w:r>
                  <w:r>
                    <w:rPr>
                      <w:rFonts w:ascii="Times New Roman" w:hAnsi="Times New Roman" w:eastAsia="宋体" w:cs="Times New Roman"/>
                    </w:rPr>
                    <w:t>设计废气收集系统，将无组织排放转变为有组织排放进行控制</w:t>
                  </w:r>
                  <w:r>
                    <w:rPr>
                      <w:rFonts w:hint="eastAsia" w:ascii="Times New Roman" w:hAnsi="Times New Roman" w:eastAsia="宋体" w:cs="Times New Roman"/>
                    </w:rPr>
                    <w:t>，对产生的废气采取管道负压收集，采取下送风上排风方式，属于微负压状态，收集通过末端环保措施处理达标排放</w:t>
                  </w:r>
                  <w:r>
                    <w:rPr>
                      <w:rFonts w:ascii="Times New Roman" w:hAnsi="Times New Roman" w:eastAsia="宋体" w:cs="Times New Roman"/>
                    </w:rPr>
                    <w:t>。</w:t>
                  </w:r>
                </w:p>
              </w:tc>
              <w:tc>
                <w:tcPr>
                  <w:tcW w:w="297" w:type="pct"/>
                  <w:vAlign w:val="center"/>
                </w:tcPr>
                <w:p>
                  <w:pPr>
                    <w:adjustRightInd w:val="0"/>
                    <w:snapToGrid w:val="0"/>
                    <w:spacing w:line="240" w:lineRule="atLeast"/>
                    <w:jc w:val="center"/>
                    <w:rPr>
                      <w:rFonts w:ascii="Times New Roman" w:hAnsi="Times New Roman" w:eastAsia="宋体" w:cs="Times New Roman"/>
                    </w:rPr>
                  </w:pPr>
                  <w:r>
                    <w:rPr>
                      <w:rFonts w:ascii="Times New Roman" w:hAnsi="Times New Roman" w:eastAsia="宋体" w:cs="Times New Roman"/>
                      <w:kern w:val="0"/>
                      <w:lang w:bidi="ar"/>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719" w:type="pct"/>
                  <w:vAlign w:val="center"/>
                </w:tcPr>
                <w:p>
                  <w:pPr>
                    <w:adjustRightInd w:val="0"/>
                    <w:snapToGrid w:val="0"/>
                    <w:spacing w:line="240" w:lineRule="atLeast"/>
                    <w:jc w:val="center"/>
                    <w:rPr>
                      <w:rFonts w:ascii="Times New Roman" w:hAnsi="Times New Roman" w:eastAsia="宋体"/>
                    </w:rPr>
                  </w:pPr>
                  <w:r>
                    <w:rPr>
                      <w:rFonts w:hint="eastAsia" w:ascii="Times New Roman" w:hAnsi="Times New Roman" w:eastAsia="宋体"/>
                    </w:rPr>
                    <w:t>《环境保护综合名录（2021年版）》</w:t>
                  </w:r>
                </w:p>
              </w:tc>
              <w:tc>
                <w:tcPr>
                  <w:tcW w:w="2362" w:type="pct"/>
                  <w:vAlign w:val="center"/>
                </w:tcPr>
                <w:p>
                  <w:pPr>
                    <w:adjustRightInd w:val="0"/>
                    <w:snapToGrid w:val="0"/>
                    <w:spacing w:line="240" w:lineRule="atLeast"/>
                    <w:rPr>
                      <w:rFonts w:ascii="Times New Roman" w:hAnsi="Times New Roman" w:eastAsia="宋体"/>
                    </w:rPr>
                  </w:pPr>
                  <w:r>
                    <w:rPr>
                      <w:rFonts w:hint="eastAsia" w:ascii="Times New Roman" w:hAnsi="Times New Roman" w:eastAsia="宋体"/>
                    </w:rPr>
                    <w:t>名录932项“双高”产品中，具有“高污染”特性产品326项，具有“高环境风险”特性产品223项，具有“高污染”和“高环境风险”双重特性产品383项。</w:t>
                  </w:r>
                </w:p>
              </w:tc>
              <w:tc>
                <w:tcPr>
                  <w:tcW w:w="1622" w:type="pct"/>
                  <w:vAlign w:val="center"/>
                </w:tcPr>
                <w:p>
                  <w:pPr>
                    <w:widowControl/>
                    <w:rPr>
                      <w:rFonts w:ascii="Times New Roman" w:hAnsi="Times New Roman" w:eastAsia="宋体"/>
                    </w:rPr>
                  </w:pPr>
                  <w:r>
                    <w:rPr>
                      <w:rFonts w:hint="eastAsia" w:ascii="Times New Roman" w:hAnsi="Times New Roman" w:eastAsia="宋体"/>
                    </w:rPr>
                    <w:t>本项目不属于“高污染、高环境风险”产品。</w:t>
                  </w:r>
                </w:p>
              </w:tc>
              <w:tc>
                <w:tcPr>
                  <w:tcW w:w="297" w:type="pct"/>
                  <w:vAlign w:val="center"/>
                </w:tcPr>
                <w:p>
                  <w:pPr>
                    <w:adjustRightInd w:val="0"/>
                    <w:snapToGrid w:val="0"/>
                    <w:spacing w:line="240" w:lineRule="atLeast"/>
                    <w:jc w:val="center"/>
                    <w:rPr>
                      <w:rFonts w:ascii="Times New Roman" w:hAnsi="Times New Roman" w:eastAsia="宋体"/>
                    </w:rPr>
                  </w:pPr>
                  <w:r>
                    <w:rPr>
                      <w:rFonts w:hint="eastAsia" w:ascii="Times New Roman" w:hAnsi="Times New Roman" w:eastAsia="宋体"/>
                    </w:rPr>
                    <w:t>符合</w:t>
                  </w:r>
                </w:p>
              </w:tc>
            </w:tr>
            <w:bookmarkEnd w:id="2"/>
          </w:tbl>
          <w:p>
            <w:pPr>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5、“三线一单”符合性分析</w:t>
            </w:r>
          </w:p>
          <w:p>
            <w:pPr>
              <w:tabs>
                <w:tab w:val="left" w:pos="3150"/>
                <w:tab w:val="left" w:pos="4305"/>
              </w:tabs>
              <w:adjustRightInd w:val="0"/>
              <w:snapToGrid w:val="0"/>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根据环保部《关于以改善环境质量为核心加强环境影响评价管理的通知》要求，切实加强环境管理，落实“生态保护红线、环境质量底线、资源利用上线和环境准入负面清单”（简称“三线一单”）约束，建立项目环评审批与规划环评、现有项目环境管理、区域环境质量联动机制，更好的发挥环评制度从源头防范环境污染和生态破坏的作用，加快推进改善环境质量。本项目与“三线一单”符合性分析见表1-</w:t>
            </w:r>
            <w:r>
              <w:rPr>
                <w:rFonts w:ascii="Times New Roman" w:hAnsi="Times New Roman" w:eastAsia="宋体" w:cs="Times New Roman"/>
                <w:kern w:val="0"/>
                <w:sz w:val="24"/>
                <w:szCs w:val="24"/>
              </w:rPr>
              <w:t>3</w:t>
            </w:r>
            <w:r>
              <w:rPr>
                <w:rFonts w:hint="eastAsia" w:ascii="Times New Roman" w:hAnsi="Times New Roman" w:eastAsia="宋体" w:cs="Times New Roman"/>
                <w:kern w:val="0"/>
                <w:sz w:val="24"/>
                <w:szCs w:val="24"/>
              </w:rPr>
              <w:t>。</w:t>
            </w:r>
          </w:p>
          <w:p>
            <w:pPr>
              <w:pStyle w:val="71"/>
              <w:rPr>
                <w:color w:val="auto"/>
              </w:rPr>
            </w:pPr>
            <w:r>
              <w:rPr>
                <w:color w:val="auto"/>
              </w:rPr>
              <w:t>表</w:t>
            </w:r>
            <w:r>
              <w:rPr>
                <w:rFonts w:hint="eastAsia"/>
                <w:color w:val="auto"/>
              </w:rPr>
              <w:t>1-</w:t>
            </w:r>
            <w:r>
              <w:rPr>
                <w:color w:val="auto"/>
              </w:rPr>
              <w:t>3</w:t>
            </w:r>
            <w:r>
              <w:rPr>
                <w:rFonts w:hint="eastAsia"/>
                <w:color w:val="auto"/>
              </w:rPr>
              <w:t xml:space="preserve">  </w:t>
            </w:r>
            <w:r>
              <w:rPr>
                <w:color w:val="auto"/>
              </w:rPr>
              <w:t>“三线一单”符合性分析</w:t>
            </w:r>
          </w:p>
          <w:tbl>
            <w:tblPr>
              <w:tblStyle w:val="26"/>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309"/>
              <w:gridCol w:w="8374"/>
              <w:gridCol w:w="14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9" w:type="pct"/>
                  <w:tcBorders>
                    <w:bottom w:val="single" w:color="auto" w:sz="6" w:space="0"/>
                    <w:right w:val="single" w:color="auto" w:sz="6" w:space="0"/>
                    <w:tl2br w:val="nil"/>
                    <w:tr2bl w:val="nil"/>
                  </w:tcBorders>
                  <w:vAlign w:val="center"/>
                </w:tcPr>
                <w:p>
                  <w:pPr>
                    <w:jc w:val="center"/>
                    <w:rPr>
                      <w:rFonts w:ascii="Times New Roman" w:hAnsi="Times New Roman" w:eastAsia="宋体" w:cs="Times New Roman"/>
                      <w:b/>
                    </w:rPr>
                  </w:pPr>
                  <w:r>
                    <w:rPr>
                      <w:rFonts w:ascii="Times New Roman" w:hAnsi="Times New Roman" w:eastAsia="宋体" w:cs="Times New Roman"/>
                      <w:b/>
                    </w:rPr>
                    <w:t>“三线一单”</w:t>
                  </w:r>
                </w:p>
              </w:tc>
              <w:tc>
                <w:tcPr>
                  <w:tcW w:w="3442" w:type="pct"/>
                  <w:tcBorders>
                    <w:left w:val="single" w:color="auto" w:sz="6" w:space="0"/>
                    <w:bottom w:val="single" w:color="auto" w:sz="6" w:space="0"/>
                    <w:right w:val="single" w:color="auto" w:sz="6" w:space="0"/>
                    <w:tl2br w:val="nil"/>
                    <w:tr2bl w:val="nil"/>
                  </w:tcBorders>
                  <w:vAlign w:val="center"/>
                </w:tcPr>
                <w:p>
                  <w:pPr>
                    <w:ind w:firstLine="422"/>
                    <w:jc w:val="center"/>
                    <w:rPr>
                      <w:rFonts w:ascii="Times New Roman" w:hAnsi="Times New Roman" w:eastAsia="宋体" w:cs="Times New Roman"/>
                      <w:b/>
                    </w:rPr>
                  </w:pPr>
                  <w:r>
                    <w:rPr>
                      <w:rFonts w:ascii="Times New Roman" w:hAnsi="Times New Roman" w:eastAsia="宋体" w:cs="Times New Roman"/>
                      <w:b/>
                    </w:rPr>
                    <w:t>本项目情况</w:t>
                  </w:r>
                </w:p>
              </w:tc>
              <w:tc>
                <w:tcPr>
                  <w:tcW w:w="607" w:type="pct"/>
                  <w:tcBorders>
                    <w:left w:val="single" w:color="auto" w:sz="6" w:space="0"/>
                    <w:bottom w:val="single" w:color="auto" w:sz="6" w:space="0"/>
                    <w:tl2br w:val="nil"/>
                    <w:tr2bl w:val="nil"/>
                  </w:tcBorders>
                  <w:vAlign w:val="center"/>
                </w:tcPr>
                <w:p>
                  <w:pPr>
                    <w:jc w:val="center"/>
                    <w:rPr>
                      <w:rFonts w:ascii="Times New Roman" w:hAnsi="Times New Roman" w:eastAsia="宋体" w:cs="Times New Roman"/>
                      <w:b/>
                    </w:rPr>
                  </w:pPr>
                  <w:r>
                    <w:rPr>
                      <w:rFonts w:ascii="Times New Roman" w:hAnsi="Times New Roman" w:eastAsia="宋体" w:cs="Times New Roman"/>
                      <w:b/>
                    </w:rPr>
                    <w:t>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9" w:type="pct"/>
                  <w:tcBorders>
                    <w:top w:val="single" w:color="auto" w:sz="6" w:space="0"/>
                    <w:bottom w:val="single" w:color="auto" w:sz="6" w:space="0"/>
                    <w:right w:val="single" w:color="auto" w:sz="6" w:space="0"/>
                    <w:tl2br w:val="nil"/>
                    <w:tr2bl w:val="nil"/>
                  </w:tcBorders>
                  <w:vAlign w:val="center"/>
                </w:tcPr>
                <w:p>
                  <w:pPr>
                    <w:jc w:val="center"/>
                    <w:rPr>
                      <w:rFonts w:ascii="Times New Roman" w:hAnsi="Times New Roman" w:eastAsia="宋体" w:cs="Times New Roman"/>
                    </w:rPr>
                  </w:pPr>
                  <w:r>
                    <w:rPr>
                      <w:rFonts w:ascii="Times New Roman" w:hAnsi="Times New Roman" w:eastAsia="宋体" w:cs="Times New Roman"/>
                    </w:rPr>
                    <w:t>生态保护红线</w:t>
                  </w:r>
                </w:p>
              </w:tc>
              <w:tc>
                <w:tcPr>
                  <w:tcW w:w="3442" w:type="pct"/>
                  <w:tcBorders>
                    <w:top w:val="single" w:color="auto" w:sz="6" w:space="0"/>
                    <w:left w:val="single" w:color="auto" w:sz="6" w:space="0"/>
                    <w:bottom w:val="single" w:color="auto" w:sz="6" w:space="0"/>
                    <w:right w:val="single" w:color="auto" w:sz="6" w:space="0"/>
                    <w:tl2br w:val="nil"/>
                    <w:tr2bl w:val="nil"/>
                  </w:tcBorders>
                  <w:vAlign w:val="center"/>
                </w:tcPr>
                <w:p>
                  <w:pPr>
                    <w:tabs>
                      <w:tab w:val="left" w:pos="0"/>
                    </w:tabs>
                    <w:rPr>
                      <w:rFonts w:ascii="Times New Roman" w:hAnsi="Times New Roman" w:eastAsia="宋体" w:cs="Times New Roman"/>
                    </w:rPr>
                  </w:pPr>
                  <w:r>
                    <w:rPr>
                      <w:rFonts w:ascii="Times New Roman" w:hAnsi="Times New Roman" w:eastAsia="宋体" w:cs="Times New Roman"/>
                    </w:rPr>
                    <w:t>本项目所在地位于</w:t>
                  </w:r>
                  <w:r>
                    <w:rPr>
                      <w:rFonts w:hint="eastAsia" w:ascii="Times New Roman" w:hAnsi="Times New Roman" w:eastAsia="宋体" w:cs="Times New Roman"/>
                    </w:rPr>
                    <w:t>蓝田工业园电商物流片区的三元环保科技产业园</w:t>
                  </w:r>
                  <w:r>
                    <w:rPr>
                      <w:rFonts w:ascii="Times New Roman" w:hAnsi="Times New Roman" w:eastAsia="宋体" w:cs="Times New Roman"/>
                    </w:rPr>
                    <w:t>，厂址不涉及自然保护区、饮用水源保护区等生态保护目标，与陕西省生态保护区域规划</w:t>
                  </w:r>
                  <w:r>
                    <w:rPr>
                      <w:rFonts w:hint="eastAsia" w:ascii="Times New Roman" w:hAnsi="Times New Roman" w:eastAsia="宋体" w:cs="Times New Roman"/>
                    </w:rPr>
                    <w:t>及西安市生态环境保护</w:t>
                  </w:r>
                  <w:r>
                    <w:rPr>
                      <w:rFonts w:ascii="Times New Roman" w:hAnsi="Times New Roman" w:eastAsia="宋体" w:cs="Times New Roman"/>
                    </w:rPr>
                    <w:t>规划相符。</w:t>
                  </w:r>
                </w:p>
              </w:tc>
              <w:tc>
                <w:tcPr>
                  <w:tcW w:w="607" w:type="pct"/>
                  <w:tcBorders>
                    <w:top w:val="single" w:color="auto" w:sz="6" w:space="0"/>
                    <w:left w:val="single" w:color="auto" w:sz="6" w:space="0"/>
                    <w:bottom w:val="single" w:color="auto" w:sz="6" w:space="0"/>
                    <w:tl2br w:val="nil"/>
                    <w:tr2bl w:val="nil"/>
                  </w:tcBorders>
                  <w:vAlign w:val="center"/>
                </w:tcPr>
                <w:p>
                  <w:pPr>
                    <w:tabs>
                      <w:tab w:val="left" w:pos="0"/>
                    </w:tabs>
                    <w:jc w:val="center"/>
                    <w:rPr>
                      <w:rFonts w:ascii="Times New Roman" w:hAnsi="Times New Roman" w:eastAsia="宋体" w:cs="Times New Roman"/>
                    </w:rPr>
                  </w:pPr>
                  <w:r>
                    <w:rPr>
                      <w:rFonts w:ascii="Times New Roman" w:hAnsi="Times New Roman" w:eastAsia="宋体" w:cs="Times New Roma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9" w:type="pct"/>
                  <w:tcBorders>
                    <w:top w:val="single" w:color="auto" w:sz="6" w:space="0"/>
                    <w:bottom w:val="single" w:color="auto" w:sz="6" w:space="0"/>
                    <w:right w:val="single" w:color="auto" w:sz="6" w:space="0"/>
                    <w:tl2br w:val="nil"/>
                    <w:tr2bl w:val="nil"/>
                  </w:tcBorders>
                  <w:vAlign w:val="center"/>
                </w:tcPr>
                <w:p>
                  <w:pPr>
                    <w:jc w:val="center"/>
                    <w:rPr>
                      <w:rFonts w:ascii="Times New Roman" w:hAnsi="Times New Roman" w:eastAsia="宋体" w:cs="Times New Roman"/>
                    </w:rPr>
                  </w:pPr>
                  <w:r>
                    <w:rPr>
                      <w:rFonts w:ascii="Times New Roman" w:hAnsi="Times New Roman" w:eastAsia="宋体" w:cs="Times New Roman"/>
                    </w:rPr>
                    <w:t>环境质量底线</w:t>
                  </w:r>
                </w:p>
              </w:tc>
              <w:tc>
                <w:tcPr>
                  <w:tcW w:w="3442" w:type="pct"/>
                  <w:tcBorders>
                    <w:top w:val="single" w:color="auto" w:sz="6" w:space="0"/>
                    <w:left w:val="single" w:color="auto" w:sz="6" w:space="0"/>
                    <w:bottom w:val="single" w:color="auto" w:sz="6" w:space="0"/>
                    <w:right w:val="single" w:color="auto" w:sz="6" w:space="0"/>
                    <w:tl2br w:val="nil"/>
                    <w:tr2bl w:val="nil"/>
                  </w:tcBorders>
                  <w:vAlign w:val="center"/>
                </w:tcPr>
                <w:p>
                  <w:pPr>
                    <w:rPr>
                      <w:rFonts w:ascii="Times New Roman" w:hAnsi="Times New Roman" w:eastAsia="宋体"/>
                    </w:rPr>
                  </w:pPr>
                  <w:r>
                    <w:rPr>
                      <w:rFonts w:hint="eastAsia" w:ascii="Times New Roman" w:hAnsi="Times New Roman" w:eastAsia="宋体" w:cs="Times New Roman"/>
                    </w:rPr>
                    <w:t>根据</w:t>
                  </w:r>
                  <w:r>
                    <w:rPr>
                      <w:rFonts w:ascii="Times New Roman" w:hAnsi="Times New Roman" w:eastAsia="宋体" w:cs="Times New Roman"/>
                    </w:rPr>
                    <w:t>陕西省生态环境厅办公室于2024年1月19日发布的《环保快报》</w:t>
                  </w:r>
                  <w:r>
                    <w:rPr>
                      <w:rFonts w:hint="eastAsia" w:ascii="Times New Roman" w:hAnsi="Times New Roman" w:eastAsia="宋体" w:cs="Times New Roman"/>
                    </w:rPr>
                    <w:t>中</w:t>
                  </w:r>
                  <w:r>
                    <w:rPr>
                      <w:rFonts w:ascii="Times New Roman" w:hAnsi="Times New Roman" w:eastAsia="宋体" w:cs="Times New Roman"/>
                    </w:rPr>
                    <w:t>2023年12月及1~12月全省环境空气质量状况</w:t>
                  </w:r>
                  <w:r>
                    <w:rPr>
                      <w:rFonts w:hint="eastAsia" w:ascii="Times New Roman" w:hAnsi="Times New Roman" w:eastAsia="宋体" w:cs="Times New Roman"/>
                    </w:rPr>
                    <w:t>，西安市蓝田县</w:t>
                  </w:r>
                  <w:r>
                    <w:rPr>
                      <w:rFonts w:ascii="Times New Roman" w:hAnsi="Times New Roman" w:eastAsia="宋体" w:cs="Times New Roman"/>
                    </w:rPr>
                    <w:t>环境空气质量属于不达标区</w:t>
                  </w:r>
                  <w:r>
                    <w:rPr>
                      <w:rFonts w:hint="eastAsia" w:ascii="Times New Roman" w:hAnsi="Times New Roman" w:eastAsia="宋体"/>
                    </w:rPr>
                    <w:t>。</w:t>
                  </w:r>
                  <w:r>
                    <w:rPr>
                      <w:rFonts w:hint="eastAsia" w:ascii="Times New Roman" w:hAnsi="Times New Roman" w:eastAsia="宋体" w:cs="宋体"/>
                    </w:rPr>
                    <w:t>项目建设单位严格落实本次评价提出的各类废气、废水、噪声和固废污染防治措施后，污染物实现稳定达标排放，对周边的环境影响较小。</w:t>
                  </w:r>
                </w:p>
              </w:tc>
              <w:tc>
                <w:tcPr>
                  <w:tcW w:w="607" w:type="pct"/>
                  <w:tcBorders>
                    <w:top w:val="single" w:color="auto" w:sz="6" w:space="0"/>
                    <w:left w:val="single" w:color="auto" w:sz="6" w:space="0"/>
                    <w:bottom w:val="single" w:color="auto" w:sz="6" w:space="0"/>
                    <w:tl2br w:val="nil"/>
                    <w:tr2bl w:val="nil"/>
                  </w:tcBorders>
                  <w:vAlign w:val="center"/>
                </w:tcPr>
                <w:p>
                  <w:pPr>
                    <w:autoSpaceDE w:val="0"/>
                    <w:autoSpaceDN w:val="0"/>
                    <w:adjustRightInd w:val="0"/>
                    <w:jc w:val="center"/>
                    <w:rPr>
                      <w:rFonts w:ascii="Times New Roman" w:hAnsi="Times New Roman" w:eastAsia="宋体" w:cs="Times New Roman"/>
                    </w:rPr>
                  </w:pPr>
                  <w:r>
                    <w:rPr>
                      <w:rFonts w:ascii="Times New Roman" w:hAnsi="Times New Roman" w:eastAsia="宋体" w:cs="Times New Roma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9" w:type="pct"/>
                  <w:tcBorders>
                    <w:top w:val="single" w:color="auto" w:sz="6" w:space="0"/>
                    <w:bottom w:val="single" w:color="auto" w:sz="6" w:space="0"/>
                    <w:right w:val="single" w:color="auto" w:sz="6" w:space="0"/>
                    <w:tl2br w:val="nil"/>
                    <w:tr2bl w:val="nil"/>
                  </w:tcBorders>
                  <w:vAlign w:val="center"/>
                </w:tcPr>
                <w:p>
                  <w:pPr>
                    <w:jc w:val="center"/>
                    <w:rPr>
                      <w:rFonts w:ascii="Times New Roman" w:hAnsi="Times New Roman" w:eastAsia="宋体" w:cs="Times New Roman"/>
                    </w:rPr>
                  </w:pPr>
                  <w:r>
                    <w:rPr>
                      <w:rFonts w:ascii="Times New Roman" w:hAnsi="Times New Roman" w:eastAsia="宋体" w:cs="Times New Roman"/>
                    </w:rPr>
                    <w:t>资源利用上线</w:t>
                  </w:r>
                </w:p>
              </w:tc>
              <w:tc>
                <w:tcPr>
                  <w:tcW w:w="3442" w:type="pct"/>
                  <w:tcBorders>
                    <w:top w:val="single" w:color="auto" w:sz="6" w:space="0"/>
                    <w:left w:val="single" w:color="auto" w:sz="6" w:space="0"/>
                    <w:bottom w:val="single" w:color="auto" w:sz="6" w:space="0"/>
                    <w:right w:val="single" w:color="auto" w:sz="6" w:space="0"/>
                    <w:tl2br w:val="nil"/>
                    <w:tr2bl w:val="nil"/>
                  </w:tcBorders>
                  <w:vAlign w:val="center"/>
                </w:tcPr>
                <w:p>
                  <w:pPr>
                    <w:tabs>
                      <w:tab w:val="left" w:pos="0"/>
                    </w:tabs>
                    <w:rPr>
                      <w:rFonts w:ascii="Times New Roman" w:hAnsi="Times New Roman" w:eastAsia="宋体" w:cs="Times New Roman"/>
                    </w:rPr>
                  </w:pPr>
                  <w:r>
                    <w:rPr>
                      <w:rFonts w:hint="eastAsia" w:ascii="Times New Roman" w:hAnsi="Times New Roman" w:eastAsia="宋体" w:cs="宋体"/>
                    </w:rPr>
                    <w:t>本项目运营期所利用的资源主要是水资源、电能。项目所在地供水设施可满足本项目用水需求，供电设施可满足用电需求，未突破资源利用上线；</w:t>
                  </w:r>
                </w:p>
              </w:tc>
              <w:tc>
                <w:tcPr>
                  <w:tcW w:w="607" w:type="pct"/>
                  <w:tcBorders>
                    <w:top w:val="single" w:color="auto" w:sz="6" w:space="0"/>
                    <w:left w:val="single" w:color="auto" w:sz="6" w:space="0"/>
                    <w:bottom w:val="single" w:color="auto" w:sz="6" w:space="0"/>
                    <w:tl2br w:val="nil"/>
                    <w:tr2bl w:val="nil"/>
                  </w:tcBorders>
                  <w:vAlign w:val="center"/>
                </w:tcPr>
                <w:p>
                  <w:pPr>
                    <w:tabs>
                      <w:tab w:val="left" w:pos="0"/>
                    </w:tabs>
                    <w:jc w:val="center"/>
                    <w:rPr>
                      <w:rFonts w:ascii="Times New Roman" w:hAnsi="Times New Roman" w:eastAsia="宋体" w:cs="Times New Roman"/>
                    </w:rPr>
                  </w:pPr>
                  <w:r>
                    <w:rPr>
                      <w:rFonts w:ascii="Times New Roman" w:hAnsi="Times New Roman" w:eastAsia="宋体" w:cs="Times New Roma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9" w:type="pct"/>
                  <w:tcBorders>
                    <w:top w:val="single" w:color="auto" w:sz="6" w:space="0"/>
                    <w:right w:val="single" w:color="auto" w:sz="6" w:space="0"/>
                    <w:tl2br w:val="nil"/>
                    <w:tr2bl w:val="nil"/>
                  </w:tcBorders>
                  <w:vAlign w:val="center"/>
                </w:tcPr>
                <w:p>
                  <w:pPr>
                    <w:jc w:val="center"/>
                    <w:rPr>
                      <w:rFonts w:ascii="Times New Roman" w:hAnsi="Times New Roman" w:eastAsia="宋体" w:cs="Times New Roman"/>
                    </w:rPr>
                  </w:pPr>
                  <w:r>
                    <w:rPr>
                      <w:rFonts w:ascii="Times New Roman" w:hAnsi="Times New Roman" w:eastAsia="宋体" w:cs="Times New Roman"/>
                    </w:rPr>
                    <w:t>环境准入负面清单</w:t>
                  </w:r>
                </w:p>
              </w:tc>
              <w:tc>
                <w:tcPr>
                  <w:tcW w:w="3442" w:type="pct"/>
                  <w:tcBorders>
                    <w:top w:val="single" w:color="auto" w:sz="6" w:space="0"/>
                    <w:left w:val="single" w:color="auto" w:sz="6" w:space="0"/>
                    <w:right w:val="single" w:color="auto" w:sz="6" w:space="0"/>
                    <w:tl2br w:val="nil"/>
                    <w:tr2bl w:val="nil"/>
                  </w:tcBorders>
                  <w:vAlign w:val="center"/>
                </w:tcPr>
                <w:p>
                  <w:pPr>
                    <w:tabs>
                      <w:tab w:val="left" w:pos="0"/>
                    </w:tabs>
                    <w:rPr>
                      <w:rFonts w:ascii="Times New Roman" w:hAnsi="Times New Roman" w:eastAsia="宋体" w:cs="Times New Roman"/>
                    </w:rPr>
                  </w:pPr>
                  <w:r>
                    <w:rPr>
                      <w:rFonts w:hint="eastAsia" w:ascii="Times New Roman" w:hAnsi="Times New Roman" w:eastAsia="宋体" w:cs="宋体"/>
                    </w:rPr>
                    <w:t>对</w:t>
                  </w:r>
                  <w:r>
                    <w:rPr>
                      <w:rFonts w:hint="eastAsia" w:ascii="Times New Roman" w:hAnsi="Times New Roman" w:eastAsia="宋体" w:cs="Times New Roman"/>
                    </w:rPr>
                    <w:t>照《陕西国家重点生态功能区产业准入负面清单（试行）》（陕发改规划〔2018〕213号），该项目不在清单范围内，符合陕西省环境准入负面清单规划要求。</w:t>
                  </w:r>
                </w:p>
              </w:tc>
              <w:tc>
                <w:tcPr>
                  <w:tcW w:w="607" w:type="pct"/>
                  <w:tcBorders>
                    <w:top w:val="single" w:color="auto" w:sz="6" w:space="0"/>
                    <w:left w:val="single" w:color="auto" w:sz="6" w:space="0"/>
                    <w:tl2br w:val="nil"/>
                    <w:tr2bl w:val="nil"/>
                  </w:tcBorders>
                  <w:vAlign w:val="center"/>
                </w:tcPr>
                <w:p>
                  <w:pPr>
                    <w:tabs>
                      <w:tab w:val="left" w:pos="0"/>
                    </w:tabs>
                    <w:jc w:val="center"/>
                    <w:rPr>
                      <w:rFonts w:ascii="Times New Roman" w:hAnsi="Times New Roman" w:eastAsia="宋体" w:cs="Times New Roman"/>
                    </w:rPr>
                  </w:pPr>
                  <w:r>
                    <w:rPr>
                      <w:rFonts w:ascii="Times New Roman" w:hAnsi="Times New Roman" w:eastAsia="宋体" w:cs="Times New Roman"/>
                    </w:rPr>
                    <w:t>符合</w:t>
                  </w:r>
                </w:p>
              </w:tc>
            </w:tr>
          </w:tbl>
          <w:p>
            <w:pPr>
              <w:adjustRightInd w:val="0"/>
              <w:snapToGrid w:val="0"/>
              <w:spacing w:line="360" w:lineRule="auto"/>
              <w:rPr>
                <w:rFonts w:ascii="Times New Roman" w:hAnsi="Times New Roman" w:eastAsia="宋体"/>
                <w:b/>
                <w:bCs/>
                <w:sz w:val="24"/>
              </w:rPr>
            </w:pPr>
            <w:r>
              <w:rPr>
                <w:rFonts w:ascii="Times New Roman" w:hAnsi="Times New Roman" w:eastAsia="宋体"/>
                <w:b/>
                <w:bCs/>
                <w:sz w:val="24"/>
              </w:rPr>
              <w:t>6</w:t>
            </w:r>
            <w:r>
              <w:rPr>
                <w:rFonts w:hint="eastAsia" w:ascii="Times New Roman" w:hAnsi="Times New Roman" w:eastAsia="宋体"/>
                <w:b/>
                <w:bCs/>
                <w:sz w:val="24"/>
              </w:rPr>
              <w:t>、项目与《陕西省“三线一单”生态环境管控单元对照分析报告》符合性分析</w:t>
            </w:r>
          </w:p>
          <w:p>
            <w:pPr>
              <w:adjustRightInd w:val="0"/>
              <w:snapToGrid w:val="0"/>
              <w:spacing w:line="360" w:lineRule="auto"/>
              <w:ind w:firstLine="480" w:firstLineChars="200"/>
              <w:rPr>
                <w:rFonts w:ascii="Times New Roman" w:hAnsi="Times New Roman" w:eastAsia="宋体"/>
                <w:b/>
                <w:bCs/>
                <w:sz w:val="24"/>
              </w:rPr>
            </w:pPr>
            <w:r>
              <w:rPr>
                <w:rFonts w:hint="eastAsia" w:ascii="Times New Roman" w:hAnsi="Times New Roman" w:eastAsia="宋体"/>
                <w:sz w:val="24"/>
              </w:rPr>
              <w:t>根据《陕西省“三线一单”生态环境管控单元对照分析报告》（附件</w:t>
            </w:r>
            <w:r>
              <w:rPr>
                <w:rFonts w:ascii="Times New Roman" w:hAnsi="Times New Roman" w:eastAsia="宋体"/>
                <w:sz w:val="24"/>
              </w:rPr>
              <w:t>10</w:t>
            </w:r>
            <w:r>
              <w:rPr>
                <w:rFonts w:hint="eastAsia" w:ascii="Times New Roman" w:hAnsi="Times New Roman" w:eastAsia="宋体"/>
                <w:sz w:val="24"/>
              </w:rPr>
              <w:t>），项目位于重点管控单元内，符合性分析见表1-</w:t>
            </w:r>
            <w:r>
              <w:rPr>
                <w:rFonts w:ascii="Times New Roman" w:hAnsi="Times New Roman" w:eastAsia="宋体"/>
                <w:sz w:val="24"/>
              </w:rPr>
              <w:t>3</w:t>
            </w:r>
            <w:r>
              <w:rPr>
                <w:rFonts w:hint="eastAsia" w:ascii="Times New Roman" w:hAnsi="Times New Roman" w:eastAsia="宋体"/>
                <w:sz w:val="24"/>
              </w:rPr>
              <w:t>。</w:t>
            </w:r>
          </w:p>
          <w:p>
            <w:pPr>
              <w:tabs>
                <w:tab w:val="left" w:pos="0"/>
                <w:tab w:val="right" w:leader="dot" w:pos="8302"/>
              </w:tabs>
              <w:jc w:val="center"/>
              <w:rPr>
                <w:rFonts w:ascii="Times New Roman" w:hAnsi="Times New Roman" w:eastAsia="宋体"/>
                <w:b/>
                <w:bCs/>
                <w:sz w:val="24"/>
              </w:rPr>
            </w:pPr>
            <w:r>
              <w:rPr>
                <w:rFonts w:ascii="Times New Roman" w:hAnsi="Times New Roman" w:eastAsia="宋体"/>
              </w:rPr>
              <w:drawing>
                <wp:inline distT="0" distB="0" distL="0" distR="0">
                  <wp:extent cx="3195955" cy="3503930"/>
                  <wp:effectExtent l="0" t="0" r="4445" b="1270"/>
                  <wp:docPr id="12479102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910255" name="图片 1"/>
                          <pic:cNvPicPr>
                            <a:picLocks noChangeAspect="1"/>
                          </pic:cNvPicPr>
                        </pic:nvPicPr>
                        <pic:blipFill>
                          <a:blip r:embed="rId8"/>
                          <a:srcRect t="22496"/>
                          <a:stretch>
                            <a:fillRect/>
                          </a:stretch>
                        </pic:blipFill>
                        <pic:spPr>
                          <a:xfrm>
                            <a:off x="0" y="0"/>
                            <a:ext cx="3205289" cy="3513794"/>
                          </a:xfrm>
                          <a:prstGeom prst="rect">
                            <a:avLst/>
                          </a:prstGeom>
                          <a:ln>
                            <a:noFill/>
                          </a:ln>
                        </pic:spPr>
                      </pic:pic>
                    </a:graphicData>
                  </a:graphic>
                </wp:inline>
              </w:drawing>
            </w:r>
          </w:p>
          <w:p>
            <w:pPr>
              <w:tabs>
                <w:tab w:val="left" w:pos="0"/>
                <w:tab w:val="right" w:leader="dot" w:pos="8302"/>
              </w:tabs>
              <w:spacing w:line="360" w:lineRule="auto"/>
              <w:jc w:val="center"/>
              <w:rPr>
                <w:rFonts w:ascii="Times New Roman" w:hAnsi="Times New Roman" w:eastAsia="宋体"/>
                <w:b/>
                <w:bCs/>
                <w:sz w:val="24"/>
                <w:szCs w:val="24"/>
              </w:rPr>
            </w:pPr>
            <w:r>
              <w:rPr>
                <w:rFonts w:hint="eastAsia" w:ascii="Times New Roman" w:hAnsi="Times New Roman" w:eastAsia="宋体"/>
                <w:b/>
                <w:bCs/>
                <w:sz w:val="24"/>
                <w:szCs w:val="24"/>
              </w:rPr>
              <w:t>图1-</w:t>
            </w:r>
            <w:r>
              <w:rPr>
                <w:rFonts w:ascii="Times New Roman" w:hAnsi="Times New Roman" w:eastAsia="宋体"/>
                <w:b/>
                <w:bCs/>
                <w:sz w:val="24"/>
                <w:szCs w:val="24"/>
              </w:rPr>
              <w:t>1</w:t>
            </w:r>
            <w:r>
              <w:rPr>
                <w:rFonts w:hint="eastAsia" w:ascii="Times New Roman" w:hAnsi="Times New Roman" w:eastAsia="宋体"/>
                <w:b/>
                <w:bCs/>
                <w:sz w:val="24"/>
                <w:szCs w:val="24"/>
              </w:rPr>
              <w:t xml:space="preserve">  陕西省“三线一单”环境管控单元对照分析图</w:t>
            </w:r>
          </w:p>
          <w:p>
            <w:pPr>
              <w:tabs>
                <w:tab w:val="left" w:pos="0"/>
                <w:tab w:val="right" w:leader="dot" w:pos="8302"/>
              </w:tabs>
              <w:ind w:firstLine="482" w:firstLineChars="200"/>
              <w:jc w:val="center"/>
              <w:rPr>
                <w:rFonts w:ascii="Times New Roman" w:hAnsi="Times New Roman" w:eastAsia="宋体"/>
                <w:b/>
                <w:bCs/>
                <w:sz w:val="24"/>
              </w:rPr>
            </w:pPr>
            <w:r>
              <w:rPr>
                <w:rFonts w:hint="eastAsia" w:ascii="Times New Roman" w:hAnsi="Times New Roman" w:eastAsia="宋体"/>
                <w:b/>
                <w:bCs/>
                <w:sz w:val="24"/>
              </w:rPr>
              <w:t>表1-</w:t>
            </w:r>
            <w:r>
              <w:rPr>
                <w:rFonts w:ascii="Times New Roman" w:hAnsi="Times New Roman" w:eastAsia="宋体"/>
                <w:b/>
                <w:bCs/>
                <w:sz w:val="24"/>
              </w:rPr>
              <w:t>4</w:t>
            </w:r>
            <w:r>
              <w:rPr>
                <w:rFonts w:hint="eastAsia" w:ascii="Times New Roman" w:hAnsi="Times New Roman" w:eastAsia="宋体"/>
                <w:b/>
                <w:bCs/>
                <w:sz w:val="24"/>
              </w:rPr>
              <w:t xml:space="preserve">  陕西省“三线一单”符合性分析</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874"/>
              <w:gridCol w:w="776"/>
              <w:gridCol w:w="6614"/>
              <w:gridCol w:w="2244"/>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64" w:type="pct"/>
                  <w:vAlign w:val="center"/>
                </w:tcPr>
                <w:p>
                  <w:pPr>
                    <w:widowControl/>
                    <w:adjustRightInd w:val="0"/>
                    <w:snapToGrid w:val="0"/>
                    <w:jc w:val="center"/>
                    <w:rPr>
                      <w:rFonts w:ascii="Times New Roman" w:hAnsi="Times New Roman" w:eastAsia="宋体"/>
                      <w:b/>
                      <w:bCs/>
                      <w:sz w:val="18"/>
                      <w:szCs w:val="18"/>
                    </w:rPr>
                  </w:pPr>
                  <w:r>
                    <w:rPr>
                      <w:rFonts w:ascii="Times New Roman" w:hAnsi="Times New Roman" w:eastAsia="宋体" w:cs="黑体"/>
                      <w:b/>
                      <w:bCs/>
                      <w:kern w:val="0"/>
                      <w:sz w:val="18"/>
                      <w:szCs w:val="18"/>
                      <w:lang w:bidi="ar"/>
                    </w:rPr>
                    <w:t>区域名称</w:t>
                  </w:r>
                </w:p>
              </w:tc>
              <w:tc>
                <w:tcPr>
                  <w:tcW w:w="358" w:type="pct"/>
                </w:tcPr>
                <w:p>
                  <w:pPr>
                    <w:adjustRightInd w:val="0"/>
                    <w:snapToGrid w:val="0"/>
                    <w:jc w:val="center"/>
                    <w:rPr>
                      <w:rFonts w:ascii="Times New Roman" w:hAnsi="Times New Roman" w:eastAsia="宋体"/>
                      <w:b/>
                      <w:bCs/>
                      <w:sz w:val="18"/>
                      <w:szCs w:val="18"/>
                    </w:rPr>
                  </w:pPr>
                  <w:r>
                    <w:rPr>
                      <w:rFonts w:hint="eastAsia" w:ascii="Times New Roman" w:hAnsi="Times New Roman" w:eastAsia="宋体"/>
                      <w:b/>
                      <w:bCs/>
                      <w:sz w:val="18"/>
                      <w:szCs w:val="18"/>
                    </w:rPr>
                    <w:t>环境管控单元名称</w:t>
                  </w:r>
                </w:p>
              </w:tc>
              <w:tc>
                <w:tcPr>
                  <w:tcW w:w="319" w:type="pct"/>
                  <w:vAlign w:val="center"/>
                </w:tcPr>
                <w:p>
                  <w:pPr>
                    <w:adjustRightInd w:val="0"/>
                    <w:snapToGrid w:val="0"/>
                    <w:jc w:val="center"/>
                    <w:rPr>
                      <w:rFonts w:ascii="Times New Roman" w:hAnsi="Times New Roman" w:eastAsia="宋体"/>
                      <w:b/>
                      <w:bCs/>
                      <w:sz w:val="18"/>
                      <w:szCs w:val="18"/>
                    </w:rPr>
                  </w:pPr>
                  <w:r>
                    <w:rPr>
                      <w:rFonts w:hint="eastAsia" w:ascii="Times New Roman" w:hAnsi="Times New Roman" w:eastAsia="宋体"/>
                      <w:b/>
                      <w:bCs/>
                      <w:sz w:val="18"/>
                      <w:szCs w:val="18"/>
                    </w:rPr>
                    <w:t>单元要素属性</w:t>
                  </w:r>
                </w:p>
              </w:tc>
              <w:tc>
                <w:tcPr>
                  <w:tcW w:w="2718" w:type="pct"/>
                  <w:vAlign w:val="center"/>
                </w:tcPr>
                <w:p>
                  <w:pPr>
                    <w:adjustRightInd w:val="0"/>
                    <w:snapToGrid w:val="0"/>
                    <w:jc w:val="center"/>
                    <w:rPr>
                      <w:rFonts w:ascii="Times New Roman" w:hAnsi="Times New Roman" w:eastAsia="宋体"/>
                      <w:b/>
                      <w:bCs/>
                      <w:sz w:val="18"/>
                      <w:szCs w:val="18"/>
                    </w:rPr>
                  </w:pPr>
                  <w:r>
                    <w:rPr>
                      <w:rFonts w:hint="eastAsia" w:ascii="Times New Roman" w:hAnsi="Times New Roman" w:eastAsia="宋体"/>
                      <w:b/>
                      <w:bCs/>
                      <w:sz w:val="18"/>
                      <w:szCs w:val="18"/>
                    </w:rPr>
                    <w:t>管控要求</w:t>
                  </w:r>
                </w:p>
              </w:tc>
              <w:tc>
                <w:tcPr>
                  <w:tcW w:w="922" w:type="pct"/>
                  <w:vAlign w:val="center"/>
                </w:tcPr>
                <w:p>
                  <w:pPr>
                    <w:adjustRightInd w:val="0"/>
                    <w:snapToGrid w:val="0"/>
                    <w:jc w:val="center"/>
                    <w:rPr>
                      <w:rFonts w:ascii="Times New Roman" w:hAnsi="Times New Roman" w:eastAsia="宋体"/>
                      <w:b/>
                      <w:bCs/>
                      <w:sz w:val="18"/>
                      <w:szCs w:val="18"/>
                    </w:rPr>
                  </w:pPr>
                  <w:r>
                    <w:rPr>
                      <w:rFonts w:hint="eastAsia" w:ascii="Times New Roman" w:hAnsi="Times New Roman" w:eastAsia="宋体"/>
                      <w:b/>
                      <w:bCs/>
                      <w:sz w:val="18"/>
                      <w:szCs w:val="18"/>
                    </w:rPr>
                    <w:t>本项目情况</w:t>
                  </w:r>
                </w:p>
              </w:tc>
              <w:tc>
                <w:tcPr>
                  <w:tcW w:w="319" w:type="pct"/>
                  <w:vAlign w:val="center"/>
                </w:tcPr>
                <w:p>
                  <w:pPr>
                    <w:adjustRightInd w:val="0"/>
                    <w:snapToGrid w:val="0"/>
                    <w:jc w:val="center"/>
                    <w:rPr>
                      <w:rFonts w:ascii="Times New Roman" w:hAnsi="Times New Roman" w:eastAsia="宋体"/>
                      <w:b/>
                      <w:bCs/>
                      <w:sz w:val="18"/>
                      <w:szCs w:val="18"/>
                    </w:rPr>
                  </w:pPr>
                  <w:r>
                    <w:rPr>
                      <w:rFonts w:hint="eastAsia" w:ascii="Times New Roman" w:hAnsi="Times New Roman" w:eastAsia="宋体"/>
                      <w:b/>
                      <w:bCs/>
                      <w:sz w:val="18"/>
                      <w:szCs w:val="18"/>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64" w:type="pct"/>
                  <w:vMerge w:val="restart"/>
                  <w:vAlign w:val="center"/>
                </w:tcPr>
                <w:p>
                  <w:pPr>
                    <w:widowControl/>
                    <w:adjustRightInd w:val="0"/>
                    <w:snapToGrid w:val="0"/>
                    <w:rPr>
                      <w:rFonts w:ascii="Times New Roman" w:hAnsi="Times New Roman" w:eastAsia="宋体"/>
                      <w:sz w:val="18"/>
                      <w:szCs w:val="18"/>
                    </w:rPr>
                  </w:pPr>
                  <w:r>
                    <w:rPr>
                      <w:rFonts w:hint="eastAsia" w:ascii="Times New Roman" w:hAnsi="Times New Roman" w:eastAsia="宋体"/>
                      <w:sz w:val="18"/>
                      <w:szCs w:val="18"/>
                    </w:rPr>
                    <w:t>西安蓝田工业园</w:t>
                  </w:r>
                </w:p>
              </w:tc>
              <w:tc>
                <w:tcPr>
                  <w:tcW w:w="358" w:type="pct"/>
                  <w:vMerge w:val="restart"/>
                  <w:vAlign w:val="center"/>
                </w:tcPr>
                <w:p>
                  <w:pPr>
                    <w:widowControl/>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西安蓝田工业</w:t>
                  </w:r>
                </w:p>
                <w:p>
                  <w:pPr>
                    <w:widowControl/>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园土地资源重</w:t>
                  </w:r>
                </w:p>
                <w:p>
                  <w:pPr>
                    <w:widowControl/>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点管控区水环</w:t>
                  </w:r>
                </w:p>
                <w:p>
                  <w:pPr>
                    <w:widowControl/>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境城镇生活污</w:t>
                  </w:r>
                </w:p>
                <w:p>
                  <w:pPr>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染重点管控区、大气环境高排</w:t>
                  </w:r>
                </w:p>
                <w:p>
                  <w:pPr>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放重点管控区</w:t>
                  </w:r>
                </w:p>
              </w:tc>
              <w:tc>
                <w:tcPr>
                  <w:tcW w:w="319" w:type="pct"/>
                  <w:vAlign w:val="center"/>
                </w:tcPr>
                <w:p>
                  <w:pPr>
                    <w:widowControl/>
                    <w:snapToGrid w:val="0"/>
                    <w:jc w:val="center"/>
                    <w:rPr>
                      <w:rFonts w:ascii="Times New Roman" w:hAnsi="Times New Roman" w:eastAsia="宋体"/>
                      <w:sz w:val="18"/>
                      <w:szCs w:val="18"/>
                    </w:rPr>
                  </w:pPr>
                  <w:r>
                    <w:rPr>
                      <w:rFonts w:hint="eastAsia" w:ascii="Times New Roman" w:hAnsi="Times New Roman" w:eastAsia="宋体" w:cs="Calibri"/>
                      <w:kern w:val="0"/>
                      <w:sz w:val="18"/>
                      <w:szCs w:val="18"/>
                      <w:lang w:bidi="ar"/>
                    </w:rPr>
                    <w:t>空间</w:t>
                  </w:r>
                  <w:r>
                    <w:rPr>
                      <w:rFonts w:hint="eastAsia" w:ascii="Times New Roman" w:hAnsi="Times New Roman" w:eastAsia="宋体" w:cs="宋体"/>
                      <w:kern w:val="0"/>
                      <w:sz w:val="18"/>
                      <w:szCs w:val="18"/>
                      <w:lang w:bidi="ar"/>
                    </w:rPr>
                    <w:t>布局</w:t>
                  </w:r>
                  <w:r>
                    <w:rPr>
                      <w:rFonts w:hint="eastAsia" w:ascii="Times New Roman" w:hAnsi="Times New Roman" w:eastAsia="宋体" w:cs="Calibri"/>
                      <w:kern w:val="0"/>
                      <w:sz w:val="18"/>
                      <w:szCs w:val="18"/>
                      <w:lang w:bidi="ar"/>
                    </w:rPr>
                    <w:t>约束</w:t>
                  </w:r>
                </w:p>
              </w:tc>
              <w:tc>
                <w:tcPr>
                  <w:tcW w:w="2718" w:type="pct"/>
                  <w:vAlign w:val="center"/>
                </w:tcPr>
                <w:p>
                  <w:pPr>
                    <w:widowControl/>
                    <w:adjustRightInd w:val="0"/>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无大气环境高排放：</w:t>
                  </w:r>
                </w:p>
                <w:p>
                  <w:pPr>
                    <w:widowControl/>
                    <w:adjustRightInd w:val="0"/>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1.大气污染防治重点区域严禁新增钢铁、水泥熟料、平板玻璃、炼化产能。</w:t>
                  </w:r>
                </w:p>
                <w:p>
                  <w:pPr>
                    <w:widowControl/>
                    <w:adjustRightInd w:val="0"/>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2.加快壮大新材料、新能源汽车、新一代信息技术、绿色环保等产业。</w:t>
                  </w:r>
                </w:p>
                <w:p>
                  <w:pPr>
                    <w:widowControl/>
                    <w:adjustRightInd w:val="0"/>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3.推进5G、物联网、云计算、大数据、区块链、人工智能等新一代信息技术与绿色环保产业深度融合创新。</w:t>
                  </w:r>
                </w:p>
                <w:p>
                  <w:pPr>
                    <w:widowControl/>
                    <w:adjustRightInd w:val="0"/>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4.促进产业集聚和绿色发展转型。</w:t>
                  </w:r>
                </w:p>
              </w:tc>
              <w:tc>
                <w:tcPr>
                  <w:tcW w:w="922" w:type="pct"/>
                  <w:vAlign w:val="center"/>
                </w:tcPr>
                <w:p>
                  <w:pPr>
                    <w:pStyle w:val="34"/>
                    <w:snapToGrid w:val="0"/>
                    <w:jc w:val="both"/>
                    <w:rPr>
                      <w:rFonts w:ascii="Times New Roman"/>
                      <w:color w:val="auto"/>
                      <w:sz w:val="18"/>
                      <w:szCs w:val="18"/>
                    </w:rPr>
                  </w:pPr>
                  <w:r>
                    <w:rPr>
                      <w:rFonts w:hint="eastAsia" w:ascii="Times New Roman" w:cstheme="minorBidi"/>
                      <w:color w:val="auto"/>
                      <w:kern w:val="2"/>
                      <w:sz w:val="18"/>
                      <w:szCs w:val="18"/>
                    </w:rPr>
                    <w:t>本项目不涉及。</w:t>
                  </w:r>
                </w:p>
              </w:tc>
              <w:tc>
                <w:tcPr>
                  <w:tcW w:w="319" w:type="pct"/>
                  <w:vAlign w:val="center"/>
                </w:tcPr>
                <w:p>
                  <w:pPr>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64" w:type="pct"/>
                  <w:vMerge w:val="continue"/>
                  <w:vAlign w:val="center"/>
                </w:tcPr>
                <w:p>
                  <w:pPr>
                    <w:widowControl/>
                    <w:adjustRightInd w:val="0"/>
                    <w:snapToGrid w:val="0"/>
                    <w:jc w:val="left"/>
                    <w:rPr>
                      <w:rFonts w:ascii="Times New Roman" w:hAnsi="Times New Roman" w:eastAsia="宋体"/>
                      <w:sz w:val="18"/>
                      <w:szCs w:val="18"/>
                    </w:rPr>
                  </w:pPr>
                </w:p>
              </w:tc>
              <w:tc>
                <w:tcPr>
                  <w:tcW w:w="358" w:type="pct"/>
                  <w:vMerge w:val="continue"/>
                  <w:vAlign w:val="center"/>
                </w:tcPr>
                <w:p>
                  <w:pPr>
                    <w:adjustRightInd w:val="0"/>
                    <w:snapToGrid w:val="0"/>
                    <w:jc w:val="center"/>
                    <w:rPr>
                      <w:rFonts w:ascii="Times New Roman" w:hAnsi="Times New Roman" w:eastAsia="宋体"/>
                      <w:sz w:val="18"/>
                      <w:szCs w:val="18"/>
                    </w:rPr>
                  </w:pPr>
                </w:p>
              </w:tc>
              <w:tc>
                <w:tcPr>
                  <w:tcW w:w="319" w:type="pct"/>
                  <w:vAlign w:val="center"/>
                </w:tcPr>
                <w:p>
                  <w:pPr>
                    <w:widowControl/>
                    <w:adjustRightInd w:val="0"/>
                    <w:snapToGrid w:val="0"/>
                    <w:jc w:val="center"/>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污染物排放管控</w:t>
                  </w:r>
                </w:p>
                <w:p>
                  <w:pPr>
                    <w:widowControl/>
                    <w:adjustRightInd w:val="0"/>
                    <w:snapToGrid w:val="0"/>
                    <w:jc w:val="center"/>
                    <w:rPr>
                      <w:rFonts w:ascii="Times New Roman" w:hAnsi="Times New Roman" w:eastAsia="宋体"/>
                      <w:sz w:val="18"/>
                      <w:szCs w:val="18"/>
                    </w:rPr>
                  </w:pPr>
                </w:p>
              </w:tc>
              <w:tc>
                <w:tcPr>
                  <w:tcW w:w="2718" w:type="pct"/>
                  <w:vAlign w:val="center"/>
                </w:tcPr>
                <w:p>
                  <w:pPr>
                    <w:pStyle w:val="34"/>
                    <w:snapToGrid w:val="0"/>
                    <w:jc w:val="both"/>
                    <w:rPr>
                      <w:rFonts w:ascii="Times New Roman"/>
                      <w:color w:val="auto"/>
                      <w:sz w:val="18"/>
                      <w:szCs w:val="18"/>
                      <w:lang w:bidi="ar"/>
                    </w:rPr>
                  </w:pPr>
                  <w:r>
                    <w:rPr>
                      <w:rFonts w:hint="eastAsia" w:ascii="Times New Roman"/>
                      <w:color w:val="auto"/>
                      <w:sz w:val="18"/>
                      <w:szCs w:val="18"/>
                      <w:lang w:bidi="ar"/>
                    </w:rPr>
                    <w:t>水环境城镇生活重点管控区：</w:t>
                  </w:r>
                </w:p>
                <w:p>
                  <w:pPr>
                    <w:pStyle w:val="34"/>
                    <w:snapToGrid w:val="0"/>
                    <w:jc w:val="both"/>
                    <w:rPr>
                      <w:rFonts w:ascii="Times New Roman"/>
                      <w:color w:val="auto"/>
                      <w:sz w:val="18"/>
                      <w:szCs w:val="18"/>
                      <w:lang w:bidi="ar"/>
                    </w:rPr>
                  </w:pPr>
                  <w:r>
                    <w:rPr>
                      <w:rFonts w:hint="eastAsia" w:ascii="Times New Roman"/>
                      <w:color w:val="auto"/>
                      <w:sz w:val="18"/>
                      <w:szCs w:val="18"/>
                      <w:lang w:bidi="ar"/>
                    </w:rPr>
                    <w:t>1.掌握排污口信息。按照“查、测、溯、治”的工作步骤和要求，以城市建成区及重要水体为重点，摸清所有直接、间接排放的各类排污口数量、位置，了解排污口的排放状况，掌握排放的污染物种类及排放量，形成入河排污口台账。对排查、监测过程中发现排污问题突出的排污口进行溯源，查清排污单位，厘清排污责任。</w:t>
                  </w:r>
                </w:p>
                <w:p>
                  <w:pPr>
                    <w:pStyle w:val="34"/>
                    <w:snapToGrid w:val="0"/>
                    <w:jc w:val="both"/>
                    <w:rPr>
                      <w:rFonts w:ascii="Times New Roman"/>
                      <w:color w:val="auto"/>
                      <w:sz w:val="18"/>
                      <w:szCs w:val="18"/>
                      <w:lang w:bidi="ar"/>
                    </w:rPr>
                  </w:pPr>
                  <w:r>
                    <w:rPr>
                      <w:rFonts w:hint="eastAsia" w:ascii="Times New Roman"/>
                      <w:color w:val="auto"/>
                      <w:sz w:val="18"/>
                      <w:szCs w:val="18"/>
                      <w:lang w:bidi="ar"/>
                    </w:rPr>
                    <w:t>2.加快建设城中村、老旧城区、建制镇、城乡结合部等生活污水收集管网，填补污水收集管网空白区。开展老旧破损和易造成积水内涝问题的污水管网、雨污合流制管网诊断修复更新，循序推进管网错接混接漏接改造，提高污水厂进水浓度，提升污水收集效能。</w:t>
                  </w:r>
                </w:p>
                <w:p>
                  <w:pPr>
                    <w:pStyle w:val="34"/>
                    <w:snapToGrid w:val="0"/>
                    <w:jc w:val="both"/>
                    <w:rPr>
                      <w:rFonts w:ascii="Times New Roman"/>
                      <w:color w:val="auto"/>
                      <w:sz w:val="18"/>
                      <w:szCs w:val="18"/>
                      <w:lang w:bidi="ar"/>
                    </w:rPr>
                  </w:pPr>
                  <w:r>
                    <w:rPr>
                      <w:rFonts w:hint="eastAsia" w:ascii="Times New Roman"/>
                      <w:color w:val="auto"/>
                      <w:sz w:val="18"/>
                      <w:szCs w:val="18"/>
                      <w:lang w:bidi="ar"/>
                    </w:rPr>
                    <w:t>3.加快提升污水厂运营水平，使出水稳定达到标准要求。</w:t>
                  </w:r>
                </w:p>
                <w:p>
                  <w:pPr>
                    <w:pStyle w:val="34"/>
                    <w:snapToGrid w:val="0"/>
                    <w:jc w:val="both"/>
                    <w:rPr>
                      <w:rFonts w:ascii="Times New Roman"/>
                      <w:color w:val="auto"/>
                      <w:sz w:val="18"/>
                      <w:szCs w:val="18"/>
                      <w:lang w:bidi="ar"/>
                    </w:rPr>
                  </w:pPr>
                  <w:r>
                    <w:rPr>
                      <w:rFonts w:hint="eastAsia" w:ascii="Times New Roman"/>
                      <w:color w:val="auto"/>
                      <w:sz w:val="18"/>
                      <w:szCs w:val="18"/>
                      <w:lang w:bidi="ar"/>
                    </w:rPr>
                    <w:t>无大气环境高排放：</w:t>
                  </w:r>
                </w:p>
                <w:p>
                  <w:pPr>
                    <w:pStyle w:val="34"/>
                    <w:snapToGrid w:val="0"/>
                    <w:jc w:val="both"/>
                    <w:rPr>
                      <w:rFonts w:ascii="Times New Roman"/>
                      <w:color w:val="auto"/>
                      <w:sz w:val="18"/>
                      <w:szCs w:val="18"/>
                      <w:lang w:bidi="ar"/>
                    </w:rPr>
                  </w:pPr>
                  <w:r>
                    <w:rPr>
                      <w:rFonts w:hint="eastAsia" w:ascii="Times New Roman"/>
                      <w:color w:val="auto"/>
                      <w:sz w:val="18"/>
                      <w:szCs w:val="18"/>
                      <w:lang w:bidi="ar"/>
                    </w:rPr>
                    <w:t>1.控制氮氧化物、颗粒物、挥发性有机物的排放，特别是挥发性有机物的排放。</w:t>
                  </w:r>
                </w:p>
                <w:p>
                  <w:pPr>
                    <w:pStyle w:val="34"/>
                    <w:snapToGrid w:val="0"/>
                    <w:jc w:val="both"/>
                    <w:rPr>
                      <w:rFonts w:ascii="Times New Roman"/>
                      <w:color w:val="auto"/>
                      <w:sz w:val="18"/>
                      <w:szCs w:val="18"/>
                      <w:lang w:bidi="ar"/>
                    </w:rPr>
                  </w:pPr>
                  <w:r>
                    <w:rPr>
                      <w:rFonts w:hint="eastAsia" w:ascii="Times New Roman"/>
                      <w:color w:val="auto"/>
                      <w:sz w:val="18"/>
                      <w:szCs w:val="18"/>
                      <w:lang w:bidi="ar"/>
                    </w:rPr>
                    <w:t>2.对高能耗高污染行业企业采用先进高效的污染控制措施。</w:t>
                  </w:r>
                </w:p>
                <w:p>
                  <w:pPr>
                    <w:pStyle w:val="34"/>
                    <w:snapToGrid w:val="0"/>
                    <w:jc w:val="both"/>
                    <w:rPr>
                      <w:rFonts w:ascii="Times New Roman"/>
                      <w:color w:val="auto"/>
                      <w:sz w:val="18"/>
                      <w:szCs w:val="18"/>
                      <w:lang w:bidi="ar"/>
                    </w:rPr>
                  </w:pPr>
                  <w:r>
                    <w:rPr>
                      <w:rFonts w:hint="eastAsia" w:ascii="Times New Roman"/>
                      <w:color w:val="auto"/>
                      <w:sz w:val="18"/>
                      <w:szCs w:val="18"/>
                      <w:lang w:bidi="ar"/>
                    </w:rPr>
                    <w:t>3.以建材、有色、石化、化工、包装印刷等行业为重点，开展全流程清洁化、循环化、低碳化改造，促进传统产业转型升级高质量发展。</w:t>
                  </w:r>
                </w:p>
                <w:p>
                  <w:pPr>
                    <w:pStyle w:val="34"/>
                    <w:snapToGrid w:val="0"/>
                    <w:jc w:val="both"/>
                    <w:rPr>
                      <w:rFonts w:ascii="Times New Roman"/>
                      <w:color w:val="auto"/>
                      <w:sz w:val="18"/>
                      <w:szCs w:val="18"/>
                      <w:lang w:bidi="ar"/>
                    </w:rPr>
                  </w:pPr>
                  <w:r>
                    <w:rPr>
                      <w:rFonts w:hint="eastAsia" w:ascii="Times New Roman"/>
                      <w:color w:val="auto"/>
                      <w:sz w:val="18"/>
                      <w:szCs w:val="18"/>
                      <w:lang w:bidi="ar"/>
                    </w:rPr>
                    <w:t>4.对高能耗高污染行业企业采用先进高效的污染控制措施。</w:t>
                  </w:r>
                </w:p>
              </w:tc>
              <w:tc>
                <w:tcPr>
                  <w:tcW w:w="922" w:type="pct"/>
                  <w:vAlign w:val="center"/>
                </w:tcPr>
                <w:p>
                  <w:pPr>
                    <w:adjustRightInd w:val="0"/>
                    <w:snapToGrid w:val="0"/>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水环境城镇生活重点管控区：</w:t>
                  </w:r>
                </w:p>
                <w:p>
                  <w:pPr>
                    <w:adjustRightInd w:val="0"/>
                    <w:snapToGrid w:val="0"/>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1、本项目不涉及。</w:t>
                  </w:r>
                </w:p>
                <w:p>
                  <w:pPr>
                    <w:adjustRightInd w:val="0"/>
                    <w:snapToGrid w:val="0"/>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2、本项目无生产废水产生，生活污水经厂内化粪池处理后通过园区污水管网排入蓝田工业园（洩湖镇）污水处理站。</w:t>
                  </w:r>
                </w:p>
                <w:p>
                  <w:pPr>
                    <w:adjustRightInd w:val="0"/>
                    <w:snapToGrid w:val="0"/>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3、本项目不涉及。</w:t>
                  </w:r>
                </w:p>
                <w:p>
                  <w:pPr>
                    <w:pStyle w:val="34"/>
                    <w:snapToGrid w:val="0"/>
                    <w:jc w:val="both"/>
                    <w:rPr>
                      <w:rFonts w:ascii="Times New Roman" w:cs="Calibri"/>
                      <w:color w:val="auto"/>
                      <w:sz w:val="18"/>
                      <w:szCs w:val="18"/>
                      <w:lang w:bidi="ar"/>
                    </w:rPr>
                  </w:pPr>
                  <w:r>
                    <w:rPr>
                      <w:rFonts w:hint="eastAsia" w:ascii="Times New Roman" w:cs="Calibri"/>
                      <w:color w:val="auto"/>
                      <w:sz w:val="18"/>
                      <w:szCs w:val="18"/>
                      <w:lang w:bidi="ar"/>
                    </w:rPr>
                    <w:t>无大气环境高排放：</w:t>
                  </w:r>
                </w:p>
                <w:p>
                  <w:pPr>
                    <w:pStyle w:val="34"/>
                    <w:snapToGrid w:val="0"/>
                    <w:rPr>
                      <w:rFonts w:ascii="Times New Roman" w:cs="Calibri"/>
                      <w:color w:val="auto"/>
                      <w:sz w:val="18"/>
                      <w:szCs w:val="18"/>
                      <w:lang w:bidi="ar"/>
                    </w:rPr>
                  </w:pPr>
                  <w:r>
                    <w:rPr>
                      <w:rFonts w:hint="eastAsia" w:ascii="Times New Roman" w:cs="Calibri"/>
                      <w:color w:val="auto"/>
                      <w:sz w:val="18"/>
                      <w:szCs w:val="18"/>
                      <w:lang w:bidi="ar"/>
                    </w:rPr>
                    <w:t>1、本项目使用原料为低V</w:t>
                  </w:r>
                  <w:r>
                    <w:rPr>
                      <w:rFonts w:ascii="Times New Roman" w:cs="Calibri"/>
                      <w:color w:val="auto"/>
                      <w:sz w:val="18"/>
                      <w:szCs w:val="18"/>
                      <w:lang w:bidi="ar"/>
                    </w:rPr>
                    <w:t>OC</w:t>
                  </w:r>
                  <w:r>
                    <w:rPr>
                      <w:rFonts w:hint="eastAsia" w:ascii="Times New Roman" w:cs="Calibri"/>
                      <w:color w:val="auto"/>
                      <w:sz w:val="18"/>
                      <w:szCs w:val="18"/>
                      <w:lang w:bidi="ar"/>
                    </w:rPr>
                    <w:t>s原料，有机废气通过干式过滤器+吸附脱附催化燃烧废气处理装置处理后可有效控制排放。</w:t>
                  </w:r>
                </w:p>
                <w:p>
                  <w:pPr>
                    <w:snapToGrid w:val="0"/>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2、本项目不属于高耗能企业。</w:t>
                  </w:r>
                </w:p>
                <w:p>
                  <w:pPr>
                    <w:pStyle w:val="34"/>
                    <w:snapToGrid w:val="0"/>
                    <w:rPr>
                      <w:rFonts w:ascii="Times New Roman" w:cs="Calibri"/>
                      <w:color w:val="auto"/>
                      <w:sz w:val="18"/>
                      <w:szCs w:val="18"/>
                      <w:lang w:bidi="ar"/>
                    </w:rPr>
                  </w:pPr>
                  <w:r>
                    <w:rPr>
                      <w:rFonts w:hint="eastAsia" w:ascii="Times New Roman" w:cs="Calibri"/>
                      <w:color w:val="auto"/>
                      <w:sz w:val="18"/>
                      <w:szCs w:val="18"/>
                      <w:lang w:bidi="ar"/>
                    </w:rPr>
                    <w:t>3、本项目不涉及。</w:t>
                  </w:r>
                </w:p>
                <w:p>
                  <w:pPr>
                    <w:snapToGrid w:val="0"/>
                    <w:rPr>
                      <w:rFonts w:ascii="Times New Roman" w:hAnsi="Times New Roman" w:eastAsia="宋体"/>
                      <w:sz w:val="18"/>
                      <w:szCs w:val="18"/>
                    </w:rPr>
                  </w:pPr>
                  <w:r>
                    <w:rPr>
                      <w:rFonts w:hint="eastAsia" w:ascii="Times New Roman" w:hAnsi="Times New Roman" w:eastAsia="宋体" w:cs="Calibri"/>
                      <w:kern w:val="0"/>
                      <w:sz w:val="18"/>
                      <w:szCs w:val="18"/>
                      <w:lang w:bidi="ar"/>
                    </w:rPr>
                    <w:t>4、本项目不属于高耗能高污染企业。</w:t>
                  </w:r>
                </w:p>
              </w:tc>
              <w:tc>
                <w:tcPr>
                  <w:tcW w:w="319" w:type="pct"/>
                  <w:vAlign w:val="center"/>
                </w:tcPr>
                <w:p>
                  <w:pPr>
                    <w:adjustRightInd w:val="0"/>
                    <w:snapToGrid w:val="0"/>
                    <w:jc w:val="center"/>
                    <w:rPr>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64" w:type="pct"/>
                  <w:vMerge w:val="continue"/>
                  <w:vAlign w:val="center"/>
                </w:tcPr>
                <w:p>
                  <w:pPr>
                    <w:widowControl/>
                    <w:adjustRightInd w:val="0"/>
                    <w:snapToGrid w:val="0"/>
                    <w:jc w:val="left"/>
                    <w:rPr>
                      <w:rFonts w:ascii="Times New Roman" w:hAnsi="Times New Roman" w:eastAsia="宋体"/>
                      <w:sz w:val="18"/>
                      <w:szCs w:val="18"/>
                    </w:rPr>
                  </w:pPr>
                </w:p>
              </w:tc>
              <w:tc>
                <w:tcPr>
                  <w:tcW w:w="358" w:type="pct"/>
                  <w:vMerge w:val="continue"/>
                  <w:vAlign w:val="center"/>
                </w:tcPr>
                <w:p>
                  <w:pPr>
                    <w:adjustRightInd w:val="0"/>
                    <w:snapToGrid w:val="0"/>
                    <w:jc w:val="center"/>
                    <w:rPr>
                      <w:rFonts w:ascii="Times New Roman" w:hAnsi="Times New Roman" w:eastAsia="宋体"/>
                      <w:sz w:val="18"/>
                      <w:szCs w:val="18"/>
                    </w:rPr>
                  </w:pPr>
                </w:p>
              </w:tc>
              <w:tc>
                <w:tcPr>
                  <w:tcW w:w="319" w:type="pct"/>
                  <w:vAlign w:val="center"/>
                </w:tcPr>
                <w:p>
                  <w:pPr>
                    <w:widowControl/>
                    <w:adjustRightInd w:val="0"/>
                    <w:snapToGrid w:val="0"/>
                    <w:jc w:val="center"/>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资源开发效率要求</w:t>
                  </w:r>
                </w:p>
                <w:p>
                  <w:pPr>
                    <w:widowControl/>
                    <w:adjustRightInd w:val="0"/>
                    <w:snapToGrid w:val="0"/>
                    <w:jc w:val="center"/>
                    <w:rPr>
                      <w:rFonts w:ascii="Times New Roman" w:hAnsi="Times New Roman" w:eastAsia="宋体"/>
                      <w:sz w:val="18"/>
                      <w:szCs w:val="18"/>
                    </w:rPr>
                  </w:pPr>
                </w:p>
              </w:tc>
              <w:tc>
                <w:tcPr>
                  <w:tcW w:w="2718" w:type="pct"/>
                  <w:vAlign w:val="center"/>
                </w:tcPr>
                <w:p>
                  <w:pPr>
                    <w:widowControl/>
                    <w:adjustRightInd w:val="0"/>
                    <w:snapToGrid w:val="0"/>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水环境城镇生活重点管控区：</w:t>
                  </w:r>
                </w:p>
                <w:p>
                  <w:pPr>
                    <w:widowControl/>
                    <w:adjustRightInd w:val="0"/>
                    <w:snapToGrid w:val="0"/>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1.加强城镇节水，提高中水回用率，建设滞、渗、蓄、用、排相结合的雨水收集利用设施。</w:t>
                  </w:r>
                </w:p>
                <w:p>
                  <w:pPr>
                    <w:widowControl/>
                    <w:adjustRightInd w:val="0"/>
                    <w:snapToGrid w:val="0"/>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土地资源重点管控区：</w:t>
                  </w:r>
                </w:p>
                <w:p>
                  <w:pPr>
                    <w:widowControl/>
                    <w:adjustRightInd w:val="0"/>
                    <w:snapToGrid w:val="0"/>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1.严格执行《中华人民共和国土地管理法实施条例》《陕西省实施&lt;中华人民共和国土地管理法&gt;办法》《西安市国土空间总体规划》（2020-2035 年）相关要求。应进一步优化投资环境，规范工业园区（开发区）入园用地项目管理，推进园区土地集约、节约利用，提高入园项目质量，确保园区经济快速健康发展，以提高土地利用质量和效益为目的，对项目在用地期限内的利用状况实施全过程动态评估和监管，通过健全工业园区用地准入、综合效益评估、土地使用权推出等机制，实现土地利用管理系统化、精细化、动态化；项目入园要严格按照有关部门审核同意的项目建设内容使用土地，不得擅自改变土地用途、超越地界线占用土地。</w:t>
                  </w:r>
                </w:p>
              </w:tc>
              <w:tc>
                <w:tcPr>
                  <w:tcW w:w="922" w:type="pct"/>
                  <w:vAlign w:val="center"/>
                </w:tcPr>
                <w:p>
                  <w:pPr>
                    <w:widowControl/>
                    <w:adjustRightInd w:val="0"/>
                    <w:snapToGrid w:val="0"/>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水环境城镇生活重点管控区：</w:t>
                  </w:r>
                </w:p>
                <w:p>
                  <w:pPr>
                    <w:adjustRightInd w:val="0"/>
                    <w:snapToGrid w:val="0"/>
                    <w:rPr>
                      <w:rFonts w:ascii="Times New Roman" w:hAnsi="Times New Roman" w:eastAsia="宋体"/>
                      <w:sz w:val="18"/>
                      <w:szCs w:val="18"/>
                    </w:rPr>
                  </w:pPr>
                  <w:r>
                    <w:rPr>
                      <w:rFonts w:ascii="Times New Roman" w:hAnsi="Times New Roman" w:eastAsia="宋体"/>
                      <w:sz w:val="18"/>
                      <w:szCs w:val="18"/>
                    </w:rPr>
                    <w:t>1</w:t>
                  </w:r>
                  <w:r>
                    <w:rPr>
                      <w:rFonts w:hint="eastAsia" w:ascii="Times New Roman" w:hAnsi="Times New Roman" w:eastAsia="宋体"/>
                      <w:sz w:val="18"/>
                      <w:szCs w:val="18"/>
                    </w:rPr>
                    <w:t>、</w:t>
                  </w:r>
                  <w:r>
                    <w:rPr>
                      <w:rFonts w:hint="eastAsia" w:ascii="Times New Roman" w:hAnsi="Times New Roman" w:eastAsia="宋体" w:cs="Calibri"/>
                      <w:sz w:val="18"/>
                      <w:szCs w:val="18"/>
                      <w:lang w:bidi="ar"/>
                    </w:rPr>
                    <w:t>本</w:t>
                  </w:r>
                  <w:r>
                    <w:rPr>
                      <w:rFonts w:hint="eastAsia" w:ascii="Times New Roman" w:hAnsi="Times New Roman" w:eastAsia="宋体"/>
                      <w:sz w:val="18"/>
                      <w:szCs w:val="18"/>
                    </w:rPr>
                    <w:t>项目不涉及。</w:t>
                  </w:r>
                </w:p>
                <w:p>
                  <w:pPr>
                    <w:widowControl/>
                    <w:adjustRightInd w:val="0"/>
                    <w:snapToGrid w:val="0"/>
                    <w:rPr>
                      <w:rFonts w:ascii="Times New Roman" w:hAnsi="Times New Roman" w:eastAsia="宋体" w:cs="Calibri"/>
                      <w:kern w:val="0"/>
                      <w:sz w:val="18"/>
                      <w:szCs w:val="18"/>
                      <w:lang w:bidi="ar"/>
                    </w:rPr>
                  </w:pPr>
                  <w:r>
                    <w:rPr>
                      <w:rFonts w:hint="eastAsia" w:ascii="Times New Roman" w:hAnsi="Times New Roman" w:eastAsia="宋体" w:cs="Calibri"/>
                      <w:kern w:val="0"/>
                      <w:sz w:val="18"/>
                      <w:szCs w:val="18"/>
                      <w:lang w:bidi="ar"/>
                    </w:rPr>
                    <w:t>土地资源重点管控区：</w:t>
                  </w:r>
                </w:p>
                <w:p>
                  <w:pPr>
                    <w:pStyle w:val="34"/>
                    <w:snapToGrid w:val="0"/>
                    <w:rPr>
                      <w:rFonts w:ascii="Times New Roman"/>
                      <w:color w:val="auto"/>
                      <w:sz w:val="18"/>
                      <w:szCs w:val="18"/>
                    </w:rPr>
                  </w:pPr>
                  <w:r>
                    <w:rPr>
                      <w:rFonts w:hint="eastAsia" w:ascii="Times New Roman"/>
                      <w:snapToGrid w:val="0"/>
                      <w:color w:val="auto"/>
                      <w:sz w:val="18"/>
                      <w:szCs w:val="18"/>
                    </w:rPr>
                    <w:t>1、本项目占地位于工业园区内，属于建设用地，符合园区规划。</w:t>
                  </w:r>
                </w:p>
              </w:tc>
              <w:tc>
                <w:tcPr>
                  <w:tcW w:w="319" w:type="pct"/>
                  <w:vAlign w:val="center"/>
                </w:tcPr>
                <w:p>
                  <w:pPr>
                    <w:adjustRightInd w:val="0"/>
                    <w:snapToGrid w:val="0"/>
                    <w:jc w:val="center"/>
                    <w:rPr>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23" w:type="pct"/>
                  <w:gridSpan w:val="2"/>
                  <w:vMerge w:val="restart"/>
                  <w:vAlign w:val="center"/>
                </w:tcPr>
                <w:p>
                  <w:pPr>
                    <w:widowControl/>
                    <w:adjustRightInd w:val="0"/>
                    <w:snapToGrid w:val="0"/>
                    <w:jc w:val="left"/>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陕西省</w:t>
                  </w:r>
                </w:p>
                <w:p>
                  <w:pPr>
                    <w:adjustRightInd w:val="0"/>
                    <w:snapToGrid w:val="0"/>
                    <w:jc w:val="center"/>
                    <w:rPr>
                      <w:rFonts w:ascii="Times New Roman" w:hAnsi="Times New Roman" w:eastAsia="宋体"/>
                      <w:sz w:val="18"/>
                      <w:szCs w:val="18"/>
                    </w:rPr>
                  </w:pPr>
                </w:p>
              </w:tc>
              <w:tc>
                <w:tcPr>
                  <w:tcW w:w="319" w:type="pct"/>
                  <w:vMerge w:val="restart"/>
                  <w:vAlign w:val="center"/>
                </w:tcPr>
                <w:p>
                  <w:pPr>
                    <w:adjustRightInd w:val="0"/>
                    <w:snapToGrid w:val="0"/>
                    <w:jc w:val="center"/>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空间布局约束</w:t>
                  </w:r>
                </w:p>
              </w:tc>
              <w:tc>
                <w:tcPr>
                  <w:tcW w:w="2718" w:type="pct"/>
                  <w:vAlign w:val="center"/>
                </w:tcPr>
                <w:p>
                  <w:pPr>
                    <w:widowControl/>
                    <w:snapToGrid w:val="0"/>
                    <w:rPr>
                      <w:rFonts w:ascii="Times New Roman" w:hAnsi="Times New Roman" w:eastAsia="宋体" w:cs="宋体"/>
                      <w:kern w:val="0"/>
                      <w:sz w:val="18"/>
                      <w:szCs w:val="18"/>
                      <w:lang w:bidi="ar"/>
                    </w:rPr>
                  </w:pPr>
                  <w:r>
                    <w:rPr>
                      <w:rFonts w:ascii="Times New Roman" w:hAnsi="Times New Roman" w:eastAsia="宋体" w:cs="宋体"/>
                      <w:kern w:val="0"/>
                      <w:sz w:val="18"/>
                      <w:szCs w:val="18"/>
                      <w:lang w:bidi="ar"/>
                    </w:rPr>
                    <w:t>1.执行国家法律法规对自然保护区、风景名胜区、森林公园、地质公园、世界自然和文化遗产、重要湿地、重要水源地等法定保护地的禁止性和限制性要求。</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2</w:t>
                  </w:r>
                  <w:r>
                    <w:rPr>
                      <w:rFonts w:hint="eastAsia" w:ascii="Times New Roman" w:hAnsi="Times New Roman" w:eastAsia="宋体" w:cs="宋体"/>
                      <w:kern w:val="0"/>
                      <w:sz w:val="18"/>
                      <w:szCs w:val="18"/>
                      <w:lang w:bidi="ar"/>
                    </w:rPr>
                    <w:t>.</w:t>
                  </w:r>
                  <w:r>
                    <w:rPr>
                      <w:rFonts w:ascii="Times New Roman" w:hAnsi="Times New Roman" w:eastAsia="宋体" w:cs="宋体"/>
                      <w:kern w:val="0"/>
                      <w:sz w:val="18"/>
                      <w:szCs w:val="18"/>
                      <w:lang w:bidi="ar"/>
                    </w:rPr>
                    <w:t>城市建成区内现有钢铁、有色金属、造纸、印染、原料药制造、化工等污染严重企业须有序搬迁、改造入园（区）或依法关闭。</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3.禁止在居民区、学校、医疗和养老机构等周边新建、扩建有色金属冶炼、焦化等行业企业；结合推进新型城镇化、产业结构调整和化解过剩产能等，有序搬迁或依法关闭对土壤造成严重污染的现有企业。</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4.执行《市场准入负面清单（2019年版）》。</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5.执行《产业结构调整指导目录（2019年本）》。</w:t>
                  </w:r>
                </w:p>
              </w:tc>
              <w:tc>
                <w:tcPr>
                  <w:tcW w:w="922" w:type="pct"/>
                  <w:vAlign w:val="center"/>
                </w:tcPr>
                <w:p>
                  <w:pPr>
                    <w:adjustRightInd w:val="0"/>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1、本项目不涉及。</w:t>
                  </w:r>
                </w:p>
                <w:p>
                  <w:pPr>
                    <w:pStyle w:val="34"/>
                    <w:snapToGrid w:val="0"/>
                    <w:rPr>
                      <w:rFonts w:ascii="Times New Roman"/>
                      <w:color w:val="auto"/>
                      <w:sz w:val="18"/>
                      <w:szCs w:val="18"/>
                      <w:lang w:bidi="ar"/>
                    </w:rPr>
                  </w:pPr>
                  <w:r>
                    <w:rPr>
                      <w:rFonts w:hint="eastAsia" w:ascii="Times New Roman"/>
                      <w:color w:val="auto"/>
                      <w:sz w:val="18"/>
                      <w:szCs w:val="18"/>
                      <w:lang w:bidi="ar"/>
                    </w:rPr>
                    <w:t>2、本项目不涉及。</w:t>
                  </w:r>
                </w:p>
                <w:p>
                  <w:pPr>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3、本项目不涉及。</w:t>
                  </w:r>
                </w:p>
                <w:p>
                  <w:pPr>
                    <w:pStyle w:val="34"/>
                    <w:snapToGrid w:val="0"/>
                    <w:rPr>
                      <w:rFonts w:ascii="Times New Roman"/>
                      <w:color w:val="auto"/>
                      <w:sz w:val="18"/>
                      <w:szCs w:val="18"/>
                      <w:lang w:bidi="ar"/>
                    </w:rPr>
                  </w:pPr>
                  <w:r>
                    <w:rPr>
                      <w:rFonts w:hint="eastAsia" w:ascii="Times New Roman"/>
                      <w:color w:val="auto"/>
                      <w:sz w:val="18"/>
                      <w:szCs w:val="18"/>
                      <w:lang w:bidi="ar"/>
                    </w:rPr>
                    <w:t>4、项目不在负面清单内。</w:t>
                  </w:r>
                </w:p>
                <w:p>
                  <w:pPr>
                    <w:pStyle w:val="34"/>
                    <w:snapToGrid w:val="0"/>
                    <w:rPr>
                      <w:rFonts w:ascii="Times New Roman"/>
                      <w:color w:val="auto"/>
                      <w:sz w:val="18"/>
                      <w:szCs w:val="18"/>
                      <w:lang w:bidi="ar"/>
                    </w:rPr>
                  </w:pPr>
                  <w:r>
                    <w:rPr>
                      <w:rFonts w:ascii="Times New Roman"/>
                      <w:color w:val="auto"/>
                      <w:sz w:val="18"/>
                      <w:szCs w:val="18"/>
                      <w:lang w:bidi="ar"/>
                    </w:rPr>
                    <w:t>5</w:t>
                  </w:r>
                  <w:r>
                    <w:rPr>
                      <w:rFonts w:hint="eastAsia" w:ascii="Times New Roman"/>
                      <w:color w:val="auto"/>
                      <w:sz w:val="18"/>
                      <w:szCs w:val="18"/>
                      <w:lang w:bidi="ar"/>
                    </w:rPr>
                    <w:t>、符合产业结构调整指导目录</w:t>
                  </w:r>
                </w:p>
              </w:tc>
              <w:tc>
                <w:tcPr>
                  <w:tcW w:w="319" w:type="pct"/>
                  <w:vAlign w:val="center"/>
                </w:tcPr>
                <w:p>
                  <w:pPr>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23" w:type="pct"/>
                  <w:gridSpan w:val="2"/>
                  <w:vMerge w:val="continue"/>
                  <w:vAlign w:val="center"/>
                </w:tcPr>
                <w:p>
                  <w:pPr>
                    <w:adjustRightInd w:val="0"/>
                    <w:snapToGrid w:val="0"/>
                    <w:jc w:val="center"/>
                    <w:rPr>
                      <w:rFonts w:ascii="Times New Roman" w:hAnsi="Times New Roman" w:eastAsia="宋体"/>
                      <w:sz w:val="18"/>
                      <w:szCs w:val="18"/>
                    </w:rPr>
                  </w:pPr>
                </w:p>
              </w:tc>
              <w:tc>
                <w:tcPr>
                  <w:tcW w:w="319" w:type="pct"/>
                  <w:vMerge w:val="continue"/>
                  <w:vAlign w:val="center"/>
                </w:tcPr>
                <w:p>
                  <w:pPr>
                    <w:adjustRightInd w:val="0"/>
                    <w:snapToGrid w:val="0"/>
                    <w:jc w:val="center"/>
                    <w:rPr>
                      <w:rFonts w:ascii="Times New Roman" w:hAnsi="Times New Roman" w:eastAsia="宋体" w:cs="宋体"/>
                      <w:kern w:val="0"/>
                      <w:sz w:val="18"/>
                      <w:szCs w:val="18"/>
                      <w:lang w:bidi="ar"/>
                    </w:rPr>
                  </w:pPr>
                </w:p>
              </w:tc>
              <w:tc>
                <w:tcPr>
                  <w:tcW w:w="2718" w:type="pct"/>
                  <w:vAlign w:val="center"/>
                </w:tcPr>
                <w:p>
                  <w:pPr>
                    <w:widowControl/>
                    <w:snapToGrid w:val="0"/>
                    <w:rPr>
                      <w:rFonts w:ascii="Times New Roman" w:hAnsi="Times New Roman" w:eastAsia="宋体" w:cs="宋体"/>
                      <w:kern w:val="0"/>
                      <w:sz w:val="18"/>
                      <w:szCs w:val="18"/>
                      <w:lang w:bidi="ar"/>
                    </w:rPr>
                  </w:pPr>
                  <w:r>
                    <w:rPr>
                      <w:rFonts w:ascii="Times New Roman" w:hAnsi="Times New Roman" w:eastAsia="宋体" w:cs="宋体"/>
                      <w:kern w:val="0"/>
                      <w:sz w:val="18"/>
                      <w:szCs w:val="18"/>
                      <w:lang w:bidi="ar"/>
                    </w:rPr>
                    <w:t>1.禁止新建燃煤集中供热站；有序淘汰排放不达标小火电机组；不再新建35蒸吨以下的燃煤锅炉；65蒸吨及以上燃煤锅炉全部完成节能改造；10万千瓦及以上燃煤火电机组全部实现超低排放。</w:t>
                  </w:r>
                </w:p>
                <w:p>
                  <w:pPr>
                    <w:widowControl/>
                    <w:snapToGrid w:val="0"/>
                    <w:rPr>
                      <w:rFonts w:ascii="Times New Roman" w:hAnsi="Times New Roman" w:eastAsia="宋体" w:cs="宋体"/>
                      <w:kern w:val="0"/>
                      <w:sz w:val="18"/>
                      <w:szCs w:val="18"/>
                      <w:lang w:bidi="ar"/>
                    </w:rPr>
                  </w:pPr>
                  <w:r>
                    <w:rPr>
                      <w:rFonts w:ascii="Times New Roman" w:hAnsi="Times New Roman" w:eastAsia="宋体" w:cs="宋体"/>
                      <w:kern w:val="0"/>
                      <w:sz w:val="18"/>
                      <w:szCs w:val="18"/>
                      <w:lang w:bidi="ar"/>
                    </w:rPr>
                    <w:t>2.工业集聚区内工业废水必须经预处理达到集中处理要求，方可进入污水集中处理设施。</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3.黄河流域城镇污水处理设施执行《黄河流域（陕西段）污水综合排放标准》；汉江、丹江流域城镇污水处理设施执行《汉丹江流域（陕西段）重点行业水污染物排放限值》。</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4.新建、改建、扩建规模化畜禽养殖场（小区）要实施雨污分流、粪便污水资源化利用。</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5.产生废石（废渣）的矿山开发、选矿及废渣综合利用企业必须建设规范的堆场，对矿坑废水、选矿废水、堆场淋溶水、冲洗废水、生活污水等进行全收集、全处理。</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6</w:t>
                  </w:r>
                  <w:r>
                    <w:rPr>
                      <w:rFonts w:hint="eastAsia" w:ascii="Times New Roman" w:hAnsi="Times New Roman" w:eastAsia="宋体" w:cs="宋体"/>
                      <w:kern w:val="0"/>
                      <w:sz w:val="18"/>
                      <w:szCs w:val="18"/>
                      <w:lang w:bidi="ar"/>
                    </w:rPr>
                    <w:t>.</w:t>
                  </w:r>
                  <w:r>
                    <w:rPr>
                      <w:rFonts w:ascii="Times New Roman" w:hAnsi="Times New Roman" w:eastAsia="宋体" w:cs="宋体"/>
                      <w:kern w:val="0"/>
                      <w:sz w:val="18"/>
                      <w:szCs w:val="18"/>
                      <w:lang w:bidi="ar"/>
                    </w:rPr>
                    <w:t>严禁采用渗井、废坑、废矿井或净水稀释等手段排放有毒、有害废水。存放含有毒、有害物质的废水、废液的淋浸池、贮存池、沉淀池必须采取防腐、防渗漏、防流失等措施。</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7.西安市鄠邑区，宝鸡市凤翔县、凤县，咸阳市礼泉县，渭南市潼关县，汉中市略阳县、宁强县、勉县，安康市汉滨区、旬阳市，商洛市商州区、镇安县、洛南县等13个矿产资源开发利用活动集中的县（区）执行《重有色金属冶炼业铅、锌工业污染物排放标准》（GB25466）中的水污染物总锌、总铜、总铅、总镉、总镍、总砷、总汞、总铬特别排放限值；《电镀污染物排放标准》（GB21900）中的水污染物总铬、六价铬、总镍、总镉、总银、总铅、总汞、总锌、总铜、总铁、总铝、石油类特别排放限值；《电池工业污染物排放标准》（GB30484）中的水污染物总锌、总锰、总汞、总银、总铅、总镉、总镍、总钴特别排放限值</w:t>
                  </w:r>
                  <w:r>
                    <w:rPr>
                      <w:rFonts w:hint="eastAsia" w:ascii="Times New Roman" w:hAnsi="Times New Roman" w:eastAsia="宋体" w:cs="宋体"/>
                      <w:kern w:val="0"/>
                      <w:sz w:val="18"/>
                      <w:szCs w:val="18"/>
                      <w:lang w:bidi="ar"/>
                    </w:rPr>
                    <w:t>。</w:t>
                  </w:r>
                </w:p>
              </w:tc>
              <w:tc>
                <w:tcPr>
                  <w:tcW w:w="922" w:type="pct"/>
                  <w:vAlign w:val="center"/>
                </w:tcPr>
                <w:p>
                  <w:pPr>
                    <w:adjustRightInd w:val="0"/>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1、本项目不涉及。</w:t>
                  </w:r>
                </w:p>
                <w:p>
                  <w:pPr>
                    <w:adjustRightInd w:val="0"/>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2、本项目无生产废水产生，生活污水经厂内化粪池处理后通过园区污水管网排入蓝田工业园（洩湖镇）污水处理站。</w:t>
                  </w:r>
                </w:p>
                <w:p>
                  <w:pPr>
                    <w:pStyle w:val="34"/>
                    <w:snapToGrid w:val="0"/>
                    <w:rPr>
                      <w:rFonts w:ascii="Times New Roman"/>
                      <w:color w:val="auto"/>
                      <w:sz w:val="18"/>
                      <w:szCs w:val="18"/>
                      <w:lang w:bidi="ar"/>
                    </w:rPr>
                  </w:pPr>
                  <w:r>
                    <w:rPr>
                      <w:rFonts w:ascii="Times New Roman"/>
                      <w:color w:val="auto"/>
                      <w:sz w:val="18"/>
                      <w:szCs w:val="18"/>
                      <w:lang w:bidi="ar"/>
                    </w:rPr>
                    <w:t>3</w:t>
                  </w:r>
                  <w:r>
                    <w:rPr>
                      <w:rFonts w:hint="eastAsia" w:ascii="Times New Roman"/>
                      <w:color w:val="auto"/>
                      <w:sz w:val="18"/>
                      <w:szCs w:val="18"/>
                      <w:lang w:bidi="ar"/>
                    </w:rPr>
                    <w:t>、本项目不涉及。</w:t>
                  </w:r>
                </w:p>
                <w:p>
                  <w:pPr>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4、本项目不涉及。</w:t>
                  </w:r>
                </w:p>
                <w:p>
                  <w:pPr>
                    <w:pStyle w:val="34"/>
                    <w:snapToGrid w:val="0"/>
                    <w:rPr>
                      <w:rFonts w:ascii="Times New Roman"/>
                      <w:color w:val="auto"/>
                      <w:sz w:val="18"/>
                      <w:szCs w:val="18"/>
                      <w:lang w:bidi="ar"/>
                    </w:rPr>
                  </w:pPr>
                  <w:r>
                    <w:rPr>
                      <w:rFonts w:hint="eastAsia" w:ascii="Times New Roman"/>
                      <w:color w:val="auto"/>
                      <w:sz w:val="18"/>
                      <w:szCs w:val="18"/>
                      <w:lang w:bidi="ar"/>
                    </w:rPr>
                    <w:t>5、本项目不涉及。</w:t>
                  </w:r>
                </w:p>
                <w:p>
                  <w:pPr>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6、本项目不涉及。</w:t>
                  </w:r>
                </w:p>
                <w:p>
                  <w:pPr>
                    <w:pStyle w:val="34"/>
                    <w:snapToGrid w:val="0"/>
                    <w:rPr>
                      <w:rFonts w:ascii="Times New Roman"/>
                      <w:color w:val="auto"/>
                      <w:sz w:val="18"/>
                      <w:szCs w:val="18"/>
                      <w:lang w:bidi="ar"/>
                    </w:rPr>
                  </w:pPr>
                  <w:r>
                    <w:rPr>
                      <w:rFonts w:ascii="Times New Roman"/>
                      <w:color w:val="auto"/>
                      <w:sz w:val="18"/>
                      <w:szCs w:val="18"/>
                      <w:lang w:bidi="ar"/>
                    </w:rPr>
                    <w:t>7</w:t>
                  </w:r>
                  <w:r>
                    <w:rPr>
                      <w:rFonts w:hint="eastAsia" w:ascii="Times New Roman"/>
                      <w:color w:val="auto"/>
                      <w:sz w:val="18"/>
                      <w:szCs w:val="18"/>
                      <w:lang w:bidi="ar"/>
                    </w:rPr>
                    <w:t>、本项目不涉及。</w:t>
                  </w:r>
                </w:p>
                <w:p>
                  <w:pPr>
                    <w:adjustRightInd w:val="0"/>
                    <w:snapToGrid w:val="0"/>
                    <w:jc w:val="center"/>
                    <w:rPr>
                      <w:rFonts w:ascii="Times New Roman" w:hAnsi="Times New Roman" w:eastAsia="宋体" w:cs="宋体"/>
                      <w:kern w:val="0"/>
                      <w:sz w:val="18"/>
                      <w:szCs w:val="18"/>
                      <w:lang w:bidi="ar"/>
                    </w:rPr>
                  </w:pPr>
                </w:p>
              </w:tc>
              <w:tc>
                <w:tcPr>
                  <w:tcW w:w="319" w:type="pct"/>
                  <w:vAlign w:val="center"/>
                </w:tcPr>
                <w:p>
                  <w:pPr>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23" w:type="pct"/>
                  <w:gridSpan w:val="2"/>
                  <w:vMerge w:val="continue"/>
                  <w:vAlign w:val="center"/>
                </w:tcPr>
                <w:p>
                  <w:pPr>
                    <w:adjustRightInd w:val="0"/>
                    <w:snapToGrid w:val="0"/>
                    <w:jc w:val="center"/>
                    <w:rPr>
                      <w:rFonts w:ascii="Times New Roman" w:hAnsi="Times New Roman" w:eastAsia="宋体"/>
                      <w:sz w:val="18"/>
                      <w:szCs w:val="18"/>
                    </w:rPr>
                  </w:pPr>
                </w:p>
              </w:tc>
              <w:tc>
                <w:tcPr>
                  <w:tcW w:w="319" w:type="pct"/>
                  <w:vMerge w:val="continue"/>
                  <w:vAlign w:val="center"/>
                </w:tcPr>
                <w:p>
                  <w:pPr>
                    <w:adjustRightInd w:val="0"/>
                    <w:snapToGrid w:val="0"/>
                    <w:jc w:val="center"/>
                    <w:rPr>
                      <w:rFonts w:ascii="Times New Roman" w:hAnsi="Times New Roman" w:eastAsia="宋体" w:cs="宋体"/>
                      <w:kern w:val="0"/>
                      <w:sz w:val="18"/>
                      <w:szCs w:val="18"/>
                      <w:lang w:bidi="ar"/>
                    </w:rPr>
                  </w:pPr>
                </w:p>
              </w:tc>
              <w:tc>
                <w:tcPr>
                  <w:tcW w:w="2718" w:type="pct"/>
                  <w:vAlign w:val="center"/>
                </w:tcPr>
                <w:p>
                  <w:pPr>
                    <w:widowControl/>
                    <w:snapToGrid w:val="0"/>
                    <w:rPr>
                      <w:rFonts w:ascii="Times New Roman" w:hAnsi="Times New Roman" w:eastAsia="宋体"/>
                      <w:sz w:val="18"/>
                      <w:szCs w:val="18"/>
                      <w:lang w:bidi="ar"/>
                    </w:rPr>
                  </w:pPr>
                  <w:r>
                    <w:rPr>
                      <w:rFonts w:ascii="Times New Roman" w:hAnsi="Times New Roman" w:eastAsia="宋体" w:cs="宋体"/>
                      <w:kern w:val="0"/>
                      <w:sz w:val="18"/>
                      <w:szCs w:val="18"/>
                      <w:lang w:bidi="ar"/>
                    </w:rPr>
                    <w:t>1.重点加强饮用水源地、化工企业、工业园区、陕北原油管道、陕南尾矿库等领域的环境风险防控。</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2.渭河、延河、无定河、汉江、丹江、嘉陵江等六条主要河流干流沿岸，要严格控制石油加工、化学原料和化学制品制造、医药制造、化学纤维制造、有色金属冶炼、纺织印染等项目，合理布局生产装置及危险化学品仓储等设施。</w:t>
                  </w:r>
                </w:p>
              </w:tc>
              <w:tc>
                <w:tcPr>
                  <w:tcW w:w="922" w:type="pct"/>
                  <w:vAlign w:val="center"/>
                </w:tcPr>
                <w:p>
                  <w:pPr>
                    <w:adjustRightInd w:val="0"/>
                    <w:snapToGrid w:val="0"/>
                    <w:rPr>
                      <w:rFonts w:ascii="Times New Roman" w:hAnsi="Times New Roman" w:eastAsia="宋体"/>
                      <w:sz w:val="18"/>
                      <w:szCs w:val="18"/>
                    </w:rPr>
                  </w:pPr>
                  <w:r>
                    <w:rPr>
                      <w:rFonts w:hint="eastAsia" w:ascii="Times New Roman" w:hAnsi="Times New Roman" w:eastAsia="宋体"/>
                      <w:sz w:val="18"/>
                      <w:szCs w:val="18"/>
                    </w:rPr>
                    <w:t>本项目不涉及。</w:t>
                  </w:r>
                </w:p>
              </w:tc>
              <w:tc>
                <w:tcPr>
                  <w:tcW w:w="319" w:type="pct"/>
                  <w:vAlign w:val="center"/>
                </w:tcPr>
                <w:p>
                  <w:pPr>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23" w:type="pct"/>
                  <w:gridSpan w:val="2"/>
                  <w:vMerge w:val="continue"/>
                  <w:vAlign w:val="center"/>
                </w:tcPr>
                <w:p>
                  <w:pPr>
                    <w:adjustRightInd w:val="0"/>
                    <w:snapToGrid w:val="0"/>
                    <w:jc w:val="center"/>
                    <w:rPr>
                      <w:rFonts w:ascii="Times New Roman" w:hAnsi="Times New Roman" w:eastAsia="宋体"/>
                      <w:sz w:val="18"/>
                      <w:szCs w:val="18"/>
                    </w:rPr>
                  </w:pPr>
                </w:p>
              </w:tc>
              <w:tc>
                <w:tcPr>
                  <w:tcW w:w="319" w:type="pct"/>
                  <w:vMerge w:val="continue"/>
                  <w:vAlign w:val="center"/>
                </w:tcPr>
                <w:p>
                  <w:pPr>
                    <w:adjustRightInd w:val="0"/>
                    <w:snapToGrid w:val="0"/>
                    <w:jc w:val="center"/>
                    <w:rPr>
                      <w:rFonts w:ascii="Times New Roman" w:hAnsi="Times New Roman" w:eastAsia="宋体" w:cs="宋体"/>
                      <w:kern w:val="0"/>
                      <w:sz w:val="18"/>
                      <w:szCs w:val="18"/>
                      <w:lang w:bidi="ar"/>
                    </w:rPr>
                  </w:pPr>
                </w:p>
              </w:tc>
              <w:tc>
                <w:tcPr>
                  <w:tcW w:w="2718" w:type="pct"/>
                  <w:vAlign w:val="center"/>
                </w:tcPr>
                <w:p>
                  <w:pPr>
                    <w:widowControl/>
                    <w:snapToGrid w:val="0"/>
                    <w:rPr>
                      <w:rFonts w:ascii="Times New Roman" w:hAnsi="Times New Roman" w:eastAsia="宋体"/>
                      <w:sz w:val="18"/>
                      <w:szCs w:val="18"/>
                      <w:lang w:bidi="ar"/>
                    </w:rPr>
                  </w:pPr>
                  <w:r>
                    <w:rPr>
                      <w:rFonts w:ascii="Times New Roman" w:hAnsi="Times New Roman" w:eastAsia="宋体" w:cs="宋体"/>
                      <w:kern w:val="0"/>
                      <w:sz w:val="18"/>
                      <w:szCs w:val="18"/>
                      <w:lang w:bidi="ar"/>
                    </w:rPr>
                    <w:t>1.2020年大型发电集团单位供电二氧化碳排放水平控制在550克/千瓦时以内。</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2.2020年全省万元国内生产总值用水量、万元工业增加值用水量比2013年的55.59立方米、32.43立方米分别下降15%、13%以上。</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3.2020年电力、钢铁、纺织、造纸、石油石化、化工、食品发酵等高耗水行业达到先进定额标准。</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4.2020年陕北、关中地区城市再生水利用率达20%以上。</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5.严格限制高耗水行业发展，提高水资源利用水平；严禁挤占生态用水。</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6.对已接近或达到用水总量指标的地区，限制和停止审批新增取水。</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7.煤炭矿区的补充用水、周边地区生产和生态用水应优先使用矿井水，洗煤废水闭路循环不外排。</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8.具备使用再生水条件但未充分利用的钢铁、火电、化工、制浆造纸、印染等项目，不得批准其新增取水许可。</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9.在地面沉降、地裂缝、岩溶塌陷等地质灾害易发区开发利用地下水，应进行地质灾害危险性评估。</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10.断流河流所在流域范围、地下水降落漏斗范围内不得新增工业企业用水规模。</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11.地下水超采区内禁止工农业生产及服务业新增取用地下水。</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12.延河、无定河总体生态水量不低于天然径流量的30%。</w:t>
                  </w:r>
                </w:p>
              </w:tc>
              <w:tc>
                <w:tcPr>
                  <w:tcW w:w="922" w:type="pct"/>
                  <w:vAlign w:val="center"/>
                </w:tcPr>
                <w:p>
                  <w:pPr>
                    <w:adjustRightInd w:val="0"/>
                    <w:snapToGrid w:val="0"/>
                    <w:rPr>
                      <w:rFonts w:ascii="Times New Roman" w:hAnsi="Times New Roman" w:eastAsia="宋体"/>
                      <w:sz w:val="18"/>
                      <w:szCs w:val="18"/>
                    </w:rPr>
                  </w:pPr>
                  <w:r>
                    <w:rPr>
                      <w:rFonts w:hint="eastAsia" w:ascii="Times New Roman" w:hAnsi="Times New Roman" w:eastAsia="宋体" w:cs="宋体"/>
                      <w:kern w:val="0"/>
                      <w:sz w:val="18"/>
                      <w:szCs w:val="18"/>
                      <w:lang w:bidi="ar"/>
                    </w:rPr>
                    <w:t>本项目不涉及</w:t>
                  </w:r>
                  <w:r>
                    <w:rPr>
                      <w:rFonts w:hint="eastAsia" w:ascii="Times New Roman" w:hAnsi="Times New Roman" w:eastAsia="宋体"/>
                      <w:sz w:val="18"/>
                      <w:szCs w:val="18"/>
                    </w:rPr>
                    <w:t>。</w:t>
                  </w:r>
                </w:p>
              </w:tc>
              <w:tc>
                <w:tcPr>
                  <w:tcW w:w="319" w:type="pct"/>
                  <w:vAlign w:val="center"/>
                </w:tcPr>
                <w:p>
                  <w:pPr>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23" w:type="pct"/>
                  <w:gridSpan w:val="2"/>
                  <w:vMerge w:val="restart"/>
                  <w:vAlign w:val="center"/>
                </w:tcPr>
                <w:p>
                  <w:pPr>
                    <w:widowControl/>
                    <w:snapToGrid w:val="0"/>
                    <w:jc w:val="center"/>
                    <w:rPr>
                      <w:rFonts w:ascii="Times New Roman" w:hAnsi="Times New Roman" w:eastAsia="宋体" w:cs="宋体"/>
                      <w:kern w:val="0"/>
                      <w:sz w:val="18"/>
                      <w:szCs w:val="18"/>
                      <w:lang w:bidi="ar"/>
                    </w:rPr>
                  </w:pPr>
                  <w:r>
                    <w:rPr>
                      <w:rFonts w:ascii="Times New Roman" w:hAnsi="Times New Roman" w:eastAsia="宋体" w:cs="宋体"/>
                      <w:kern w:val="0"/>
                      <w:sz w:val="18"/>
                      <w:szCs w:val="18"/>
                      <w:lang w:bidi="ar"/>
                    </w:rPr>
                    <w:t>关中地区</w:t>
                  </w:r>
                </w:p>
                <w:p>
                  <w:pPr>
                    <w:widowControl/>
                    <w:adjustRightInd w:val="0"/>
                    <w:snapToGrid w:val="0"/>
                    <w:jc w:val="center"/>
                    <w:rPr>
                      <w:rFonts w:ascii="Times New Roman" w:hAnsi="Times New Roman" w:eastAsia="宋体" w:cs="宋体"/>
                      <w:kern w:val="0"/>
                      <w:sz w:val="18"/>
                      <w:szCs w:val="18"/>
                      <w:lang w:bidi="ar"/>
                    </w:rPr>
                  </w:pPr>
                </w:p>
              </w:tc>
              <w:tc>
                <w:tcPr>
                  <w:tcW w:w="319" w:type="pct"/>
                  <w:vMerge w:val="restart"/>
                  <w:vAlign w:val="center"/>
                </w:tcPr>
                <w:p>
                  <w:pPr>
                    <w:widowControl/>
                    <w:snapToGrid w:val="0"/>
                    <w:jc w:val="center"/>
                    <w:rPr>
                      <w:rFonts w:ascii="Times New Roman" w:hAnsi="Times New Roman" w:eastAsia="宋体" w:cs="宋体"/>
                      <w:kern w:val="0"/>
                      <w:sz w:val="18"/>
                      <w:szCs w:val="18"/>
                      <w:lang w:bidi="ar"/>
                    </w:rPr>
                  </w:pPr>
                  <w:r>
                    <w:rPr>
                      <w:rFonts w:ascii="Times New Roman" w:hAnsi="Times New Roman" w:eastAsia="宋体" w:cs="宋体"/>
                      <w:kern w:val="0"/>
                      <w:sz w:val="18"/>
                      <w:szCs w:val="18"/>
                      <w:lang w:bidi="ar"/>
                    </w:rPr>
                    <w:t>空间布局约束</w:t>
                  </w:r>
                </w:p>
              </w:tc>
              <w:tc>
                <w:tcPr>
                  <w:tcW w:w="2718" w:type="pct"/>
                  <w:vAlign w:val="center"/>
                </w:tcPr>
                <w:p>
                  <w:pPr>
                    <w:widowControl/>
                    <w:snapToGrid w:val="0"/>
                    <w:rPr>
                      <w:rFonts w:ascii="Times New Roman" w:hAnsi="Times New Roman" w:eastAsia="宋体" w:cs="宋体"/>
                      <w:kern w:val="0"/>
                      <w:sz w:val="18"/>
                      <w:szCs w:val="18"/>
                      <w:lang w:bidi="ar"/>
                    </w:rPr>
                  </w:pPr>
                  <w:r>
                    <w:rPr>
                      <w:rFonts w:ascii="Times New Roman" w:hAnsi="Times New Roman" w:eastAsia="宋体" w:cs="宋体"/>
                      <w:kern w:val="0"/>
                      <w:sz w:val="18"/>
                      <w:szCs w:val="18"/>
                      <w:lang w:bidi="ar"/>
                    </w:rPr>
                    <w:t>1.本行政区域内的自然保护区、风景名胜区、森林公园、地质公园、世界自然和文化遗产、饮用水水源保护区等区域的禁止性和限制性准入要求依照国家相关法律法规执行。</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2.西安、宝鸡、咸阳、铜川、渭南、韩城、杨凌示范区和西咸新区城市规划区以及以西安市钟楼为基准点、半径100公里范围内禁止新建、扩建燃煤发电</w:t>
                  </w:r>
                  <w:r>
                    <w:rPr>
                      <w:rFonts w:hint="eastAsia" w:ascii="Times New Roman" w:hAnsi="Times New Roman" w:eastAsia="宋体" w:cs="宋体"/>
                      <w:kern w:val="0"/>
                      <w:sz w:val="18"/>
                      <w:szCs w:val="18"/>
                      <w:lang w:bidi="ar"/>
                    </w:rPr>
                    <w:t>、</w:t>
                  </w:r>
                  <w:r>
                    <w:rPr>
                      <w:rFonts w:ascii="Times New Roman" w:hAnsi="Times New Roman" w:eastAsia="宋体" w:cs="宋体"/>
                      <w:kern w:val="0"/>
                      <w:sz w:val="18"/>
                      <w:szCs w:val="18"/>
                      <w:lang w:bidi="ar"/>
                    </w:rPr>
                    <w:t>燃煤热电联产和燃煤集中供热项目，禁止新建、改建和扩建石油化工、煤化工项目。</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3.渭河两岸划定保护区域，区域内禁止建设任何与水环境管理无关的项目，并在适宜地区建设生态湿地，构建渭河生态屏障。</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4.禁止新建、扩建粘土实心砖厂。</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5.西安市城区地热开采区、山阳县钒矿开采区、商南县钒矿开采区、华阴市华阳川铀铌铅矿区，以上4个区域应分别限制地热、钒和铀铌铅矿的开采。</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6.控制开发渭北煤炭、水泥用灰岩和关中城市核心区地热等矿产资源</w:t>
                  </w:r>
                  <w:r>
                    <w:rPr>
                      <w:rFonts w:hint="eastAsia" w:ascii="Times New Roman" w:hAnsi="Times New Roman" w:eastAsia="宋体" w:cs="宋体"/>
                      <w:kern w:val="0"/>
                      <w:sz w:val="18"/>
                      <w:szCs w:val="18"/>
                      <w:lang w:bidi="ar"/>
                    </w:rPr>
                    <w:t>。</w:t>
                  </w:r>
                </w:p>
              </w:tc>
              <w:tc>
                <w:tcPr>
                  <w:tcW w:w="922" w:type="pct"/>
                  <w:vAlign w:val="center"/>
                </w:tcPr>
                <w:p>
                  <w:pPr>
                    <w:adjustRightInd w:val="0"/>
                    <w:snapToGrid w:val="0"/>
                    <w:rPr>
                      <w:rFonts w:ascii="Times New Roman" w:hAnsi="Times New Roman" w:eastAsia="宋体" w:cs="宋体"/>
                      <w:kern w:val="0"/>
                      <w:sz w:val="18"/>
                      <w:szCs w:val="18"/>
                      <w:lang w:bidi="ar"/>
                    </w:rPr>
                  </w:pPr>
                  <w:r>
                    <w:rPr>
                      <w:rFonts w:hint="eastAsia" w:ascii="Times New Roman" w:hAnsi="Times New Roman" w:eastAsia="宋体" w:cs="Times New Roman"/>
                      <w:sz w:val="18"/>
                      <w:szCs w:val="18"/>
                    </w:rPr>
                    <w:t>本</w:t>
                  </w:r>
                  <w:r>
                    <w:rPr>
                      <w:rFonts w:hint="eastAsia" w:ascii="Times New Roman" w:hAnsi="Times New Roman" w:eastAsia="宋体" w:cs="宋体"/>
                      <w:kern w:val="0"/>
                      <w:sz w:val="18"/>
                      <w:szCs w:val="18"/>
                      <w:lang w:bidi="ar"/>
                    </w:rPr>
                    <w:t>项目不涉及。</w:t>
                  </w:r>
                </w:p>
              </w:tc>
              <w:tc>
                <w:tcPr>
                  <w:tcW w:w="319" w:type="pct"/>
                  <w:vAlign w:val="center"/>
                </w:tcPr>
                <w:p>
                  <w:pPr>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23" w:type="pct"/>
                  <w:gridSpan w:val="2"/>
                  <w:vMerge w:val="continue"/>
                  <w:vAlign w:val="center"/>
                </w:tcPr>
                <w:p>
                  <w:pPr>
                    <w:widowControl/>
                    <w:adjustRightInd w:val="0"/>
                    <w:snapToGrid w:val="0"/>
                    <w:jc w:val="center"/>
                    <w:rPr>
                      <w:rFonts w:ascii="Times New Roman" w:hAnsi="Times New Roman" w:eastAsia="宋体" w:cs="宋体"/>
                      <w:kern w:val="0"/>
                      <w:sz w:val="18"/>
                      <w:szCs w:val="18"/>
                      <w:lang w:bidi="ar"/>
                    </w:rPr>
                  </w:pPr>
                </w:p>
              </w:tc>
              <w:tc>
                <w:tcPr>
                  <w:tcW w:w="319" w:type="pct"/>
                  <w:vMerge w:val="continue"/>
                  <w:vAlign w:val="center"/>
                </w:tcPr>
                <w:p>
                  <w:pPr>
                    <w:adjustRightInd w:val="0"/>
                    <w:snapToGrid w:val="0"/>
                    <w:jc w:val="center"/>
                    <w:rPr>
                      <w:rFonts w:ascii="Times New Roman" w:hAnsi="Times New Roman" w:eastAsia="宋体" w:cs="宋体"/>
                      <w:kern w:val="0"/>
                      <w:sz w:val="18"/>
                      <w:szCs w:val="18"/>
                      <w:lang w:bidi="ar"/>
                    </w:rPr>
                  </w:pPr>
                </w:p>
              </w:tc>
              <w:tc>
                <w:tcPr>
                  <w:tcW w:w="2718" w:type="pct"/>
                  <w:vAlign w:val="center"/>
                </w:tcPr>
                <w:p>
                  <w:pPr>
                    <w:widowControl/>
                    <w:snapToGrid w:val="0"/>
                    <w:rPr>
                      <w:rFonts w:ascii="Times New Roman" w:hAnsi="Times New Roman" w:eastAsia="宋体" w:cs="宋体"/>
                      <w:kern w:val="0"/>
                      <w:sz w:val="18"/>
                      <w:szCs w:val="18"/>
                      <w:lang w:bidi="ar"/>
                    </w:rPr>
                  </w:pPr>
                  <w:r>
                    <w:rPr>
                      <w:rFonts w:ascii="Times New Roman" w:hAnsi="Times New Roman" w:eastAsia="宋体" w:cs="宋体"/>
                      <w:kern w:val="0"/>
                      <w:sz w:val="18"/>
                      <w:szCs w:val="18"/>
                      <w:lang w:bidi="ar"/>
                    </w:rPr>
                    <w:t>1.西安、咸阳、渭南市建成区内20蒸吨以下燃煤锅炉应拆尽拆，宝鸡、铜川、韩城市及杨凌示范区建成区内10蒸吨以下燃煤锅炉全部拆除。</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2.按照环境承载力和环境容量，严格控制火电、水泥、钢铁、焦化、煤化工、冶炼、制浆造纸、印染、果汁、淀粉加工等项目，切实降低污染负荷。</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3.二氧化硫、氮氧化物、颗粒物、挥发性有机物（VOCs）全面执行大气污染物特别排放限值。</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4.严格控制高耗煤行业新增项目；严禁新增焦化、水泥、铸造、钢铁、电解铝和平板玻璃等产能。</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5.城市建成区内焦炉实施炉体加罩封闭，并对废气进行收集处理。</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6.“渭南片区”包括韩城、合阳、大荔、潼关四个县（市），在该片区禁止新建扩建不符合产业政策、不能执行清洁生产的项目；禁止新建20蒸吨以下燃煤锅炉；禁止销售和使用不符合标准的煤炭；禁止新建扩建造纸、化工、印染、果汁和淀粉加工等高耗水、高污染项目。</w:t>
                  </w:r>
                </w:p>
              </w:tc>
              <w:tc>
                <w:tcPr>
                  <w:tcW w:w="922" w:type="pct"/>
                  <w:vAlign w:val="center"/>
                </w:tcPr>
                <w:p>
                  <w:pPr>
                    <w:adjustRightInd w:val="0"/>
                    <w:snapToGrid w:val="0"/>
                    <w:rPr>
                      <w:rFonts w:ascii="Times New Roman" w:hAnsi="Times New Roman" w:eastAsia="宋体" w:cs="宋体"/>
                      <w:kern w:val="0"/>
                      <w:sz w:val="18"/>
                      <w:szCs w:val="18"/>
                      <w:lang w:bidi="ar"/>
                    </w:rPr>
                  </w:pPr>
                  <w:r>
                    <w:rPr>
                      <w:rFonts w:hint="eastAsia" w:ascii="Times New Roman" w:hAnsi="Times New Roman" w:eastAsia="宋体" w:cs="Times New Roman"/>
                      <w:sz w:val="18"/>
                      <w:szCs w:val="18"/>
                    </w:rPr>
                    <w:t>1、本</w:t>
                  </w:r>
                  <w:r>
                    <w:rPr>
                      <w:rFonts w:hint="eastAsia" w:ascii="Times New Roman" w:hAnsi="Times New Roman" w:eastAsia="宋体" w:cs="宋体"/>
                      <w:kern w:val="0"/>
                      <w:sz w:val="18"/>
                      <w:szCs w:val="18"/>
                      <w:lang w:bidi="ar"/>
                    </w:rPr>
                    <w:t>项目不涉及。</w:t>
                  </w:r>
                </w:p>
                <w:p>
                  <w:pPr>
                    <w:pStyle w:val="34"/>
                    <w:snapToGrid w:val="0"/>
                    <w:rPr>
                      <w:rFonts w:ascii="Times New Roman"/>
                      <w:color w:val="auto"/>
                      <w:sz w:val="18"/>
                      <w:szCs w:val="18"/>
                      <w:lang w:bidi="ar"/>
                    </w:rPr>
                  </w:pPr>
                  <w:r>
                    <w:rPr>
                      <w:rFonts w:hint="eastAsia" w:ascii="Times New Roman"/>
                      <w:color w:val="auto"/>
                      <w:sz w:val="18"/>
                      <w:szCs w:val="18"/>
                      <w:lang w:bidi="ar"/>
                    </w:rPr>
                    <w:t>2、本项目不涉及。</w:t>
                  </w:r>
                </w:p>
                <w:p>
                  <w:pPr>
                    <w:pStyle w:val="34"/>
                    <w:snapToGrid w:val="0"/>
                    <w:rPr>
                      <w:rFonts w:ascii="Times New Roman"/>
                      <w:color w:val="auto"/>
                      <w:sz w:val="18"/>
                      <w:szCs w:val="18"/>
                      <w:lang w:bidi="ar"/>
                    </w:rPr>
                  </w:pPr>
                  <w:r>
                    <w:rPr>
                      <w:rFonts w:ascii="Times New Roman"/>
                      <w:color w:val="auto"/>
                      <w:sz w:val="18"/>
                      <w:szCs w:val="18"/>
                      <w:lang w:bidi="ar"/>
                    </w:rPr>
                    <w:t>3</w:t>
                  </w:r>
                  <w:r>
                    <w:rPr>
                      <w:rFonts w:hint="eastAsia" w:ascii="Times New Roman"/>
                      <w:color w:val="auto"/>
                      <w:sz w:val="18"/>
                      <w:szCs w:val="18"/>
                      <w:lang w:bidi="ar"/>
                    </w:rPr>
                    <w:t>、本项目</w:t>
                  </w:r>
                  <w:r>
                    <w:rPr>
                      <w:rFonts w:ascii="Times New Roman"/>
                      <w:color w:val="auto"/>
                      <w:sz w:val="18"/>
                      <w:szCs w:val="18"/>
                      <w:lang w:bidi="ar"/>
                    </w:rPr>
                    <w:t>颗粒物、挥发性有机物（VOCs）全面执行大气污染物特别排放限值</w:t>
                  </w:r>
                  <w:r>
                    <w:rPr>
                      <w:rFonts w:hint="eastAsia" w:ascii="Times New Roman"/>
                      <w:color w:val="auto"/>
                      <w:sz w:val="18"/>
                      <w:szCs w:val="18"/>
                      <w:lang w:bidi="ar"/>
                    </w:rPr>
                    <w:t>。</w:t>
                  </w:r>
                </w:p>
                <w:p>
                  <w:pPr>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4、本项目</w:t>
                  </w:r>
                  <w:r>
                    <w:rPr>
                      <w:rFonts w:hint="eastAsia" w:ascii="Times New Roman" w:hAnsi="Times New Roman" w:eastAsia="宋体"/>
                      <w:sz w:val="18"/>
                      <w:szCs w:val="18"/>
                    </w:rPr>
                    <w:t>不属于“两高”行业</w:t>
                  </w:r>
                  <w:r>
                    <w:rPr>
                      <w:rFonts w:hint="eastAsia" w:ascii="Times New Roman" w:hAnsi="Times New Roman" w:eastAsia="宋体" w:cs="宋体"/>
                      <w:kern w:val="0"/>
                      <w:sz w:val="18"/>
                      <w:szCs w:val="18"/>
                      <w:lang w:bidi="ar"/>
                    </w:rPr>
                    <w:t>。</w:t>
                  </w:r>
                </w:p>
                <w:p>
                  <w:pPr>
                    <w:pStyle w:val="34"/>
                    <w:snapToGrid w:val="0"/>
                    <w:rPr>
                      <w:rFonts w:ascii="Times New Roman"/>
                      <w:color w:val="auto"/>
                      <w:sz w:val="18"/>
                      <w:szCs w:val="18"/>
                      <w:lang w:bidi="ar"/>
                    </w:rPr>
                  </w:pPr>
                  <w:r>
                    <w:rPr>
                      <w:rFonts w:hint="eastAsia" w:ascii="Times New Roman"/>
                      <w:color w:val="auto"/>
                      <w:sz w:val="18"/>
                      <w:szCs w:val="18"/>
                      <w:lang w:bidi="ar"/>
                    </w:rPr>
                    <w:t>5、本项目不涉及。</w:t>
                  </w:r>
                </w:p>
                <w:p>
                  <w:pPr>
                    <w:snapToGrid w:val="0"/>
                    <w:rPr>
                      <w:rFonts w:ascii="Times New Roman" w:hAnsi="Times New Roman" w:eastAsia="宋体" w:cs="宋体"/>
                      <w:kern w:val="0"/>
                      <w:sz w:val="18"/>
                      <w:szCs w:val="18"/>
                      <w:lang w:bidi="ar"/>
                    </w:rPr>
                  </w:pPr>
                  <w:r>
                    <w:rPr>
                      <w:rFonts w:hint="eastAsia" w:ascii="Times New Roman" w:hAnsi="Times New Roman" w:eastAsia="宋体" w:cs="宋体"/>
                      <w:kern w:val="0"/>
                      <w:sz w:val="18"/>
                      <w:szCs w:val="18"/>
                      <w:lang w:bidi="ar"/>
                    </w:rPr>
                    <w:t>6、本项目不涉及。</w:t>
                  </w:r>
                </w:p>
              </w:tc>
              <w:tc>
                <w:tcPr>
                  <w:tcW w:w="319" w:type="pct"/>
                  <w:vAlign w:val="center"/>
                </w:tcPr>
                <w:p>
                  <w:pPr>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23" w:type="pct"/>
                  <w:gridSpan w:val="2"/>
                  <w:vMerge w:val="continue"/>
                  <w:vAlign w:val="center"/>
                </w:tcPr>
                <w:p>
                  <w:pPr>
                    <w:widowControl/>
                    <w:adjustRightInd w:val="0"/>
                    <w:snapToGrid w:val="0"/>
                    <w:jc w:val="center"/>
                    <w:rPr>
                      <w:rFonts w:ascii="Times New Roman" w:hAnsi="Times New Roman" w:eastAsia="宋体" w:cs="宋体"/>
                      <w:kern w:val="0"/>
                      <w:sz w:val="18"/>
                      <w:szCs w:val="18"/>
                      <w:lang w:bidi="ar"/>
                    </w:rPr>
                  </w:pPr>
                </w:p>
              </w:tc>
              <w:tc>
                <w:tcPr>
                  <w:tcW w:w="319" w:type="pct"/>
                  <w:vMerge w:val="continue"/>
                  <w:vAlign w:val="center"/>
                </w:tcPr>
                <w:p>
                  <w:pPr>
                    <w:adjustRightInd w:val="0"/>
                    <w:snapToGrid w:val="0"/>
                    <w:jc w:val="center"/>
                    <w:rPr>
                      <w:rFonts w:ascii="Times New Roman" w:hAnsi="Times New Roman" w:eastAsia="宋体" w:cs="宋体"/>
                      <w:kern w:val="0"/>
                      <w:sz w:val="18"/>
                      <w:szCs w:val="18"/>
                      <w:lang w:bidi="ar"/>
                    </w:rPr>
                  </w:pPr>
                </w:p>
              </w:tc>
              <w:tc>
                <w:tcPr>
                  <w:tcW w:w="2718" w:type="pct"/>
                  <w:vAlign w:val="center"/>
                </w:tcPr>
                <w:p>
                  <w:pPr>
                    <w:widowControl/>
                    <w:snapToGrid w:val="0"/>
                    <w:rPr>
                      <w:rFonts w:ascii="Times New Roman" w:hAnsi="Times New Roman" w:eastAsia="宋体" w:cs="宋体"/>
                      <w:kern w:val="0"/>
                      <w:sz w:val="18"/>
                      <w:szCs w:val="18"/>
                      <w:lang w:bidi="ar"/>
                    </w:rPr>
                  </w:pPr>
                  <w:r>
                    <w:rPr>
                      <w:rFonts w:ascii="Times New Roman" w:hAnsi="Times New Roman" w:eastAsia="宋体" w:cs="宋体"/>
                      <w:kern w:val="0"/>
                      <w:sz w:val="18"/>
                      <w:szCs w:val="18"/>
                      <w:lang w:bidi="ar"/>
                    </w:rPr>
                    <w:t>1.禁止新增化工园区。</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2.渭河干流沿岸要严格控制石油加工、化学原料和化学制品制造、医药制造、化学纤维制造、有色金属冶炼、纺织印染等项目，合理布局生产装置及危险化学品仓储等设施</w:t>
                  </w:r>
                  <w:r>
                    <w:rPr>
                      <w:rFonts w:hint="eastAsia" w:ascii="Times New Roman" w:hAnsi="Times New Roman" w:eastAsia="宋体" w:cs="宋体"/>
                      <w:kern w:val="0"/>
                      <w:sz w:val="18"/>
                      <w:szCs w:val="18"/>
                      <w:lang w:bidi="ar"/>
                    </w:rPr>
                    <w:t>。</w:t>
                  </w:r>
                </w:p>
              </w:tc>
              <w:tc>
                <w:tcPr>
                  <w:tcW w:w="922" w:type="pct"/>
                  <w:vAlign w:val="center"/>
                </w:tcPr>
                <w:p>
                  <w:pPr>
                    <w:adjustRightInd w:val="0"/>
                    <w:snapToGrid w:val="0"/>
                    <w:rPr>
                      <w:rFonts w:ascii="Times New Roman" w:hAnsi="Times New Roman" w:eastAsia="宋体"/>
                      <w:sz w:val="18"/>
                      <w:szCs w:val="18"/>
                    </w:rPr>
                  </w:pPr>
                  <w:r>
                    <w:rPr>
                      <w:rFonts w:hint="eastAsia" w:ascii="Times New Roman" w:hAnsi="Times New Roman" w:eastAsia="宋体" w:cs="宋体"/>
                      <w:kern w:val="0"/>
                      <w:sz w:val="18"/>
                      <w:szCs w:val="18"/>
                      <w:lang w:bidi="ar"/>
                    </w:rPr>
                    <w:t>本项目不涉及。</w:t>
                  </w:r>
                </w:p>
              </w:tc>
              <w:tc>
                <w:tcPr>
                  <w:tcW w:w="319" w:type="pct"/>
                  <w:vAlign w:val="center"/>
                </w:tcPr>
                <w:p>
                  <w:pPr>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23" w:type="pct"/>
                  <w:gridSpan w:val="2"/>
                  <w:vMerge w:val="continue"/>
                  <w:vAlign w:val="center"/>
                </w:tcPr>
                <w:p>
                  <w:pPr>
                    <w:widowControl/>
                    <w:adjustRightInd w:val="0"/>
                    <w:snapToGrid w:val="0"/>
                    <w:jc w:val="center"/>
                    <w:rPr>
                      <w:rFonts w:ascii="Times New Roman" w:hAnsi="Times New Roman" w:eastAsia="宋体" w:cs="宋体"/>
                      <w:kern w:val="0"/>
                      <w:sz w:val="18"/>
                      <w:szCs w:val="18"/>
                      <w:lang w:bidi="ar"/>
                    </w:rPr>
                  </w:pPr>
                </w:p>
              </w:tc>
              <w:tc>
                <w:tcPr>
                  <w:tcW w:w="319" w:type="pct"/>
                  <w:vMerge w:val="continue"/>
                  <w:vAlign w:val="center"/>
                </w:tcPr>
                <w:p>
                  <w:pPr>
                    <w:adjustRightInd w:val="0"/>
                    <w:snapToGrid w:val="0"/>
                    <w:jc w:val="center"/>
                    <w:rPr>
                      <w:rFonts w:ascii="Times New Roman" w:hAnsi="Times New Roman" w:eastAsia="宋体" w:cs="宋体"/>
                      <w:kern w:val="0"/>
                      <w:sz w:val="18"/>
                      <w:szCs w:val="18"/>
                      <w:lang w:bidi="ar"/>
                    </w:rPr>
                  </w:pPr>
                </w:p>
              </w:tc>
              <w:tc>
                <w:tcPr>
                  <w:tcW w:w="2718" w:type="pct"/>
                  <w:vAlign w:val="center"/>
                </w:tcPr>
                <w:p>
                  <w:pPr>
                    <w:widowControl/>
                    <w:snapToGrid w:val="0"/>
                    <w:rPr>
                      <w:rFonts w:ascii="Times New Roman" w:hAnsi="Times New Roman" w:eastAsia="宋体"/>
                      <w:sz w:val="18"/>
                      <w:szCs w:val="18"/>
                      <w:lang w:bidi="ar"/>
                    </w:rPr>
                  </w:pPr>
                  <w:r>
                    <w:rPr>
                      <w:rFonts w:ascii="Times New Roman" w:hAnsi="Times New Roman" w:eastAsia="宋体" w:cs="宋体"/>
                      <w:kern w:val="0"/>
                      <w:sz w:val="18"/>
                      <w:szCs w:val="18"/>
                      <w:lang w:bidi="ar"/>
                    </w:rPr>
                    <w:t>1.城市再生水利用率达20%以上。</w:t>
                  </w:r>
                  <w:r>
                    <w:rPr>
                      <w:rFonts w:hint="eastAsia" w:ascii="Times New Roman" w:hAnsi="Times New Roman" w:eastAsia="宋体" w:cs="宋体"/>
                      <w:kern w:val="0"/>
                      <w:sz w:val="18"/>
                      <w:szCs w:val="18"/>
                      <w:lang w:bidi="ar"/>
                    </w:rPr>
                    <w:br w:type="textWrapping"/>
                  </w:r>
                  <w:r>
                    <w:rPr>
                      <w:rFonts w:ascii="Times New Roman" w:hAnsi="Times New Roman" w:eastAsia="宋体" w:cs="宋体"/>
                      <w:kern w:val="0"/>
                      <w:sz w:val="18"/>
                      <w:szCs w:val="18"/>
                      <w:lang w:bidi="ar"/>
                    </w:rPr>
                    <w:t>2.新增耗煤项目实行煤炭消耗等量或减量替代。</w:t>
                  </w:r>
                </w:p>
              </w:tc>
              <w:tc>
                <w:tcPr>
                  <w:tcW w:w="922" w:type="pct"/>
                  <w:vAlign w:val="center"/>
                </w:tcPr>
                <w:p>
                  <w:pPr>
                    <w:adjustRightInd w:val="0"/>
                    <w:snapToGrid w:val="0"/>
                    <w:rPr>
                      <w:rFonts w:ascii="Times New Roman" w:hAnsi="Times New Roman" w:eastAsia="宋体"/>
                      <w:sz w:val="18"/>
                      <w:szCs w:val="18"/>
                    </w:rPr>
                  </w:pPr>
                  <w:r>
                    <w:rPr>
                      <w:rFonts w:hint="eastAsia" w:ascii="Times New Roman" w:hAnsi="Times New Roman" w:eastAsia="宋体" w:cs="宋体"/>
                      <w:kern w:val="0"/>
                      <w:sz w:val="18"/>
                      <w:szCs w:val="18"/>
                      <w:lang w:bidi="ar"/>
                    </w:rPr>
                    <w:t>本项目不涉及。</w:t>
                  </w:r>
                </w:p>
              </w:tc>
              <w:tc>
                <w:tcPr>
                  <w:tcW w:w="319" w:type="pct"/>
                  <w:vAlign w:val="center"/>
                </w:tcPr>
                <w:p>
                  <w:pPr>
                    <w:adjustRightInd w:val="0"/>
                    <w:snapToGrid w:val="0"/>
                    <w:jc w:val="center"/>
                    <w:rPr>
                      <w:rFonts w:ascii="Times New Roman" w:hAnsi="Times New Roman" w:eastAsia="宋体"/>
                      <w:sz w:val="18"/>
                      <w:szCs w:val="18"/>
                    </w:rPr>
                  </w:pPr>
                  <w:r>
                    <w:rPr>
                      <w:rFonts w:hint="eastAsia" w:ascii="Times New Roman" w:hAnsi="Times New Roman" w:eastAsia="宋体"/>
                      <w:sz w:val="18"/>
                      <w:szCs w:val="18"/>
                    </w:rPr>
                    <w:t>符合</w:t>
                  </w:r>
                </w:p>
              </w:tc>
            </w:tr>
          </w:tbl>
          <w:p>
            <w:pPr>
              <w:pStyle w:val="36"/>
              <w:ind w:firstLine="0" w:firstLineChars="0"/>
              <w:rPr>
                <w:b w:val="0"/>
                <w:bCs/>
              </w:rPr>
            </w:pPr>
            <w:r>
              <w:rPr>
                <w:rFonts w:hint="eastAsia"/>
              </w:rPr>
              <w:t>7、项目与</w:t>
            </w:r>
            <w:r>
              <w:t>西安市“三线一单”生态环境分区管控方案</w:t>
            </w:r>
            <w:r>
              <w:rPr>
                <w:rFonts w:hint="eastAsia"/>
              </w:rPr>
              <w:t>符合性分析</w:t>
            </w:r>
          </w:p>
          <w:p>
            <w:pPr>
              <w:tabs>
                <w:tab w:val="left" w:pos="3150"/>
                <w:tab w:val="left" w:pos="4305"/>
              </w:tabs>
              <w:adjustRightInd w:val="0"/>
              <w:snapToGrid w:val="0"/>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sz w:val="24"/>
              </w:rPr>
              <w:t>根据</w:t>
            </w:r>
            <w:r>
              <w:rPr>
                <w:rFonts w:ascii="Times New Roman" w:hAnsi="Times New Roman"/>
                <w:sz w:val="24"/>
                <w:szCs w:val="24"/>
              </w:rPr>
              <w:t>西安市</w:t>
            </w:r>
            <w:r>
              <w:rPr>
                <w:rFonts w:ascii="Times New Roman" w:hAnsi="Times New Roman"/>
                <w:sz w:val="24"/>
              </w:rPr>
              <w:t>人民政府关于印发《</w:t>
            </w:r>
            <w:r>
              <w:rPr>
                <w:rFonts w:ascii="Times New Roman" w:hAnsi="Times New Roman"/>
                <w:sz w:val="24"/>
                <w:szCs w:val="24"/>
              </w:rPr>
              <w:t>西安市</w:t>
            </w:r>
            <w:r>
              <w:rPr>
                <w:rFonts w:ascii="Times New Roman" w:hAnsi="Times New Roman"/>
                <w:sz w:val="24"/>
              </w:rPr>
              <w:t>“三线一单”生态环境分区管控方案》的通知</w:t>
            </w:r>
            <w:r>
              <w:rPr>
                <w:rFonts w:hint="eastAsia" w:ascii="Times New Roman" w:hAnsi="Times New Roman"/>
                <w:sz w:val="24"/>
              </w:rPr>
              <w:t>（</w:t>
            </w:r>
            <w:r>
              <w:rPr>
                <w:rFonts w:ascii="Times New Roman" w:hAnsi="Times New Roman"/>
                <w:sz w:val="23"/>
                <w:szCs w:val="23"/>
                <w:shd w:val="clear" w:color="auto" w:fill="FFFFFF"/>
              </w:rPr>
              <w:t>市政发〔2021〕22号</w:t>
            </w:r>
            <w:r>
              <w:rPr>
                <w:rFonts w:hint="eastAsia" w:ascii="Times New Roman" w:hAnsi="Times New Roman"/>
                <w:sz w:val="24"/>
              </w:rPr>
              <w:t>），项目位于</w:t>
            </w:r>
            <w:r>
              <w:rPr>
                <w:rFonts w:ascii="Times New Roman" w:hAnsi="Times New Roman"/>
                <w:sz w:val="24"/>
                <w:szCs w:val="24"/>
              </w:rPr>
              <w:t>西安市</w:t>
            </w:r>
            <w:r>
              <w:rPr>
                <w:rFonts w:hint="eastAsia" w:ascii="Times New Roman" w:hAnsi="Times New Roman"/>
                <w:sz w:val="24"/>
              </w:rPr>
              <w:t>生态环境重点管控单元内，项目与</w:t>
            </w:r>
            <w:r>
              <w:rPr>
                <w:rFonts w:ascii="Times New Roman" w:hAnsi="Times New Roman" w:eastAsia="宋体" w:cs="Times New Roman"/>
                <w:kern w:val="0"/>
                <w:sz w:val="24"/>
                <w:szCs w:val="24"/>
              </w:rPr>
              <w:t>《</w:t>
            </w:r>
            <w:r>
              <w:rPr>
                <w:rFonts w:ascii="Times New Roman" w:hAnsi="Times New Roman"/>
                <w:sz w:val="24"/>
                <w:szCs w:val="24"/>
              </w:rPr>
              <w:t>西安市</w:t>
            </w:r>
            <w:r>
              <w:rPr>
                <w:rFonts w:ascii="Times New Roman" w:hAnsi="Times New Roman" w:eastAsia="宋体" w:cs="Times New Roman"/>
                <w:kern w:val="0"/>
                <w:sz w:val="24"/>
                <w:szCs w:val="24"/>
              </w:rPr>
              <w:t>“三线一单”生态环境分区管控方案》</w:t>
            </w:r>
            <w:r>
              <w:rPr>
                <w:rFonts w:hint="eastAsia" w:ascii="Times New Roman" w:hAnsi="Times New Roman"/>
                <w:sz w:val="24"/>
              </w:rPr>
              <w:t>符合性分析见表1-</w:t>
            </w:r>
            <w:r>
              <w:rPr>
                <w:rFonts w:ascii="Times New Roman" w:hAnsi="Times New Roman"/>
                <w:sz w:val="24"/>
              </w:rPr>
              <w:t>5</w:t>
            </w:r>
            <w:r>
              <w:rPr>
                <w:rFonts w:hint="eastAsia" w:ascii="Times New Roman" w:hAnsi="Times New Roman" w:eastAsia="宋体" w:cs="Times New Roman"/>
                <w:kern w:val="0"/>
                <w:sz w:val="24"/>
                <w:szCs w:val="24"/>
              </w:rPr>
              <w:t>。</w:t>
            </w:r>
          </w:p>
          <w:p>
            <w:pPr>
              <w:pStyle w:val="21"/>
              <w:rPr>
                <w:bCs/>
                <w:color w:val="auto"/>
              </w:rPr>
            </w:pPr>
            <w:r>
              <w:rPr>
                <w:color w:val="auto"/>
              </w:rPr>
              <w:t>表</w:t>
            </w:r>
            <w:r>
              <w:rPr>
                <w:rFonts w:hint="eastAsia"/>
                <w:color w:val="auto"/>
              </w:rPr>
              <w:t>1-</w:t>
            </w:r>
            <w:r>
              <w:rPr>
                <w:color w:val="auto"/>
              </w:rPr>
              <w:t>5</w:t>
            </w:r>
            <w:r>
              <w:rPr>
                <w:rFonts w:hint="eastAsia"/>
                <w:color w:val="auto"/>
              </w:rPr>
              <w:t xml:space="preserve">  </w:t>
            </w:r>
            <w:r>
              <w:rPr>
                <w:color w:val="auto"/>
              </w:rPr>
              <w:t>西安市“三线一单”生态环境分区管控方案符合性分析</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96"/>
              <w:gridCol w:w="869"/>
              <w:gridCol w:w="925"/>
              <w:gridCol w:w="6789"/>
              <w:gridCol w:w="2599"/>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20" w:type="pct"/>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jc w:val="center"/>
                    <w:rPr>
                      <w:rFonts w:ascii="Times New Roman" w:hAnsi="Times New Roman" w:eastAsia="宋体"/>
                      <w:b/>
                      <w:bCs/>
                      <w:snapToGrid w:val="0"/>
                      <w:sz w:val="18"/>
                      <w:szCs w:val="18"/>
                    </w:rPr>
                  </w:pPr>
                  <w:r>
                    <w:rPr>
                      <w:rFonts w:hint="eastAsia" w:ascii="Times New Roman" w:hAnsi="Times New Roman" w:eastAsia="宋体"/>
                      <w:b/>
                      <w:bCs/>
                      <w:snapToGrid w:val="0"/>
                      <w:sz w:val="18"/>
                      <w:szCs w:val="18"/>
                    </w:rPr>
                    <w:t>适用范围</w:t>
                  </w:r>
                </w:p>
              </w:tc>
              <w:tc>
                <w:tcPr>
                  <w:tcW w:w="38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b/>
                      <w:bCs/>
                      <w:snapToGrid w:val="0"/>
                      <w:sz w:val="18"/>
                      <w:szCs w:val="18"/>
                    </w:rPr>
                  </w:pPr>
                  <w:r>
                    <w:rPr>
                      <w:rFonts w:hint="eastAsia" w:ascii="Times New Roman" w:hAnsi="Times New Roman" w:eastAsia="宋体"/>
                      <w:b/>
                      <w:bCs/>
                      <w:snapToGrid w:val="0"/>
                      <w:sz w:val="18"/>
                      <w:szCs w:val="18"/>
                    </w:rPr>
                    <w:t>管控维度</w:t>
                  </w:r>
                </w:p>
              </w:tc>
              <w:tc>
                <w:tcPr>
                  <w:tcW w:w="27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jc w:val="center"/>
                    <w:rPr>
                      <w:rFonts w:ascii="Times New Roman" w:hAnsi="Times New Roman" w:eastAsia="宋体"/>
                      <w:b/>
                      <w:bCs/>
                      <w:snapToGrid w:val="0"/>
                      <w:sz w:val="18"/>
                      <w:szCs w:val="18"/>
                    </w:rPr>
                  </w:pPr>
                  <w:r>
                    <w:rPr>
                      <w:rFonts w:hint="eastAsia" w:ascii="Times New Roman" w:hAnsi="Times New Roman" w:eastAsia="宋体"/>
                      <w:b/>
                      <w:bCs/>
                      <w:snapToGrid w:val="0"/>
                      <w:sz w:val="18"/>
                      <w:szCs w:val="18"/>
                    </w:rPr>
                    <w:t>生态环境准入要求</w:t>
                  </w:r>
                </w:p>
              </w:tc>
              <w:tc>
                <w:tcPr>
                  <w:tcW w:w="10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b/>
                      <w:bCs/>
                      <w:snapToGrid w:val="0"/>
                      <w:sz w:val="18"/>
                      <w:szCs w:val="18"/>
                    </w:rPr>
                  </w:pPr>
                  <w:r>
                    <w:rPr>
                      <w:rFonts w:hint="eastAsia" w:ascii="Times New Roman" w:hAnsi="Times New Roman" w:eastAsia="宋体"/>
                      <w:b/>
                      <w:bCs/>
                      <w:snapToGrid w:val="0"/>
                      <w:sz w:val="18"/>
                      <w:szCs w:val="18"/>
                    </w:rPr>
                    <w:t>本项目情况</w:t>
                  </w:r>
                </w:p>
              </w:tc>
              <w:tc>
                <w:tcPr>
                  <w:tcW w:w="24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宋体"/>
                      <w:b/>
                      <w:bCs/>
                      <w:snapToGrid w:val="0"/>
                      <w:sz w:val="18"/>
                      <w:szCs w:val="18"/>
                    </w:rPr>
                  </w:pPr>
                  <w:r>
                    <w:rPr>
                      <w:rFonts w:hint="eastAsia" w:ascii="Times New Roman" w:hAnsi="Times New Roman" w:eastAsia="宋体"/>
                      <w:b/>
                      <w:bCs/>
                      <w:snapToGrid w:val="0"/>
                      <w:sz w:val="18"/>
                      <w:szCs w:val="18"/>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r>
                    <w:rPr>
                      <w:rFonts w:ascii="Times New Roman" w:hAnsi="Times New Roman" w:eastAsia="宋体"/>
                      <w:snapToGrid w:val="0"/>
                      <w:sz w:val="18"/>
                      <w:szCs w:val="18"/>
                    </w:rPr>
                    <w:t>1</w:t>
                  </w:r>
                  <w:r>
                    <w:rPr>
                      <w:rFonts w:hint="eastAsia" w:ascii="Times New Roman" w:hAnsi="Times New Roman" w:eastAsia="宋体"/>
                      <w:snapToGrid w:val="0"/>
                      <w:sz w:val="18"/>
                      <w:szCs w:val="18"/>
                    </w:rPr>
                    <w:t>.重点管控单元</w:t>
                  </w:r>
                </w:p>
              </w:tc>
              <w:tc>
                <w:tcPr>
                  <w:tcW w:w="357" w:type="pct"/>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ascii="Times New Roman" w:hAnsi="Times New Roman" w:eastAsia="宋体"/>
                      <w:snapToGrid w:val="0"/>
                      <w:sz w:val="18"/>
                      <w:szCs w:val="18"/>
                    </w:rPr>
                    <w:t>1.1水环境城镇污染重点管控区</w:t>
                  </w:r>
                </w:p>
                <w:p>
                  <w:pPr>
                    <w:adjustRightInd w:val="0"/>
                    <w:snapToGrid w:val="0"/>
                    <w:jc w:val="center"/>
                    <w:rPr>
                      <w:rFonts w:ascii="Times New Roman" w:hAnsi="Times New Roman" w:eastAsia="宋体"/>
                      <w:snapToGrid w:val="0"/>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ascii="Times New Roman" w:hAnsi="Times New Roman" w:eastAsia="宋体"/>
                      <w:snapToGrid w:val="0"/>
                      <w:sz w:val="18"/>
                      <w:szCs w:val="18"/>
                    </w:rPr>
                    <w:t>空间布局</w:t>
                  </w:r>
                </w:p>
                <w:p>
                  <w:pPr>
                    <w:adjustRightInd w:val="0"/>
                    <w:snapToGrid w:val="0"/>
                    <w:jc w:val="center"/>
                    <w:rPr>
                      <w:rFonts w:ascii="Times New Roman" w:hAnsi="Times New Roman" w:eastAsia="宋体"/>
                      <w:snapToGrid w:val="0"/>
                      <w:sz w:val="18"/>
                      <w:szCs w:val="18"/>
                    </w:rPr>
                  </w:pPr>
                  <w:r>
                    <w:rPr>
                      <w:rFonts w:ascii="Times New Roman" w:hAnsi="Times New Roman" w:eastAsia="宋体"/>
                      <w:snapToGrid w:val="0"/>
                      <w:sz w:val="18"/>
                      <w:szCs w:val="18"/>
                    </w:rPr>
                    <w:t>约束</w:t>
                  </w:r>
                </w:p>
                <w:p>
                  <w:pPr>
                    <w:adjustRightInd w:val="0"/>
                    <w:snapToGrid w:val="0"/>
                    <w:jc w:val="center"/>
                    <w:rPr>
                      <w:rFonts w:ascii="Times New Roman" w:hAnsi="Times New Roman" w:eastAsia="宋体"/>
                      <w:snapToGrid w:val="0"/>
                      <w:sz w:val="18"/>
                      <w:szCs w:val="18"/>
                    </w:rPr>
                  </w:pPr>
                </w:p>
              </w:tc>
              <w:tc>
                <w:tcPr>
                  <w:tcW w:w="2790"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1．统筹做好城市、县城及农村污水处理设施建设，继续提升污水处理能力，完善城镇污水处理厂和农村污水处理设施运营管理机制。到2025年，城市污水集中处理率稳步提升，县城污水集中处理率达到95%。加强雨污管网管理与建设。</w:t>
                  </w:r>
                </w:p>
                <w:p>
                  <w:pPr>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2．持续巩固城市建成区黑臭水体整治成果，建立完善黑臭水体污染防治长效机制，定期开展巡查、监测、评估等工作，有效防止水质反弹。</w:t>
                  </w:r>
                </w:p>
                <w:p>
                  <w:pPr>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3．严格控制新建、扩建化学制浆造纸、化工、印染、果汁和淀粉加工等高耗水、高污染项目。水污染排放企业严格执行排污许可制度，实施“持证排水”。</w:t>
                  </w:r>
                </w:p>
                <w:p>
                  <w:pPr>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4．全面推进工业园区污水管网排查整治和污水收集处理设施建设，推进化工园区雨污分流改造和初期雨水收集处理。实施重点行业企业达标排放限期改造，大力推进化学需氧量、氨氮、总磷重点行业污染减排。水环境超载汇水范围内的新建、改建、扩建工业项目，实行主要污染物排放等量或减量置换。</w:t>
                  </w:r>
                </w:p>
              </w:tc>
              <w:tc>
                <w:tcPr>
                  <w:tcW w:w="106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1、本项目不涉及。</w:t>
                  </w:r>
                </w:p>
                <w:p>
                  <w:pPr>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2、本项目不涉及。</w:t>
                  </w:r>
                </w:p>
                <w:p>
                  <w:pPr>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3、本项目不属于</w:t>
                  </w:r>
                  <w:r>
                    <w:rPr>
                      <w:rFonts w:ascii="Times New Roman" w:hAnsi="Times New Roman" w:eastAsia="宋体"/>
                      <w:snapToGrid w:val="0"/>
                      <w:sz w:val="18"/>
                      <w:szCs w:val="18"/>
                    </w:rPr>
                    <w:t>高耗水、高污染项目</w:t>
                  </w:r>
                  <w:r>
                    <w:rPr>
                      <w:rFonts w:hint="eastAsia" w:ascii="Times New Roman" w:hAnsi="Times New Roman" w:eastAsia="宋体"/>
                      <w:snapToGrid w:val="0"/>
                      <w:sz w:val="18"/>
                      <w:szCs w:val="18"/>
                    </w:rPr>
                    <w:t>。</w:t>
                  </w:r>
                </w:p>
                <w:p>
                  <w:pPr>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4、本项目无生产废水产生，生活污水经厂内化粪池处理后通过园区污水管网排入蓝田工业园（洩湖镇）污水处理站。</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污染物排放管控</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到2025年，基本消除城市建成区生活污水直排口和收集处理设施空白区，城市和县城污水处理能力基本满足经济社会发展需要，县城污水处理率达到95%以上。</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保证城镇污水处理厂出水水质稳定达到《陕西省黄河流域污水综合排放标准》（DB61/224-2018）要求。完善城镇配套管网建设，实施雨污分流改造。</w:t>
                  </w:r>
                </w:p>
              </w:tc>
              <w:tc>
                <w:tcPr>
                  <w:tcW w:w="106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snapToGrid w:val="0"/>
                      <w:sz w:val="18"/>
                      <w:szCs w:val="18"/>
                    </w:rPr>
                  </w:pPr>
                  <w:r>
                    <w:rPr>
                      <w:rFonts w:hint="eastAsia" w:ascii="Times New Roman" w:hAnsi="Times New Roman" w:eastAsia="宋体" w:cs="宋体"/>
                      <w:kern w:val="0"/>
                      <w:sz w:val="18"/>
                      <w:szCs w:val="18"/>
                      <w:lang w:bidi="ar"/>
                    </w:rPr>
                    <w:t>本项目不涉及。</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restart"/>
                  <w:tcBorders>
                    <w:left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ascii="Times New Roman" w:hAnsi="Times New Roman" w:eastAsia="宋体"/>
                      <w:snapToGrid w:val="0"/>
                      <w:sz w:val="18"/>
                      <w:szCs w:val="18"/>
                    </w:rPr>
                    <w:t>1.2水环境农业污染重点管控区</w:t>
                  </w: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空间布局约束</w:t>
                  </w:r>
                </w:p>
              </w:tc>
              <w:tc>
                <w:tcPr>
                  <w:tcW w:w="2790"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1．加强农业面源污染综合防治。对畜禽养殖场（小区）密集、粪污资源化利用水平较低的区域，鼓励采用“种养结合”模式；地下水易受污染地区要优先种植需肥需药量低、环境效益突出的农作物。</w:t>
                  </w:r>
                </w:p>
                <w:p>
                  <w:pPr>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2．按照分散与集中相结合的原则，优先实施农村生活污水设施及管网建设。</w:t>
                  </w:r>
                </w:p>
                <w:p>
                  <w:pPr>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3．持续加强城乡结合部村庄、乡镇污水收集管网、污水集中处理设施、垃圾清运、处理设施建设工作，不断提高农村污水和生活垃圾处理率。强化农村服务业污水和垃圾治理力度；全面开展农村黑臭水体摸排整治工作。</w:t>
                  </w:r>
                </w:p>
              </w:tc>
              <w:tc>
                <w:tcPr>
                  <w:tcW w:w="106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本项目不涉及。</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污染物排放管控</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1．到2025年，持续开展化肥农药减量化行动，化肥、农药使用量实现零增长，主要农作物测土配方施肥技术覆盖率达到90%以上，病虫害绿色防控覆盖率达到35%以上，专业化统防统治覆盖率达到40%以上。</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2．到2025年，农村新型社区基本实现污水全收集全处理。</w:t>
                  </w:r>
                </w:p>
              </w:tc>
              <w:tc>
                <w:tcPr>
                  <w:tcW w:w="106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本项目不涉及。</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restart"/>
                  <w:tcBorders>
                    <w:left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ascii="Times New Roman" w:hAnsi="Times New Roman" w:eastAsia="宋体"/>
                      <w:snapToGrid w:val="0"/>
                      <w:sz w:val="18"/>
                      <w:szCs w:val="18"/>
                    </w:rPr>
                    <w:t>1</w:t>
                  </w:r>
                  <w:r>
                    <w:rPr>
                      <w:rFonts w:hint="eastAsia" w:ascii="Times New Roman" w:hAnsi="Times New Roman" w:eastAsia="宋体"/>
                      <w:snapToGrid w:val="0"/>
                      <w:sz w:val="18"/>
                      <w:szCs w:val="18"/>
                    </w:rPr>
                    <w:t>.</w:t>
                  </w:r>
                  <w:r>
                    <w:rPr>
                      <w:rFonts w:ascii="Times New Roman" w:hAnsi="Times New Roman" w:eastAsia="宋体"/>
                      <w:snapToGrid w:val="0"/>
                      <w:sz w:val="18"/>
                      <w:szCs w:val="18"/>
                    </w:rPr>
                    <w:t>3</w:t>
                  </w:r>
                  <w:r>
                    <w:rPr>
                      <w:rFonts w:hint="eastAsia" w:ascii="Times New Roman" w:hAnsi="Times New Roman" w:eastAsia="宋体"/>
                      <w:snapToGrid w:val="0"/>
                      <w:sz w:val="18"/>
                      <w:szCs w:val="18"/>
                    </w:rPr>
                    <w:t>大气环境受体敏感区</w:t>
                  </w: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空间布局约束</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1．大气污染防治重点区域严禁新增钢铁、水泥熟料、平板玻璃、炼化产能。</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2．推动重污染企业搬迁入园或依法关闭。</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3．禁止新建非清洁能源供热企业，集中供热面积逐步提高，提高清洁能源供热和远距离输送供热比重。</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1、本项目不属于“两高”行业。</w:t>
                  </w:r>
                </w:p>
                <w:p>
                  <w:pPr>
                    <w:pStyle w:val="2"/>
                    <w:adjustRightInd w:val="0"/>
                    <w:snapToGrid w:val="0"/>
                    <w:jc w:val="both"/>
                    <w:rPr>
                      <w:rFonts w:ascii="Times New Roman" w:hAnsi="Times New Roman" w:eastAsia="宋体"/>
                      <w:snapToGrid w:val="0"/>
                      <w:sz w:val="18"/>
                      <w:szCs w:val="18"/>
                    </w:rPr>
                  </w:pPr>
                  <w:r>
                    <w:rPr>
                      <w:rFonts w:ascii="Times New Roman" w:hAnsi="Times New Roman" w:eastAsia="宋体"/>
                      <w:snapToGrid w:val="0"/>
                      <w:sz w:val="18"/>
                      <w:szCs w:val="18"/>
                    </w:rPr>
                    <w:t>2</w:t>
                  </w:r>
                  <w:r>
                    <w:rPr>
                      <w:rFonts w:hint="eastAsia" w:ascii="Times New Roman" w:hAnsi="Times New Roman" w:eastAsia="宋体"/>
                      <w:snapToGrid w:val="0"/>
                      <w:sz w:val="18"/>
                      <w:szCs w:val="18"/>
                    </w:rPr>
                    <w:t>、本项目</w:t>
                  </w:r>
                  <w:r>
                    <w:rPr>
                      <w:rFonts w:hint="eastAsia" w:ascii="Times New Roman" w:hAnsi="Times New Roman" w:eastAsia="宋体"/>
                      <w:sz w:val="18"/>
                      <w:szCs w:val="18"/>
                    </w:rPr>
                    <w:t>位于蓝田工业园电商物流片区中的三元环保科技产业园，符合入园要求</w:t>
                  </w:r>
                  <w:r>
                    <w:rPr>
                      <w:rFonts w:hint="eastAsia" w:ascii="Times New Roman" w:hAnsi="Times New Roman" w:eastAsia="宋体"/>
                      <w:snapToGrid w:val="0"/>
                      <w:sz w:val="18"/>
                      <w:szCs w:val="18"/>
                    </w:rPr>
                    <w:t>。</w:t>
                  </w:r>
                </w:p>
                <w:p>
                  <w:pPr>
                    <w:pStyle w:val="2"/>
                    <w:adjustRightInd w:val="0"/>
                    <w:snapToGrid w:val="0"/>
                    <w:jc w:val="both"/>
                    <w:rPr>
                      <w:rFonts w:ascii="Times New Roman" w:hAnsi="Times New Roman" w:eastAsia="宋体"/>
                      <w:snapToGrid w:val="0"/>
                      <w:sz w:val="18"/>
                      <w:szCs w:val="18"/>
                    </w:rPr>
                  </w:pPr>
                  <w:r>
                    <w:rPr>
                      <w:rFonts w:hint="eastAsia" w:ascii="Times New Roman" w:hAnsi="Times New Roman" w:eastAsia="宋体"/>
                      <w:snapToGrid w:val="0"/>
                      <w:sz w:val="18"/>
                      <w:szCs w:val="18"/>
                    </w:rPr>
                    <w:t>3、本项目不涉及。</w:t>
                  </w:r>
                </w:p>
                <w:p>
                  <w:pPr>
                    <w:adjustRightInd w:val="0"/>
                    <w:snapToGrid w:val="0"/>
                    <w:rPr>
                      <w:rFonts w:ascii="Times New Roman" w:hAnsi="Times New Roman" w:eastAsia="宋体"/>
                      <w:snapToGrid w:val="0"/>
                      <w:sz w:val="18"/>
                      <w:szCs w:val="18"/>
                    </w:rPr>
                  </w:pP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污染物排放管控</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1．区域内保留企业采用先进生产工艺、严格落实污染治理设施，污染物执行超低排放或特别排放限值。</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2．鼓励将老旧车辆和非道路移动机械替换为清洁能源车辆；推进新能源或清洁能源汽车使用。</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3．加大餐饮油烟治理力度，排放油烟的饮食业单位全部安装油烟净化装置并实现达标排放。</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4．积极推进地热供暖技术。</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1、本项目</w:t>
                  </w:r>
                  <w:r>
                    <w:rPr>
                      <w:rFonts w:ascii="Times New Roman" w:hAnsi="Times New Roman"/>
                      <w:sz w:val="18"/>
                      <w:szCs w:val="18"/>
                      <w:lang w:bidi="ar"/>
                    </w:rPr>
                    <w:t>挥发性有机物（VOCs）全面执行</w:t>
                  </w:r>
                  <w:r>
                    <w:rPr>
                      <w:rFonts w:ascii="Times New Roman" w:hAnsi="Times New Roman" w:eastAsia="宋体"/>
                      <w:snapToGrid w:val="0"/>
                      <w:sz w:val="18"/>
                      <w:szCs w:val="18"/>
                    </w:rPr>
                    <w:t>特别</w:t>
                  </w:r>
                  <w:r>
                    <w:rPr>
                      <w:rFonts w:ascii="Times New Roman" w:hAnsi="Times New Roman"/>
                      <w:sz w:val="18"/>
                      <w:szCs w:val="18"/>
                      <w:lang w:bidi="ar"/>
                    </w:rPr>
                    <w:t>排放限值</w:t>
                  </w:r>
                  <w:r>
                    <w:rPr>
                      <w:rFonts w:hint="eastAsia" w:ascii="Times New Roman" w:hAnsi="Times New Roman"/>
                      <w:sz w:val="18"/>
                      <w:szCs w:val="18"/>
                      <w:lang w:bidi="ar"/>
                    </w:rPr>
                    <w:t>，</w:t>
                  </w:r>
                  <w:r>
                    <w:rPr>
                      <w:rFonts w:hint="eastAsia" w:ascii="Times New Roman" w:hAnsi="Times New Roman" w:cs="Calibri"/>
                      <w:sz w:val="18"/>
                      <w:szCs w:val="18"/>
                      <w:lang w:bidi="ar"/>
                    </w:rPr>
                    <w:t>有机废气通过干式过滤器+吸附脱附催化燃烧废气处理装置处理后有组织排放，粉尘通过脉冲除尘器处理后有组织排放</w:t>
                  </w:r>
                  <w:r>
                    <w:rPr>
                      <w:rFonts w:hint="eastAsia" w:ascii="Times New Roman" w:hAnsi="Times New Roman" w:eastAsia="宋体"/>
                      <w:snapToGrid w:val="0"/>
                      <w:sz w:val="18"/>
                      <w:szCs w:val="18"/>
                    </w:rPr>
                    <w:t>。</w:t>
                  </w:r>
                </w:p>
                <w:p>
                  <w:pPr>
                    <w:pStyle w:val="2"/>
                    <w:adjustRightInd w:val="0"/>
                    <w:snapToGrid w:val="0"/>
                    <w:jc w:val="both"/>
                    <w:rPr>
                      <w:rFonts w:ascii="Times New Roman" w:hAnsi="Times New Roman" w:eastAsia="宋体"/>
                      <w:snapToGrid w:val="0"/>
                      <w:sz w:val="18"/>
                      <w:szCs w:val="18"/>
                    </w:rPr>
                  </w:pPr>
                  <w:r>
                    <w:rPr>
                      <w:rFonts w:ascii="Times New Roman" w:hAnsi="Times New Roman" w:eastAsia="宋体"/>
                      <w:snapToGrid w:val="0"/>
                      <w:sz w:val="18"/>
                      <w:szCs w:val="18"/>
                    </w:rPr>
                    <w:t>2</w:t>
                  </w:r>
                  <w:r>
                    <w:rPr>
                      <w:rFonts w:hint="eastAsia" w:ascii="Times New Roman" w:hAnsi="Times New Roman" w:eastAsia="宋体"/>
                      <w:snapToGrid w:val="0"/>
                      <w:sz w:val="18"/>
                      <w:szCs w:val="18"/>
                    </w:rPr>
                    <w:t>、本项目</w:t>
                  </w:r>
                  <w:r>
                    <w:rPr>
                      <w:rFonts w:hint="eastAsia" w:ascii="Times New Roman" w:hAnsi="Times New Roman" w:eastAsia="宋体" w:cs="Times New Roman"/>
                      <w:sz w:val="18"/>
                      <w:szCs w:val="18"/>
                    </w:rPr>
                    <w:t>厂内非道路移动机械达到国三要求</w:t>
                  </w:r>
                  <w:r>
                    <w:rPr>
                      <w:rFonts w:hint="eastAsia" w:ascii="Times New Roman" w:hAnsi="Times New Roman" w:eastAsia="宋体"/>
                      <w:snapToGrid w:val="0"/>
                      <w:sz w:val="18"/>
                      <w:szCs w:val="18"/>
                    </w:rPr>
                    <w:t>。</w:t>
                  </w:r>
                </w:p>
                <w:p>
                  <w:pPr>
                    <w:pStyle w:val="2"/>
                    <w:adjustRightInd w:val="0"/>
                    <w:snapToGrid w:val="0"/>
                    <w:jc w:val="both"/>
                    <w:rPr>
                      <w:rFonts w:ascii="Times New Roman" w:hAnsi="Times New Roman" w:eastAsia="宋体"/>
                      <w:snapToGrid w:val="0"/>
                      <w:sz w:val="18"/>
                      <w:szCs w:val="18"/>
                    </w:rPr>
                  </w:pPr>
                  <w:r>
                    <w:rPr>
                      <w:rFonts w:hint="eastAsia" w:ascii="Times New Roman" w:hAnsi="Times New Roman" w:eastAsia="宋体"/>
                      <w:snapToGrid w:val="0"/>
                      <w:sz w:val="18"/>
                      <w:szCs w:val="18"/>
                    </w:rPr>
                    <w:t>3、本项目不涉及。</w:t>
                  </w:r>
                </w:p>
                <w:p>
                  <w:pPr>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4、本项目办公采用空调供暖，生产车间无供暖。</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restart"/>
                  <w:tcBorders>
                    <w:left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ascii="Times New Roman" w:hAnsi="Times New Roman" w:eastAsia="宋体"/>
                      <w:snapToGrid w:val="0"/>
                      <w:sz w:val="18"/>
                      <w:szCs w:val="18"/>
                    </w:rPr>
                    <w:t>1</w:t>
                  </w:r>
                  <w:r>
                    <w:rPr>
                      <w:rFonts w:hint="eastAsia" w:ascii="Times New Roman" w:hAnsi="Times New Roman" w:eastAsia="宋体"/>
                      <w:snapToGrid w:val="0"/>
                      <w:sz w:val="18"/>
                      <w:szCs w:val="18"/>
                    </w:rPr>
                    <w:t>.</w:t>
                  </w:r>
                  <w:r>
                    <w:rPr>
                      <w:rFonts w:ascii="Times New Roman" w:hAnsi="Times New Roman" w:eastAsia="宋体"/>
                      <w:snapToGrid w:val="0"/>
                      <w:sz w:val="18"/>
                      <w:szCs w:val="18"/>
                    </w:rPr>
                    <w:t>4</w:t>
                  </w:r>
                  <w:r>
                    <w:rPr>
                      <w:rFonts w:hint="eastAsia" w:ascii="Times New Roman" w:hAnsi="Times New Roman" w:eastAsia="宋体"/>
                      <w:snapToGrid w:val="0"/>
                      <w:sz w:val="18"/>
                      <w:szCs w:val="18"/>
                    </w:rPr>
                    <w:t>大气环境高排放区</w:t>
                  </w: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空间布局约束</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1．大气污染防治重点区域严禁新增钢铁、水泥熟料、平板玻璃、炼化产能。</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2．加快壮大新材料、新能源汽车、新一代信息技术、绿色环保等产业。</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3．推进5G、物联网、云计算、大数据、区块链、人工智能等新一代信息技术与绿色环保产业深度融合创新。</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4．促进产业集聚和绿色发展转型</w:t>
                  </w:r>
                  <w:r>
                    <w:rPr>
                      <w:rFonts w:hint="eastAsia" w:ascii="Times New Roman" w:hAnsi="Times New Roman" w:eastAsia="宋体"/>
                      <w:snapToGrid w:val="0"/>
                      <w:sz w:val="18"/>
                      <w:szCs w:val="18"/>
                    </w:rPr>
                    <w:t>。</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1、本项目不涉及。</w:t>
                  </w:r>
                </w:p>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2、本项目不涉及。</w:t>
                  </w:r>
                </w:p>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3、本项目不涉及。</w:t>
                  </w:r>
                </w:p>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4、本项目优先节约能源、严控污染排放，符合绿色发展。</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污染物排放管控</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1．控制氮氧化物、颗粒物、挥发性有机物的排放，特别是挥发性有机物的排放。</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2．对高能耗高污染行业企业采用先进高效的污染控制措施。</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3．以建材、有色、石化、化工、包装印刷等行业为重点，开展全流程清洁化、循环化、低碳化改造，促进传统产业转型升级高质量发展。</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cs="Calibri"/>
                      <w:sz w:val="18"/>
                      <w:szCs w:val="18"/>
                      <w:lang w:bidi="ar"/>
                    </w:rPr>
                  </w:pPr>
                  <w:r>
                    <w:rPr>
                      <w:rFonts w:hint="eastAsia" w:ascii="Times New Roman" w:hAnsi="Times New Roman" w:eastAsia="宋体"/>
                      <w:snapToGrid w:val="0"/>
                      <w:sz w:val="18"/>
                      <w:szCs w:val="18"/>
                    </w:rPr>
                    <w:t>1、本项目</w:t>
                  </w:r>
                  <w:r>
                    <w:rPr>
                      <w:rFonts w:hint="eastAsia" w:ascii="Times New Roman" w:hAnsi="Times New Roman" w:cs="Calibri"/>
                      <w:sz w:val="18"/>
                      <w:szCs w:val="18"/>
                      <w:lang w:bidi="ar"/>
                    </w:rPr>
                    <w:t>有机废气通过干式过</w:t>
                  </w:r>
                  <w:r>
                    <w:rPr>
                      <w:rFonts w:hint="eastAsia" w:ascii="Times New Roman" w:hAnsi="Times New Roman" w:eastAsia="宋体"/>
                      <w:snapToGrid w:val="0"/>
                      <w:sz w:val="18"/>
                      <w:szCs w:val="18"/>
                    </w:rPr>
                    <w:t>滤器+吸附脱附催化燃烧废气处理装置处理后有组织排放，粉尘通过脉冲除尘器处理后有组织排放，可有效控制污染排放</w:t>
                  </w:r>
                  <w:r>
                    <w:rPr>
                      <w:rFonts w:hint="eastAsia" w:ascii="Times New Roman" w:hAnsi="Times New Roman" w:cs="Calibri"/>
                      <w:sz w:val="18"/>
                      <w:szCs w:val="18"/>
                      <w:lang w:bidi="ar"/>
                    </w:rPr>
                    <w:t>。</w:t>
                  </w:r>
                </w:p>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cs="Calibri"/>
                      <w:sz w:val="18"/>
                      <w:szCs w:val="18"/>
                      <w:lang w:bidi="ar"/>
                    </w:rPr>
                    <w:t>2、本项目</w:t>
                  </w:r>
                  <w:r>
                    <w:rPr>
                      <w:rFonts w:hint="eastAsia" w:ascii="Times New Roman" w:hAnsi="Times New Roman" w:eastAsia="宋体"/>
                      <w:snapToGrid w:val="0"/>
                      <w:sz w:val="18"/>
                      <w:szCs w:val="18"/>
                    </w:rPr>
                    <w:t>不属于“两高”行业。</w:t>
                  </w:r>
                </w:p>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3、本项目不涉及。</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restart"/>
                  <w:tcBorders>
                    <w:left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snapToGrid w:val="0"/>
                      <w:sz w:val="18"/>
                      <w:szCs w:val="18"/>
                    </w:rPr>
                  </w:pPr>
                  <w:r>
                    <w:rPr>
                      <w:rFonts w:ascii="Times New Roman" w:hAnsi="Times New Roman" w:eastAsia="宋体"/>
                      <w:snapToGrid w:val="0"/>
                      <w:sz w:val="18"/>
                      <w:szCs w:val="18"/>
                    </w:rPr>
                    <w:t>1.5大气环境布局敏感区</w:t>
                  </w: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空间布局约束</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1．大气污染防治重点区域严禁新增钢铁、水泥熟料、平板玻璃、炼化产能。</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2．推动重污染企业搬迁入园或依法关闭。</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1、本项目不涉及。</w:t>
                  </w:r>
                </w:p>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2、本项目</w:t>
                  </w:r>
                  <w:r>
                    <w:rPr>
                      <w:rFonts w:hint="eastAsia" w:ascii="Times New Roman" w:hAnsi="Times New Roman" w:eastAsia="宋体"/>
                      <w:sz w:val="18"/>
                      <w:szCs w:val="18"/>
                    </w:rPr>
                    <w:t>位于蓝田工业园电商物流片区中的三元环保科技产业园，符合入园要求</w:t>
                  </w:r>
                  <w:r>
                    <w:rPr>
                      <w:rFonts w:hint="eastAsia" w:ascii="Times New Roman" w:hAnsi="Times New Roman" w:eastAsia="宋体"/>
                      <w:snapToGrid w:val="0"/>
                      <w:sz w:val="18"/>
                      <w:szCs w:val="18"/>
                    </w:rPr>
                    <w:t>。</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污染物排放管控</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1．区域内保留企业采用先进生产工艺、严格落实污染治理设施，污染物执行超低排放或特别排放限值。</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2．鼓励将老旧车辆和非道路移动机械替换为清洁能源车辆；推进新能源或清洁能源汽车使用。</w:t>
                  </w:r>
                </w:p>
                <w:p>
                  <w:pPr>
                    <w:widowControl/>
                    <w:shd w:val="clear" w:color="auto" w:fill="FFFFFF"/>
                    <w:adjustRightInd w:val="0"/>
                    <w:snapToGrid w:val="0"/>
                    <w:rPr>
                      <w:rFonts w:ascii="Times New Roman" w:hAnsi="Times New Roman" w:eastAsia="宋体"/>
                      <w:snapToGrid w:val="0"/>
                      <w:sz w:val="18"/>
                      <w:szCs w:val="18"/>
                    </w:rPr>
                  </w:pPr>
                  <w:r>
                    <w:rPr>
                      <w:rFonts w:ascii="Times New Roman" w:hAnsi="Times New Roman" w:eastAsia="宋体"/>
                      <w:snapToGrid w:val="0"/>
                      <w:sz w:val="18"/>
                      <w:szCs w:val="18"/>
                    </w:rPr>
                    <w:t>3．进行散煤替代，加快铺设天然气管网和集中供暖管网</w:t>
                  </w:r>
                  <w:r>
                    <w:rPr>
                      <w:rFonts w:hint="eastAsia" w:ascii="Times New Roman" w:hAnsi="Times New Roman" w:eastAsia="宋体"/>
                      <w:snapToGrid w:val="0"/>
                      <w:sz w:val="18"/>
                      <w:szCs w:val="18"/>
                    </w:rPr>
                    <w:t>。</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1、本项目</w:t>
                  </w:r>
                  <w:r>
                    <w:rPr>
                      <w:rFonts w:ascii="Times New Roman" w:hAnsi="Times New Roman" w:eastAsia="宋体"/>
                      <w:snapToGrid w:val="0"/>
                      <w:sz w:val="18"/>
                      <w:szCs w:val="18"/>
                    </w:rPr>
                    <w:t>挥发性有机物（VOCs）全面执行特别排放限值</w:t>
                  </w:r>
                  <w:r>
                    <w:rPr>
                      <w:rFonts w:hint="eastAsia" w:ascii="Times New Roman" w:hAnsi="Times New Roman" w:eastAsia="宋体"/>
                      <w:snapToGrid w:val="0"/>
                      <w:sz w:val="18"/>
                      <w:szCs w:val="18"/>
                    </w:rPr>
                    <w:t>，有机废气通过干式过滤器+吸附脱附催化燃烧废气处理装置处理后有组织排放，粉尘通过脉冲除尘器处理后有组织排放。</w:t>
                  </w:r>
                </w:p>
                <w:p>
                  <w:pPr>
                    <w:pStyle w:val="2"/>
                    <w:adjustRightInd w:val="0"/>
                    <w:snapToGrid w:val="0"/>
                    <w:jc w:val="both"/>
                    <w:rPr>
                      <w:rFonts w:ascii="Times New Roman" w:hAnsi="Times New Roman" w:eastAsia="宋体"/>
                      <w:snapToGrid w:val="0"/>
                      <w:sz w:val="18"/>
                      <w:szCs w:val="18"/>
                    </w:rPr>
                  </w:pPr>
                  <w:r>
                    <w:rPr>
                      <w:rFonts w:ascii="Times New Roman" w:hAnsi="Times New Roman" w:eastAsia="宋体"/>
                      <w:snapToGrid w:val="0"/>
                      <w:sz w:val="18"/>
                      <w:szCs w:val="18"/>
                    </w:rPr>
                    <w:t>2</w:t>
                  </w:r>
                  <w:r>
                    <w:rPr>
                      <w:rFonts w:hint="eastAsia" w:ascii="Times New Roman" w:hAnsi="Times New Roman" w:eastAsia="宋体"/>
                      <w:snapToGrid w:val="0"/>
                      <w:sz w:val="18"/>
                      <w:szCs w:val="18"/>
                    </w:rPr>
                    <w:t>、本项目</w:t>
                  </w:r>
                  <w:r>
                    <w:rPr>
                      <w:rFonts w:hint="eastAsia" w:ascii="Times New Roman" w:hAnsi="Times New Roman" w:eastAsia="宋体" w:cs="Times New Roman"/>
                      <w:sz w:val="18"/>
                      <w:szCs w:val="18"/>
                    </w:rPr>
                    <w:t>厂内非道路移动机械达到国三要求</w:t>
                  </w:r>
                  <w:r>
                    <w:rPr>
                      <w:rFonts w:hint="eastAsia" w:ascii="Times New Roman" w:hAnsi="Times New Roman" w:eastAsia="宋体"/>
                      <w:snapToGrid w:val="0"/>
                      <w:sz w:val="18"/>
                      <w:szCs w:val="18"/>
                    </w:rPr>
                    <w:t>。</w:t>
                  </w:r>
                </w:p>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3、本项目不涉及。</w:t>
                  </w:r>
                </w:p>
                <w:p>
                  <w:pPr>
                    <w:tabs>
                      <w:tab w:val="left" w:pos="265"/>
                    </w:tabs>
                    <w:autoSpaceDE w:val="0"/>
                    <w:autoSpaceDN w:val="0"/>
                    <w:adjustRightInd w:val="0"/>
                    <w:snapToGrid w:val="0"/>
                    <w:rPr>
                      <w:rFonts w:ascii="Times New Roman" w:hAnsi="Times New Roman" w:eastAsia="宋体"/>
                      <w:snapToGrid w:val="0"/>
                      <w:sz w:val="18"/>
                      <w:szCs w:val="18"/>
                    </w:rPr>
                  </w:pP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restart"/>
                  <w:tcBorders>
                    <w:left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ascii="Times New Roman" w:hAnsi="Times New Roman" w:eastAsia="宋体"/>
                      <w:snapToGrid w:val="0"/>
                      <w:sz w:val="18"/>
                      <w:szCs w:val="18"/>
                    </w:rPr>
                    <w:t>1.6</w:t>
                  </w:r>
                  <w:r>
                    <w:rPr>
                      <w:rFonts w:hint="eastAsia" w:ascii="Times New Roman" w:hAnsi="Times New Roman" w:eastAsia="宋体"/>
                      <w:snapToGrid w:val="0"/>
                      <w:sz w:val="18"/>
                      <w:szCs w:val="18"/>
                    </w:rPr>
                    <w:t>大气环境弱扩散区</w:t>
                  </w: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空间布局约束</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hint="eastAsia" w:ascii="Times New Roman" w:hAnsi="Times New Roman" w:eastAsia="宋体" w:cs="Helvetica"/>
                      <w:kern w:val="0"/>
                      <w:sz w:val="18"/>
                      <w:szCs w:val="18"/>
                    </w:rPr>
                    <w:t>1</w:t>
                  </w:r>
                  <w:r>
                    <w:rPr>
                      <w:rFonts w:ascii="Times New Roman" w:hAnsi="Times New Roman" w:eastAsia="宋体" w:cs="Helvetica"/>
                      <w:kern w:val="0"/>
                      <w:sz w:val="18"/>
                      <w:szCs w:val="18"/>
                    </w:rPr>
                    <w:t>．大气污染防治重点区域严禁新增钢铁、水泥熟料、平板玻璃、炼化产能。</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2．推动重污染企业搬迁入园或依法关闭。</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1、本项目不涉及。</w:t>
                  </w:r>
                </w:p>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2、本项目</w:t>
                  </w:r>
                  <w:r>
                    <w:rPr>
                      <w:rFonts w:hint="eastAsia" w:ascii="Times New Roman" w:hAnsi="Times New Roman" w:eastAsia="宋体"/>
                      <w:sz w:val="18"/>
                      <w:szCs w:val="18"/>
                    </w:rPr>
                    <w:t>位于蓝田工业园电商物流片区中的三元环保科技产业园，符合入园要求</w:t>
                  </w:r>
                  <w:r>
                    <w:rPr>
                      <w:rFonts w:hint="eastAsia" w:ascii="Times New Roman" w:hAnsi="Times New Roman" w:eastAsia="宋体"/>
                      <w:snapToGrid w:val="0"/>
                      <w:sz w:val="18"/>
                      <w:szCs w:val="18"/>
                    </w:rPr>
                    <w:t>。</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污染物排放管控</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1．污染物执行超低排放或特别排放限值。</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2．进行散煤替代，加快铺设天然气管网和集中供暖管网。</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1、本项目</w:t>
                  </w:r>
                  <w:r>
                    <w:rPr>
                      <w:rFonts w:ascii="Times New Roman" w:hAnsi="Times New Roman" w:eastAsia="宋体"/>
                      <w:snapToGrid w:val="0"/>
                      <w:sz w:val="18"/>
                      <w:szCs w:val="18"/>
                    </w:rPr>
                    <w:t>挥发性有机物（VOCs）全面执行特别排放限值</w:t>
                  </w:r>
                  <w:r>
                    <w:rPr>
                      <w:rFonts w:hint="eastAsia" w:ascii="Times New Roman" w:hAnsi="Times New Roman" w:eastAsia="宋体"/>
                      <w:snapToGrid w:val="0"/>
                      <w:sz w:val="18"/>
                      <w:szCs w:val="18"/>
                    </w:rPr>
                    <w:t>。</w:t>
                  </w:r>
                </w:p>
                <w:p>
                  <w:pPr>
                    <w:pStyle w:val="2"/>
                    <w:adjustRightInd w:val="0"/>
                    <w:snapToGrid w:val="0"/>
                    <w:jc w:val="both"/>
                    <w:rPr>
                      <w:rFonts w:ascii="Times New Roman" w:hAnsi="Times New Roman" w:eastAsia="宋体"/>
                      <w:snapToGrid w:val="0"/>
                      <w:sz w:val="18"/>
                      <w:szCs w:val="18"/>
                    </w:rPr>
                  </w:pPr>
                  <w:r>
                    <w:rPr>
                      <w:rFonts w:ascii="Times New Roman" w:hAnsi="Times New Roman" w:eastAsia="宋体"/>
                      <w:snapToGrid w:val="0"/>
                      <w:sz w:val="18"/>
                      <w:szCs w:val="18"/>
                    </w:rPr>
                    <w:t>2</w:t>
                  </w:r>
                  <w:r>
                    <w:rPr>
                      <w:rFonts w:hint="eastAsia" w:ascii="Times New Roman" w:hAnsi="Times New Roman" w:eastAsia="宋体"/>
                      <w:snapToGrid w:val="0"/>
                      <w:sz w:val="18"/>
                      <w:szCs w:val="18"/>
                    </w:rPr>
                    <w:t>、本项目不涉及。</w:t>
                  </w:r>
                </w:p>
                <w:p>
                  <w:pPr>
                    <w:tabs>
                      <w:tab w:val="left" w:pos="265"/>
                    </w:tabs>
                    <w:autoSpaceDE w:val="0"/>
                    <w:autoSpaceDN w:val="0"/>
                    <w:adjustRightInd w:val="0"/>
                    <w:snapToGrid w:val="0"/>
                    <w:rPr>
                      <w:rFonts w:ascii="Times New Roman" w:hAnsi="Times New Roman" w:eastAsia="宋体"/>
                      <w:snapToGrid w:val="0"/>
                      <w:sz w:val="18"/>
                      <w:szCs w:val="18"/>
                    </w:rPr>
                  </w:pP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restart"/>
                  <w:tcBorders>
                    <w:left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r>
                    <w:rPr>
                      <w:rFonts w:ascii="Times New Roman" w:hAnsi="Times New Roman" w:eastAsia="宋体" w:cs="Helvetica"/>
                      <w:kern w:val="0"/>
                      <w:sz w:val="18"/>
                      <w:szCs w:val="18"/>
                    </w:rPr>
                    <w:t>1</w:t>
                  </w:r>
                  <w:r>
                    <w:rPr>
                      <w:rFonts w:hint="eastAsia" w:ascii="Times New Roman" w:hAnsi="Times New Roman" w:eastAsia="宋体" w:cs="Helvetica"/>
                      <w:kern w:val="0"/>
                      <w:sz w:val="18"/>
                      <w:szCs w:val="18"/>
                    </w:rPr>
                    <w:t>.</w:t>
                  </w:r>
                  <w:r>
                    <w:rPr>
                      <w:rFonts w:ascii="Times New Roman" w:hAnsi="Times New Roman" w:eastAsia="宋体" w:cs="Helvetica"/>
                      <w:kern w:val="0"/>
                      <w:sz w:val="18"/>
                      <w:szCs w:val="18"/>
                    </w:rPr>
                    <w:t>7农用地重点管控区</w:t>
                  </w: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空间布局约束</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cs="Helvetica"/>
                      <w:sz w:val="18"/>
                      <w:szCs w:val="18"/>
                      <w:shd w:val="clear" w:color="auto" w:fill="FFFFFF"/>
                    </w:rPr>
                    <w:t>对于重点管控区内的严格管控类农用地，应依法划定特定农产品禁止生产区域，并组织制定种植结构调整或者退耕还林还草、退耕还湿计划</w:t>
                  </w:r>
                  <w:r>
                    <w:rPr>
                      <w:rFonts w:hint="eastAsia" w:ascii="Times New Roman" w:hAnsi="Times New Roman" w:cs="Helvetica"/>
                      <w:sz w:val="18"/>
                      <w:szCs w:val="18"/>
                      <w:shd w:val="clear" w:color="auto" w:fill="FFFFFF"/>
                    </w:rPr>
                    <w:t>。</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本项目不涉及。</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环境风险管控</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1．对重点管控区内的安全利用类农用地，应当采取下列措施：</w:t>
                  </w:r>
                  <w:r>
                    <w:rPr>
                      <w:rFonts w:hint="eastAsia" w:ascii="宋体" w:hAnsi="宋体" w:eastAsia="宋体" w:cs="宋体"/>
                      <w:kern w:val="0"/>
                      <w:sz w:val="18"/>
                      <w:szCs w:val="18"/>
                    </w:rPr>
                    <w:t>①</w:t>
                  </w:r>
                  <w:r>
                    <w:rPr>
                      <w:rFonts w:ascii="Times New Roman" w:hAnsi="Times New Roman" w:eastAsia="宋体" w:cs="Helvetica"/>
                      <w:kern w:val="0"/>
                      <w:sz w:val="18"/>
                      <w:szCs w:val="18"/>
                    </w:rPr>
                    <w:t>制定实施受污染耕地安全利用方案；</w:t>
                  </w:r>
                  <w:r>
                    <w:rPr>
                      <w:rFonts w:hint="eastAsia" w:ascii="宋体" w:hAnsi="宋体" w:eastAsia="宋体" w:cs="宋体"/>
                      <w:kern w:val="0"/>
                      <w:sz w:val="18"/>
                      <w:szCs w:val="18"/>
                    </w:rPr>
                    <w:t>②</w:t>
                  </w:r>
                  <w:r>
                    <w:rPr>
                      <w:rFonts w:ascii="Times New Roman" w:hAnsi="Times New Roman" w:eastAsia="宋体" w:cs="Helvetica"/>
                      <w:kern w:val="0"/>
                      <w:sz w:val="18"/>
                      <w:szCs w:val="18"/>
                    </w:rPr>
                    <w:t>农艺调控、替代种植；</w:t>
                  </w:r>
                  <w:r>
                    <w:rPr>
                      <w:rFonts w:hint="eastAsia" w:ascii="宋体" w:hAnsi="宋体" w:eastAsia="宋体" w:cs="宋体"/>
                      <w:kern w:val="0"/>
                      <w:sz w:val="18"/>
                      <w:szCs w:val="18"/>
                    </w:rPr>
                    <w:t>③</w:t>
                  </w:r>
                  <w:r>
                    <w:rPr>
                      <w:rFonts w:ascii="Times New Roman" w:hAnsi="Times New Roman" w:eastAsia="宋体" w:cs="Helvetica"/>
                      <w:kern w:val="0"/>
                      <w:sz w:val="18"/>
                      <w:szCs w:val="18"/>
                    </w:rPr>
                    <w:t>定期开展土壤和农产品协同监测与评价；</w:t>
                  </w:r>
                  <w:r>
                    <w:rPr>
                      <w:rFonts w:hint="eastAsia" w:ascii="宋体" w:hAnsi="宋体" w:eastAsia="宋体" w:cs="宋体"/>
                      <w:kern w:val="0"/>
                      <w:sz w:val="18"/>
                      <w:szCs w:val="18"/>
                    </w:rPr>
                    <w:t>④</w:t>
                  </w:r>
                  <w:r>
                    <w:rPr>
                      <w:rFonts w:ascii="Times New Roman" w:hAnsi="Times New Roman" w:eastAsia="宋体" w:cs="Helvetica"/>
                      <w:kern w:val="0"/>
                      <w:sz w:val="18"/>
                      <w:szCs w:val="18"/>
                    </w:rPr>
                    <w:t>对农民、农民专业合作社等农业生产经营主体进行技术指导和培训。</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2．对重点管控区内的严格管控类农用地，应当采取下列措施：</w:t>
                  </w:r>
                  <w:r>
                    <w:rPr>
                      <w:rFonts w:hint="eastAsia" w:ascii="Times New Roman" w:hAnsi="Times New Roman" w:eastAsia="宋体" w:cs="宋体"/>
                      <w:kern w:val="0"/>
                      <w:sz w:val="18"/>
                      <w:szCs w:val="18"/>
                    </w:rPr>
                    <w:t>①</w:t>
                  </w:r>
                  <w:r>
                    <w:rPr>
                      <w:rFonts w:ascii="Times New Roman" w:hAnsi="Times New Roman" w:eastAsia="宋体" w:cs="Helvetica"/>
                      <w:kern w:val="0"/>
                      <w:sz w:val="18"/>
                      <w:szCs w:val="18"/>
                    </w:rPr>
                    <w:t>鼓励对严格管控类农用地采取调整种植结构、轮作休耕、轮牧休牧等风险管控措施；</w:t>
                  </w:r>
                  <w:r>
                    <w:rPr>
                      <w:rFonts w:hint="eastAsia" w:ascii="Times New Roman" w:hAnsi="Times New Roman" w:eastAsia="宋体" w:cs="宋体"/>
                      <w:kern w:val="0"/>
                      <w:sz w:val="18"/>
                      <w:szCs w:val="18"/>
                    </w:rPr>
                    <w:t>②</w:t>
                  </w:r>
                  <w:r>
                    <w:rPr>
                      <w:rFonts w:ascii="Times New Roman" w:hAnsi="Times New Roman" w:eastAsia="宋体" w:cs="Helvetica"/>
                      <w:kern w:val="0"/>
                      <w:sz w:val="18"/>
                      <w:szCs w:val="18"/>
                    </w:rPr>
                    <w:t>提出划定特定农产品禁止生产区域的建议，报本级人民政府批准后实施；</w:t>
                  </w:r>
                  <w:r>
                    <w:rPr>
                      <w:rFonts w:hint="eastAsia" w:ascii="Times New Roman" w:hAnsi="Times New Roman" w:eastAsia="宋体" w:cs="宋体"/>
                      <w:kern w:val="0"/>
                      <w:sz w:val="18"/>
                      <w:szCs w:val="18"/>
                    </w:rPr>
                    <w:t>③</w:t>
                  </w:r>
                  <w:r>
                    <w:rPr>
                      <w:rFonts w:ascii="Times New Roman" w:hAnsi="Times New Roman" w:eastAsia="宋体" w:cs="Helvetica"/>
                      <w:kern w:val="0"/>
                      <w:sz w:val="18"/>
                      <w:szCs w:val="18"/>
                    </w:rPr>
                    <w:t>定期开展土壤和农产品协同监测与评价；</w:t>
                  </w:r>
                  <w:r>
                    <w:rPr>
                      <w:rFonts w:hint="eastAsia" w:ascii="Times New Roman" w:hAnsi="Times New Roman" w:eastAsia="宋体" w:cs="宋体"/>
                      <w:kern w:val="0"/>
                      <w:sz w:val="18"/>
                      <w:szCs w:val="18"/>
                    </w:rPr>
                    <w:t>④</w:t>
                  </w:r>
                  <w:r>
                    <w:rPr>
                      <w:rFonts w:ascii="Times New Roman" w:hAnsi="Times New Roman" w:eastAsia="宋体" w:cs="Helvetica"/>
                      <w:kern w:val="0"/>
                      <w:sz w:val="18"/>
                      <w:szCs w:val="18"/>
                    </w:rPr>
                    <w:t>对农民、农民专业合作社等农业生产经营主体进行技术指导和培训。</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本项目不涉及。</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restart"/>
                  <w:tcBorders>
                    <w:left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r>
                    <w:rPr>
                      <w:rFonts w:ascii="Times New Roman" w:hAnsi="Times New Roman" w:eastAsia="宋体" w:cs="Helvetica"/>
                      <w:kern w:val="0"/>
                      <w:sz w:val="18"/>
                      <w:szCs w:val="18"/>
                    </w:rPr>
                    <w:t>1.8建设用地重点管控区</w:t>
                  </w: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空间布局约束</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cs="Helvetica"/>
                      <w:sz w:val="18"/>
                      <w:szCs w:val="18"/>
                      <w:shd w:val="clear" w:color="auto" w:fill="FFFFFF"/>
                    </w:rPr>
                    <w:t>严格用地准入。列入建设用地土壤污染风险管控和修复名录的地块，不得作为住宅、公共管理与公共服务用地。未达到土壤污染风险评估报告确定的风险管控、修复目标的建设用地地块，禁止开工建设任何与风险管控、修复无关的项目。土壤污染重点监管单位生产经营用地的用途变更或者使用权收回、转让前，应当由土地使用权人按照规定进行土壤污染状况调查。</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本项目不涉及。</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环境风险管控</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1．土壤污染重点监管企业在新、改、扩建项目过程中，应当在开展建设项目环境影响评价时，开展工矿用地土壤和地下水环境现状调查，编制调查报告。</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2．土壤污染重点监管企业新、改、扩建项目用地应当符合国家或者地方有关建设用地土壤污染风险管控标准。</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3．土壤污染重点监管企业建设涉及有毒有害物质的生产装置、储罐和管道，或者建设污水处理池、应急池等存在土壤污染风险的设施，应设计、建设和安装有关防腐蚀、防泄漏设施和泄漏监测装置。</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4．重点单位新、改、扩建项目地下储罐储存有毒有害物质的，应当在项目投入生产或者使用之前，将地下储罐的信息报所在地设区的市级生态环境主管部门备案。</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5．土壤污染重点监管企业应当建立土壤和地下水污染隐患排查治理制度，定期对重点区域、重点设施开展隐患排查。发现污染隐患的，应当制定整改方案，及时采取技术、管理措施消除隐患。</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6．土壤污染重点监管企业应当自行或者委托第三方定期开展土壤和地下水监测，重点监测存在污染隐患的区域和设施周边的土壤、地下水，并按照规定公开相关信息。</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7．土壤污染重点监管企业在隐患排查、监测等活动中发现工矿用地土壤和地下水存在污染迹象的，应当排查污染源，查明污染原因，采取措施防止新增污染，并及时开展土壤和地下水环境调查与风险评估，根据调查与风险评估结果采取风险管控或者治理与修复等措施。</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8．土壤污染重点监管企业拆除涉及有毒有害物质的生产设施设备、构筑物和污染治理设施的，应当按照有关规定，事先制定企业拆除活动污染防治方案，并在拆除活动前十五个工作日报所在地县级生态环境、工业和信息化主管部门备案。</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9．土壤污染重点监管企业终止生产经营活动前，应开展土壤和地下水环境初步调查，编制调查报告，及时上传全国污染地块土壤环境管理信息系统。</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10．土地使用权人应当在接到书面通知后，按照国家有关环境标准和技术规范，开展土壤环境详细调查，编制调查报告，及时上传污染地块信息系统，并将调查报告主要内容通过其网站等便于公众知晓的方式向社会公开。</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11．对暂不开发利用的污染地块，实施以防止污染扩散为目的的风险管控。对拟开发利用为居住用地和商业、学校、医疗、养老机构等公共设施用地的污染地块，实施以安全利用为目的的风险管控。</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12．对拟开发利用为居住用地和商业、学校、医疗、养老机构等公共设施用地的污染地块，经风险评估确认需要治理与修复的，土地使用权人应当开展治理与修复。污染地块经治理与修复，并符合相应规划用地土壤环境质量要求后，方可进入用地程序。</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本项目不涉及。</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tcBorders>
                    <w:left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r>
                    <w:rPr>
                      <w:rFonts w:ascii="Times New Roman" w:hAnsi="Times New Roman" w:eastAsia="宋体" w:cs="Helvetica"/>
                      <w:kern w:val="0"/>
                      <w:sz w:val="18"/>
                      <w:szCs w:val="18"/>
                    </w:rPr>
                    <w:t>1.9地下水开采区重点管控区</w:t>
                  </w: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空间布局约束</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1．根据地下水超采的不同程度，制定压缩地下水开采量计划，关闭城区自备井，积极开发利用地表水源，对严重超采区应当有计划地采取人工回灌等措施，增加地下水的有效补给。各地要严格取水许可审批，在地下水禁采区，禁止新建、改建、扩建建设项目取用地下水资源；已建成的地下取水工程要按照治理目标限期封闭和压缩开采量。在地下水限采区，要严格按照水利部《建设项目水资源论证管理办法》规定，进行水资源论证，对不符合我省水资源开发利用规划的取水项目，坚决不予审批。</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2．落实行政责任，强化考核管理。各级政府要加强领导、落实责任、强化措施，进一步加强地下水资源的开发管理和保护工作，对划定的地下水超采区，要勘定四至界限，设立界标和标识牌，落实管理和保护措施。对开采地下水的取水户，要制订年度开采指标，严格实行总量和定额控制管理，确保禁采和限采目标任务完成。制订超采区地下水水量、水位双控指标，并将其纳入各地经济社会发展综合评价与绩效考核指标体系。</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3．拓展地下水补给途径，有效涵养地下水。各区县要积极开展人工回灌等超采区治理研究，有效减缓、控制地面沉降，应结合当地条件，充分利用过境河流、再生水等资源，有效增加地下水补给，多途径涵养地下水源。</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本项目不涉及。</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restart"/>
                  <w:tcBorders>
                    <w:left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r>
                    <w:rPr>
                      <w:rFonts w:ascii="Times New Roman" w:hAnsi="Times New Roman" w:eastAsia="宋体" w:cs="Helvetica"/>
                      <w:kern w:val="0"/>
                      <w:sz w:val="18"/>
                      <w:szCs w:val="18"/>
                    </w:rPr>
                    <w:t>1.10高污染燃料禁燃区</w:t>
                  </w: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空间布局约束</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1．禁止销售、燃用高污染燃料；禁止新建、扩建燃用高污染燃料的设施。</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2．新建、改建、扩建“两高”项目须符合生态环境保护法律法规和相关法定规划，满足重点污染物排放总量控制、碳排放达峰目标、生态环境准入清单、相关规划环评和相应行业建设项目环境准入条件、环评文件审批原则要求</w:t>
                  </w:r>
                  <w:r>
                    <w:rPr>
                      <w:rFonts w:hint="eastAsia" w:ascii="Times New Roman" w:hAnsi="Times New Roman" w:eastAsia="宋体" w:cs="Helvetica"/>
                      <w:kern w:val="0"/>
                      <w:sz w:val="18"/>
                      <w:szCs w:val="18"/>
                    </w:rPr>
                    <w:t>。</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1、本项目不涉及高污染燃料。</w:t>
                  </w:r>
                </w:p>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2、本项目不属于“两高”项目。</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continue"/>
                  <w:tcBorders>
                    <w:left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污染物排放管控</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cs="Helvetica"/>
                      <w:sz w:val="18"/>
                      <w:szCs w:val="18"/>
                      <w:shd w:val="clear" w:color="auto" w:fill="FFFFFF"/>
                    </w:rPr>
                    <w:t>推进重点行业污染治理升级改造。二氧化硫、氮氧化物、颗粒物全面执行大气污染物特别排放限值。采取以电代煤、以气代煤，以及地热能、风能和太阳能等清洁能源替代措施。加强秸秆等生物质禁烧。严防因秸秆露天焚烧造成区域性重污染天气。</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本项目有机废气通过干式过滤器+吸附脱附催化燃烧废气处理装置处理后有组织排放，粉尘通过脉冲除尘器处理后有组织排放，均达标排放。</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vMerge w:val="continue"/>
                  <w:tcBorders>
                    <w:left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r>
                    <w:rPr>
                      <w:rFonts w:ascii="Times New Roman" w:hAnsi="Times New Roman" w:eastAsia="宋体" w:cs="Helvetica"/>
                      <w:kern w:val="0"/>
                      <w:sz w:val="18"/>
                      <w:szCs w:val="18"/>
                    </w:rPr>
                    <w:t>资源利用效率</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1．实施煤炭消费总量控制。煤炭消费总量控制以散煤削减为主，规上工业以燃料煤削减为主，完成省上下达的年度煤炭削减任务。</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2．全面加强秸秆综合利用。推广固化成型、生物气化、热解气化、炭化等能源化利用技术。</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3．加快发展清洁能源和新能源。有序发展水电，优化风能、太阳能开发布局，因地制宜发展地热能等</w:t>
                  </w:r>
                  <w:r>
                    <w:rPr>
                      <w:rFonts w:hint="eastAsia" w:ascii="Times New Roman" w:hAnsi="Times New Roman" w:eastAsia="宋体" w:cs="Helvetica"/>
                      <w:kern w:val="0"/>
                      <w:sz w:val="18"/>
                      <w:szCs w:val="18"/>
                    </w:rPr>
                    <w:t>。</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本项目不涉及。</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tcBorders>
                    <w:left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r>
                    <w:rPr>
                      <w:rFonts w:ascii="Times New Roman" w:hAnsi="Times New Roman" w:eastAsia="宋体" w:cs="Helvetica"/>
                      <w:kern w:val="0"/>
                      <w:sz w:val="18"/>
                      <w:szCs w:val="18"/>
                    </w:rPr>
                    <w:t>1.11生态用水补给区</w:t>
                  </w:r>
                </w:p>
              </w:tc>
              <w:tc>
                <w:tcPr>
                  <w:tcW w:w="38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r>
                    <w:rPr>
                      <w:rFonts w:ascii="Times New Roman" w:hAnsi="Times New Roman" w:eastAsia="宋体" w:cs="Helvetica"/>
                      <w:kern w:val="0"/>
                      <w:sz w:val="18"/>
                      <w:szCs w:val="18"/>
                    </w:rPr>
                    <w:t>资源利用效率</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1．合理配置水资源，将生态用水纳入流域水资源配置和管理，实施水资源统一调度，推进闸坝生态调度，保障生态用水。</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2．协助省引汉济渭工程建设公司加快建设引汉济渭调水工程，逐步退减被挤占的河道生态用水。</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eastAsia="宋体" w:cs="Helvetica"/>
                      <w:kern w:val="0"/>
                      <w:sz w:val="18"/>
                      <w:szCs w:val="18"/>
                    </w:rPr>
                    <w:t>3．采取生态泄流、生态流量监控、加大环境执法等措施保障河湖生态用水，加强生态流量监测体系建设，在重要水利水电枢纽设置生态泄流设施，结合水文站点分布，在重要河流设置生态流量控制断面，实时监控生态流量保障情况。</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本项目不涉及。</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tcBorders>
                    <w:left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r>
                    <w:rPr>
                      <w:rFonts w:ascii="Times New Roman" w:hAnsi="Times New Roman" w:eastAsia="宋体" w:cs="Helvetica"/>
                      <w:kern w:val="0"/>
                      <w:sz w:val="18"/>
                      <w:szCs w:val="18"/>
                    </w:rPr>
                    <w:t>1.12水资源承载力重点管控区</w:t>
                  </w:r>
                </w:p>
              </w:tc>
              <w:tc>
                <w:tcPr>
                  <w:tcW w:w="38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r>
                    <w:rPr>
                      <w:rFonts w:ascii="Times New Roman" w:hAnsi="Times New Roman" w:eastAsia="宋体" w:cs="Helvetica"/>
                      <w:kern w:val="0"/>
                      <w:sz w:val="18"/>
                      <w:szCs w:val="18"/>
                    </w:rPr>
                    <w:t>资源利用效率</w:t>
                  </w:r>
                </w:p>
              </w:tc>
              <w:tc>
                <w:tcPr>
                  <w:tcW w:w="279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cs="Helvetica"/>
                      <w:sz w:val="18"/>
                      <w:szCs w:val="18"/>
                      <w:shd w:val="clear" w:color="auto" w:fill="FFFFFF"/>
                    </w:rPr>
                    <w:t>一方面加大节水力度，另一方面争取调整管控区内用水总量控制指标，实现水资源承载能力支撑经济社会持续发展。</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本项目生产中用水包括员工生活用水、调漆用水、切削液配置用水，厂区加大员工培训，加强节水宣传。</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3" w:type="pct"/>
                  <w:vMerge w:val="continue"/>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snapToGrid w:val="0"/>
                      <w:sz w:val="18"/>
                      <w:szCs w:val="18"/>
                    </w:rPr>
                  </w:pPr>
                </w:p>
              </w:tc>
              <w:tc>
                <w:tcPr>
                  <w:tcW w:w="357" w:type="pct"/>
                  <w:tcBorders>
                    <w:left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r>
                    <w:rPr>
                      <w:rFonts w:ascii="Times New Roman" w:hAnsi="Times New Roman" w:eastAsia="宋体" w:cs="Helvetica"/>
                      <w:kern w:val="0"/>
                      <w:sz w:val="18"/>
                      <w:szCs w:val="18"/>
                    </w:rPr>
                    <w:t>1.13土地资源重点管控区</w:t>
                  </w:r>
                </w:p>
              </w:tc>
              <w:tc>
                <w:tcPr>
                  <w:tcW w:w="380" w:type="pct"/>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jc w:val="center"/>
                    <w:rPr>
                      <w:rFonts w:ascii="Times New Roman" w:hAnsi="Times New Roman" w:eastAsia="宋体" w:cs="Helvetica"/>
                      <w:kern w:val="0"/>
                      <w:sz w:val="18"/>
                      <w:szCs w:val="18"/>
                    </w:rPr>
                  </w:pPr>
                  <w:r>
                    <w:rPr>
                      <w:rFonts w:hint="eastAsia" w:ascii="Times New Roman" w:hAnsi="Times New Roman" w:eastAsia="宋体"/>
                      <w:snapToGrid w:val="0"/>
                      <w:sz w:val="18"/>
                      <w:szCs w:val="18"/>
                    </w:rPr>
                    <w:t>空间布局约束</w:t>
                  </w:r>
                </w:p>
              </w:tc>
              <w:tc>
                <w:tcPr>
                  <w:tcW w:w="2790" w:type="pct"/>
                  <w:tcBorders>
                    <w:top w:val="single" w:color="auto" w:sz="4" w:space="0"/>
                    <w:left w:val="single" w:color="auto" w:sz="4" w:space="0"/>
                    <w:bottom w:val="single" w:color="auto" w:sz="4" w:space="0"/>
                    <w:right w:val="single" w:color="auto" w:sz="4" w:space="0"/>
                  </w:tcBorders>
                  <w:vAlign w:val="center"/>
                </w:tcPr>
                <w:p>
                  <w:pPr>
                    <w:pStyle w:val="20"/>
                    <w:adjustRightInd w:val="0"/>
                    <w:snapToGrid w:val="0"/>
                    <w:spacing w:beforeAutospacing="0" w:afterAutospacing="0"/>
                    <w:jc w:val="both"/>
                    <w:rPr>
                      <w:rFonts w:ascii="Times New Roman" w:hAnsi="Times New Roman" w:eastAsia="宋体" w:cs="宋体"/>
                      <w:sz w:val="18"/>
                      <w:szCs w:val="18"/>
                    </w:rPr>
                  </w:pPr>
                  <w:r>
                    <w:rPr>
                      <w:rFonts w:ascii="Times New Roman" w:hAnsi="Times New Roman"/>
                      <w:sz w:val="18"/>
                      <w:szCs w:val="18"/>
                    </w:rPr>
                    <w:t>1．根据建设用地土壤污染状况调查结果，动态更新污染地块名录，合理确定土地用途。暂不开发利用或现阶段不具备治理修复条件的污染地块，由所在地区（县）人民政府组织划定管控区域，设立标识，发布公告，开展土壤、地表水、地下水、空气环境监测；存在潜在污染扩散风险的，责令相关责任方制定环境风险管控方案；发现污染扩散的，封闭污染区域，采取污染物隔离、阻断等工程和管理措施。</w:t>
                  </w:r>
                </w:p>
                <w:p>
                  <w:pPr>
                    <w:widowControl/>
                    <w:shd w:val="clear" w:color="auto" w:fill="FFFFFF"/>
                    <w:adjustRightInd w:val="0"/>
                    <w:snapToGrid w:val="0"/>
                    <w:rPr>
                      <w:rFonts w:ascii="Times New Roman" w:hAnsi="Times New Roman" w:eastAsia="宋体" w:cs="Helvetica"/>
                      <w:kern w:val="0"/>
                      <w:sz w:val="18"/>
                      <w:szCs w:val="18"/>
                    </w:rPr>
                  </w:pPr>
                  <w:r>
                    <w:rPr>
                      <w:rFonts w:ascii="Times New Roman" w:hAnsi="Times New Roman"/>
                      <w:sz w:val="18"/>
                      <w:szCs w:val="18"/>
                    </w:rPr>
                    <w:t>2．重点管控园区应推进园区土地集约、节约利用，项目入园要严格按照有关部门审核同意的项目建设内容使用土地，不得擅自改变土地用途、超越地界线占用土地。</w:t>
                  </w:r>
                </w:p>
              </w:tc>
              <w:tc>
                <w:tcPr>
                  <w:tcW w:w="1068" w:type="pct"/>
                  <w:tcBorders>
                    <w:top w:val="single" w:color="auto" w:sz="4" w:space="0"/>
                    <w:left w:val="single" w:color="auto" w:sz="4" w:space="0"/>
                    <w:bottom w:val="single" w:color="auto" w:sz="4" w:space="0"/>
                    <w:right w:val="single" w:color="auto" w:sz="4" w:space="0"/>
                  </w:tcBorders>
                  <w:vAlign w:val="center"/>
                </w:tcPr>
                <w:p>
                  <w:pPr>
                    <w:tabs>
                      <w:tab w:val="left" w:pos="265"/>
                    </w:tabs>
                    <w:autoSpaceDE w:val="0"/>
                    <w:autoSpaceDN w:val="0"/>
                    <w:adjustRightInd w:val="0"/>
                    <w:snapToGrid w:val="0"/>
                    <w:rPr>
                      <w:rFonts w:ascii="Times New Roman" w:hAnsi="Times New Roman" w:eastAsia="宋体"/>
                      <w:snapToGrid w:val="0"/>
                      <w:sz w:val="18"/>
                      <w:szCs w:val="18"/>
                    </w:rPr>
                  </w:pPr>
                  <w:r>
                    <w:rPr>
                      <w:rFonts w:hint="eastAsia" w:ascii="Times New Roman" w:hAnsi="Times New Roman" w:eastAsia="宋体"/>
                      <w:snapToGrid w:val="0"/>
                      <w:sz w:val="18"/>
                      <w:szCs w:val="18"/>
                    </w:rPr>
                    <w:t>本项目用地属于工业用地，符合园区规划，已取得园区准入意见。</w:t>
                  </w:r>
                </w:p>
              </w:tc>
              <w:tc>
                <w:tcPr>
                  <w:tcW w:w="24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snapToGrid w:val="0"/>
                      <w:sz w:val="18"/>
                      <w:szCs w:val="18"/>
                    </w:rPr>
                  </w:pPr>
                  <w:r>
                    <w:rPr>
                      <w:rFonts w:hint="eastAsia" w:ascii="Times New Roman" w:hAnsi="Times New Roman" w:eastAsia="宋体"/>
                      <w:snapToGrid w:val="0"/>
                      <w:sz w:val="18"/>
                      <w:szCs w:val="18"/>
                    </w:rPr>
                    <w:t>符合</w:t>
                  </w:r>
                </w:p>
              </w:tc>
            </w:tr>
          </w:tbl>
          <w:p>
            <w:pPr>
              <w:pStyle w:val="110"/>
              <w:ind w:firstLine="480" w:firstLineChars="200"/>
              <w:rPr>
                <w:szCs w:val="32"/>
              </w:rPr>
            </w:pPr>
          </w:p>
        </w:tc>
      </w:tr>
    </w:tbl>
    <w:p>
      <w:pPr>
        <w:pStyle w:val="21"/>
        <w:rPr>
          <w:color w:val="auto"/>
        </w:rPr>
        <w:sectPr>
          <w:pgSz w:w="16838" w:h="11906" w:orient="landscape"/>
          <w:pgMar w:top="1361" w:right="1474" w:bottom="1361" w:left="1474" w:header="851" w:footer="992" w:gutter="0"/>
          <w:cols w:space="425" w:num="1"/>
          <w:docGrid w:type="lines" w:linePitch="312" w:charSpace="0"/>
        </w:sectPr>
      </w:pPr>
    </w:p>
    <w:p>
      <w:pPr>
        <w:pStyle w:val="21"/>
        <w:rPr>
          <w:color w:val="auto"/>
        </w:rPr>
      </w:pPr>
      <w:r>
        <w:rPr>
          <w:rFonts w:hint="eastAsia"/>
          <w:color w:val="auto"/>
        </w:rPr>
        <w:t>二、建设项目工程分析</w:t>
      </w:r>
      <w:bookmarkEnd w:id="1"/>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341"/>
        <w:gridCol w:w="80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63" w:hRule="atLeast"/>
        </w:trPr>
        <w:tc>
          <w:tcPr>
            <w:tcW w:w="188" w:type="pct"/>
            <w:vAlign w:val="center"/>
          </w:tcPr>
          <w:p>
            <w:pPr>
              <w:jc w:val="center"/>
              <w:rPr>
                <w:rFonts w:ascii="Times New Roman" w:hAnsi="Times New Roman" w:eastAsia="宋体"/>
                <w:sz w:val="24"/>
                <w:szCs w:val="24"/>
              </w:rPr>
            </w:pPr>
            <w:r>
              <w:rPr>
                <w:rFonts w:hint="eastAsia" w:ascii="Times New Roman" w:hAnsi="Times New Roman" w:eastAsia="宋体"/>
                <w:sz w:val="24"/>
                <w:szCs w:val="24"/>
              </w:rPr>
              <w:t>建设内容</w:t>
            </w:r>
          </w:p>
        </w:tc>
        <w:tc>
          <w:tcPr>
            <w:tcW w:w="4811" w:type="pct"/>
          </w:tcPr>
          <w:p>
            <w:pPr>
              <w:pStyle w:val="36"/>
            </w:pPr>
            <w:r>
              <w:t>1</w:t>
            </w:r>
            <w:r>
              <w:rPr>
                <w:rFonts w:hint="eastAsia"/>
              </w:rPr>
              <w:t>、</w:t>
            </w:r>
            <w:r>
              <w:t>项目组成</w:t>
            </w:r>
          </w:p>
          <w:p>
            <w:pPr>
              <w:adjustRightInd w:val="0"/>
              <w:snapToGrid w:val="0"/>
              <w:spacing w:line="360" w:lineRule="auto"/>
              <w:ind w:firstLine="480" w:firstLineChars="200"/>
              <w:rPr>
                <w:rFonts w:ascii="Times New Roman" w:hAnsi="Times New Roman" w:eastAsia="宋体"/>
                <w:b/>
                <w:sz w:val="24"/>
                <w:szCs w:val="24"/>
              </w:rPr>
            </w:pPr>
            <w:r>
              <w:rPr>
                <w:rFonts w:hint="eastAsia" w:ascii="Times New Roman" w:hAnsi="Times New Roman" w:eastAsia="宋体"/>
                <w:sz w:val="24"/>
                <w:szCs w:val="24"/>
              </w:rPr>
              <w:t>本</w:t>
            </w:r>
            <w:r>
              <w:rPr>
                <w:rFonts w:ascii="Times New Roman" w:hAnsi="Times New Roman" w:eastAsia="宋体"/>
                <w:sz w:val="24"/>
                <w:szCs w:val="24"/>
              </w:rPr>
              <w:t>项目</w:t>
            </w:r>
            <w:r>
              <w:rPr>
                <w:rFonts w:hint="eastAsia" w:ascii="Times New Roman" w:hAnsi="Times New Roman" w:eastAsia="宋体"/>
                <w:sz w:val="24"/>
                <w:szCs w:val="24"/>
              </w:rPr>
              <w:t>租赁厂房占地</w:t>
            </w:r>
            <w:r>
              <w:rPr>
                <w:rFonts w:ascii="Times New Roman" w:hAnsi="Times New Roman" w:eastAsia="宋体"/>
                <w:sz w:val="24"/>
                <w:szCs w:val="24"/>
              </w:rPr>
              <w:t>面积1384</w:t>
            </w:r>
            <w:r>
              <w:rPr>
                <w:rFonts w:hint="eastAsia" w:ascii="Times New Roman" w:hAnsi="Times New Roman" w:eastAsia="宋体"/>
                <w:sz w:val="24"/>
                <w:szCs w:val="24"/>
              </w:rPr>
              <w:t>m</w:t>
            </w:r>
            <w:r>
              <w:rPr>
                <w:rFonts w:ascii="Times New Roman" w:hAnsi="Times New Roman" w:eastAsia="宋体"/>
                <w:sz w:val="24"/>
                <w:szCs w:val="24"/>
                <w:vertAlign w:val="superscript"/>
              </w:rPr>
              <w:t>2</w:t>
            </w:r>
            <w:r>
              <w:rPr>
                <w:rFonts w:hint="eastAsia" w:ascii="Times New Roman" w:hAnsi="Times New Roman" w:eastAsia="宋体"/>
                <w:sz w:val="24"/>
                <w:szCs w:val="24"/>
              </w:rPr>
              <w:t>，办公、住宿占地面积5</w:t>
            </w:r>
            <w:r>
              <w:rPr>
                <w:rFonts w:ascii="Times New Roman" w:hAnsi="Times New Roman" w:eastAsia="宋体"/>
                <w:sz w:val="24"/>
                <w:szCs w:val="24"/>
              </w:rPr>
              <w:t>86</w:t>
            </w:r>
            <w:r>
              <w:rPr>
                <w:rFonts w:hint="eastAsia" w:ascii="Times New Roman" w:hAnsi="Times New Roman" w:eastAsia="宋体"/>
                <w:sz w:val="24"/>
                <w:szCs w:val="24"/>
              </w:rPr>
              <w:t>m</w:t>
            </w:r>
            <w:r>
              <w:rPr>
                <w:rFonts w:ascii="Times New Roman" w:hAnsi="Times New Roman" w:eastAsia="宋体"/>
                <w:sz w:val="24"/>
                <w:szCs w:val="24"/>
                <w:vertAlign w:val="superscript"/>
              </w:rPr>
              <w:t>2</w:t>
            </w:r>
            <w:r>
              <w:rPr>
                <w:rFonts w:hint="eastAsia" w:ascii="Times New Roman" w:hAnsi="Times New Roman" w:eastAsia="宋体"/>
                <w:sz w:val="24"/>
                <w:szCs w:val="24"/>
              </w:rPr>
              <w:t>，共计1</w:t>
            </w:r>
            <w:r>
              <w:rPr>
                <w:rFonts w:ascii="Times New Roman" w:hAnsi="Times New Roman" w:eastAsia="宋体"/>
                <w:sz w:val="24"/>
                <w:szCs w:val="24"/>
              </w:rPr>
              <w:t>970</w:t>
            </w:r>
            <w:r>
              <w:rPr>
                <w:rFonts w:hint="eastAsia" w:ascii="Times New Roman" w:hAnsi="Times New Roman" w:eastAsia="宋体"/>
                <w:sz w:val="24"/>
                <w:szCs w:val="24"/>
              </w:rPr>
              <w:t>m</w:t>
            </w:r>
            <w:r>
              <w:rPr>
                <w:rFonts w:ascii="Times New Roman" w:hAnsi="Times New Roman" w:eastAsia="宋体"/>
                <w:sz w:val="24"/>
                <w:szCs w:val="24"/>
                <w:vertAlign w:val="superscript"/>
              </w:rPr>
              <w:t>2</w:t>
            </w:r>
            <w:r>
              <w:rPr>
                <w:rFonts w:hint="eastAsia" w:ascii="Times New Roman" w:hAnsi="Times New Roman" w:eastAsia="宋体"/>
                <w:sz w:val="24"/>
                <w:szCs w:val="24"/>
              </w:rPr>
              <w:t>。</w:t>
            </w:r>
            <w:r>
              <w:rPr>
                <w:rFonts w:ascii="Times New Roman" w:hAnsi="Times New Roman" w:eastAsia="宋体"/>
                <w:sz w:val="24"/>
                <w:szCs w:val="24"/>
              </w:rPr>
              <w:t>主要建设内容见表</w:t>
            </w:r>
            <w:r>
              <w:rPr>
                <w:rFonts w:hint="eastAsia" w:ascii="Times New Roman" w:hAnsi="Times New Roman" w:eastAsia="宋体"/>
                <w:sz w:val="24"/>
                <w:szCs w:val="24"/>
              </w:rPr>
              <w:t>2</w:t>
            </w:r>
            <w:r>
              <w:rPr>
                <w:rFonts w:ascii="Times New Roman" w:hAnsi="Times New Roman" w:eastAsia="宋体"/>
                <w:sz w:val="24"/>
                <w:szCs w:val="24"/>
              </w:rPr>
              <w:t>-1。</w:t>
            </w:r>
          </w:p>
          <w:p>
            <w:pPr>
              <w:pStyle w:val="71"/>
              <w:rPr>
                <w:rFonts w:cs="Times New Roman"/>
                <w:color w:val="auto"/>
              </w:rPr>
            </w:pPr>
            <w:r>
              <w:rPr>
                <w:rFonts w:hint="eastAsia"/>
                <w:color w:val="auto"/>
              </w:rPr>
              <w:t>表2-1  本项目建设内容一览表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318"/>
              <w:gridCol w:w="4727"/>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Align w:val="center"/>
                </w:tcPr>
                <w:p>
                  <w:pPr>
                    <w:adjustRightInd w:val="0"/>
                    <w:snapToGrid w:val="0"/>
                    <w:jc w:val="center"/>
                    <w:rPr>
                      <w:rFonts w:ascii="Times New Roman" w:hAnsi="Times New Roman" w:eastAsia="宋体"/>
                      <w:b/>
                    </w:rPr>
                  </w:pPr>
                  <w:r>
                    <w:rPr>
                      <w:rFonts w:ascii="Times New Roman" w:hAnsi="Times New Roman" w:eastAsia="宋体"/>
                      <w:b/>
                    </w:rPr>
                    <w:t>工程类别</w:t>
                  </w:r>
                </w:p>
              </w:tc>
              <w:tc>
                <w:tcPr>
                  <w:tcW w:w="828" w:type="pct"/>
                  <w:vAlign w:val="center"/>
                </w:tcPr>
                <w:p>
                  <w:pPr>
                    <w:adjustRightInd w:val="0"/>
                    <w:snapToGrid w:val="0"/>
                    <w:jc w:val="center"/>
                    <w:rPr>
                      <w:rFonts w:ascii="Times New Roman" w:hAnsi="Times New Roman" w:eastAsia="宋体"/>
                      <w:b/>
                    </w:rPr>
                  </w:pPr>
                  <w:r>
                    <w:rPr>
                      <w:rFonts w:ascii="Times New Roman" w:hAnsi="Times New Roman" w:eastAsia="宋体"/>
                      <w:b/>
                    </w:rPr>
                    <w:t>工程名称</w:t>
                  </w:r>
                </w:p>
              </w:tc>
              <w:tc>
                <w:tcPr>
                  <w:tcW w:w="2969" w:type="pct"/>
                  <w:vAlign w:val="center"/>
                </w:tcPr>
                <w:p>
                  <w:pPr>
                    <w:adjustRightInd w:val="0"/>
                    <w:snapToGrid w:val="0"/>
                    <w:jc w:val="center"/>
                    <w:rPr>
                      <w:rFonts w:ascii="Times New Roman" w:hAnsi="Times New Roman" w:eastAsia="宋体"/>
                      <w:b/>
                    </w:rPr>
                  </w:pPr>
                  <w:r>
                    <w:rPr>
                      <w:rFonts w:hint="eastAsia" w:ascii="Times New Roman" w:hAnsi="Times New Roman" w:eastAsia="宋体"/>
                      <w:b/>
                    </w:rPr>
                    <w:t>工</w:t>
                  </w:r>
                  <w:r>
                    <w:rPr>
                      <w:rFonts w:ascii="Times New Roman" w:hAnsi="Times New Roman" w:eastAsia="宋体"/>
                      <w:b/>
                    </w:rPr>
                    <w:t>程规模</w:t>
                  </w:r>
                </w:p>
              </w:tc>
              <w:tc>
                <w:tcPr>
                  <w:tcW w:w="759" w:type="pct"/>
                  <w:vAlign w:val="center"/>
                </w:tcPr>
                <w:p>
                  <w:pPr>
                    <w:adjustRightInd w:val="0"/>
                    <w:snapToGrid w:val="0"/>
                    <w:jc w:val="center"/>
                    <w:rPr>
                      <w:rFonts w:ascii="Times New Roman" w:hAnsi="Times New Roman" w:eastAsia="宋体"/>
                      <w:b/>
                    </w:rPr>
                  </w:pPr>
                  <w:r>
                    <w:rPr>
                      <w:rFonts w:hint="eastAsia" w:ascii="Times New Roman" w:hAnsi="Times New Roman" w:eastAsia="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Align w:val="center"/>
                </w:tcPr>
                <w:p>
                  <w:pPr>
                    <w:adjustRightInd w:val="0"/>
                    <w:snapToGrid w:val="0"/>
                    <w:jc w:val="center"/>
                    <w:rPr>
                      <w:rFonts w:ascii="Times New Roman" w:hAnsi="Times New Roman" w:eastAsia="宋体"/>
                    </w:rPr>
                  </w:pPr>
                  <w:r>
                    <w:rPr>
                      <w:rFonts w:ascii="Times New Roman" w:hAnsi="Times New Roman" w:eastAsia="宋体"/>
                    </w:rPr>
                    <w:t>主</w:t>
                  </w:r>
                  <w:r>
                    <w:rPr>
                      <w:rFonts w:hint="eastAsia" w:ascii="Times New Roman" w:hAnsi="Times New Roman" w:eastAsia="宋体"/>
                    </w:rPr>
                    <w:t>体</w:t>
                  </w:r>
                  <w:r>
                    <w:rPr>
                      <w:rFonts w:ascii="Times New Roman" w:hAnsi="Times New Roman" w:eastAsia="宋体"/>
                    </w:rPr>
                    <w:t>工程</w:t>
                  </w:r>
                </w:p>
              </w:tc>
              <w:tc>
                <w:tcPr>
                  <w:tcW w:w="828"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生产厂房</w:t>
                  </w:r>
                </w:p>
              </w:tc>
              <w:tc>
                <w:tcPr>
                  <w:tcW w:w="2969" w:type="pct"/>
                  <w:vAlign w:val="center"/>
                </w:tcPr>
                <w:p>
                  <w:pPr>
                    <w:adjustRightInd w:val="0"/>
                    <w:snapToGrid w:val="0"/>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F</w:t>
                  </w:r>
                  <w:r>
                    <w:rPr>
                      <w:rFonts w:hint="eastAsia" w:ascii="Times New Roman" w:hAnsi="Times New Roman" w:eastAsia="宋体" w:cs="Times New Roman"/>
                    </w:rPr>
                    <w:t>，占地面积1</w:t>
                  </w:r>
                  <w:r>
                    <w:rPr>
                      <w:rFonts w:ascii="Times New Roman" w:hAnsi="Times New Roman" w:eastAsia="宋体" w:cs="Times New Roman"/>
                    </w:rPr>
                    <w:t>384</w:t>
                  </w:r>
                  <w:r>
                    <w:rPr>
                      <w:rFonts w:hint="eastAsia" w:ascii="Times New Roman" w:hAnsi="Times New Roman" w:eastAsia="宋体" w:cs="Times New Roman"/>
                    </w:rPr>
                    <w:t>m</w:t>
                  </w:r>
                  <w:r>
                    <w:rPr>
                      <w:rFonts w:ascii="Times New Roman" w:hAnsi="Times New Roman" w:eastAsia="宋体" w:cs="Times New Roman"/>
                      <w:vertAlign w:val="superscript"/>
                    </w:rPr>
                    <w:t>2</w:t>
                  </w:r>
                  <w:r>
                    <w:rPr>
                      <w:rFonts w:hint="eastAsia" w:ascii="Times New Roman" w:hAnsi="Times New Roman" w:eastAsia="宋体" w:cs="Times New Roman"/>
                    </w:rPr>
                    <w:t>，高1</w:t>
                  </w:r>
                  <w:r>
                    <w:rPr>
                      <w:rFonts w:ascii="Times New Roman" w:hAnsi="Times New Roman" w:eastAsia="宋体" w:cs="Times New Roman"/>
                    </w:rPr>
                    <w:t>2</w:t>
                  </w:r>
                  <w:r>
                    <w:rPr>
                      <w:rFonts w:hint="eastAsia" w:ascii="Times New Roman" w:hAnsi="Times New Roman" w:eastAsia="宋体" w:cs="Times New Roman"/>
                    </w:rPr>
                    <w:t>m，内设机械加工间1间、自流平间1间、喷漆间3间、打磨间1间、喷砂间1间、烘干间1间、材料间1间、配料间1间、库房1间、</w:t>
                  </w:r>
                  <w:r>
                    <w:rPr>
                      <w:rFonts w:hint="eastAsia" w:ascii="Times New Roman" w:hAnsi="Times New Roman" w:eastAsia="宋体"/>
                      <w:bCs/>
                    </w:rPr>
                    <w:t>石英砂间</w:t>
                  </w:r>
                  <w:r>
                    <w:rPr>
                      <w:rFonts w:hint="eastAsia" w:ascii="Times New Roman" w:hAnsi="Times New Roman" w:eastAsia="宋体" w:cs="Times New Roman"/>
                    </w:rPr>
                    <w:t>1间</w:t>
                  </w:r>
                  <w:r>
                    <w:rPr>
                      <w:rFonts w:hint="eastAsia" w:ascii="Times New Roman" w:hAnsi="Times New Roman" w:eastAsia="宋体"/>
                      <w:bCs/>
                    </w:rPr>
                    <w:t>、铸钢砂间</w:t>
                  </w:r>
                  <w:r>
                    <w:rPr>
                      <w:rFonts w:hint="eastAsia" w:ascii="Times New Roman" w:hAnsi="Times New Roman" w:eastAsia="宋体" w:cs="Times New Roman"/>
                    </w:rPr>
                    <w:t>1间</w:t>
                  </w:r>
                  <w:r>
                    <w:rPr>
                      <w:rFonts w:hint="eastAsia" w:ascii="Times New Roman" w:hAnsi="Times New Roman" w:eastAsia="宋体"/>
                      <w:bCs/>
                    </w:rPr>
                    <w:t>、</w:t>
                  </w:r>
                  <w:r>
                    <w:rPr>
                      <w:rFonts w:hint="eastAsia" w:ascii="Times New Roman" w:hAnsi="Times New Roman" w:eastAsia="宋体" w:cs="Times New Roman"/>
                    </w:rPr>
                    <w:t>危废间1间等，</w:t>
                  </w:r>
                  <w:r>
                    <w:rPr>
                      <w:rFonts w:ascii="Times New Roman" w:hAnsi="Times New Roman" w:eastAsia="宋体" w:cs="Times New Roman"/>
                    </w:rPr>
                    <w:t>建筑面积</w:t>
                  </w:r>
                  <w:r>
                    <w:rPr>
                      <w:rFonts w:hint="eastAsia" w:ascii="Times New Roman" w:hAnsi="Times New Roman" w:eastAsia="宋体" w:cs="Times New Roman"/>
                    </w:rPr>
                    <w:t>1</w:t>
                  </w:r>
                  <w:r>
                    <w:rPr>
                      <w:rFonts w:ascii="Times New Roman" w:hAnsi="Times New Roman" w:eastAsia="宋体" w:cs="Times New Roman"/>
                    </w:rPr>
                    <w:t>384m</w:t>
                  </w:r>
                  <w:r>
                    <w:rPr>
                      <w:rFonts w:ascii="Times New Roman" w:hAnsi="Times New Roman" w:eastAsia="宋体" w:cs="Times New Roman"/>
                      <w:vertAlign w:val="superscript"/>
                    </w:rPr>
                    <w:t>2</w:t>
                  </w:r>
                  <w:r>
                    <w:rPr>
                      <w:rFonts w:hint="eastAsia" w:ascii="Times New Roman" w:hAnsi="Times New Roman" w:eastAsia="宋体" w:cs="Times New Roman"/>
                    </w:rPr>
                    <w:t>。其中机械加工间布置数控车床，生产工艺为使用车床进行发动机结构件生产；喷漆间布设自动喷涂设备，工艺为发动机结构件及壳体喷漆，涂料包括</w:t>
                  </w:r>
                  <w:r>
                    <w:rPr>
                      <w:rFonts w:hint="eastAsia" w:ascii="Times New Roman" w:hAnsi="Times New Roman" w:eastAsia="宋体" w:cs="Times New Roman"/>
                      <w:kern w:val="0"/>
                    </w:rPr>
                    <w:t>防热涂料、</w:t>
                  </w:r>
                  <w:r>
                    <w:rPr>
                      <w:rFonts w:hint="eastAsia" w:ascii="Times New Roman" w:hAnsi="Times New Roman" w:eastAsia="宋体" w:cs="Times New Roman"/>
                    </w:rPr>
                    <w:t>油性漆、水性漆；喷砂间布设</w:t>
                  </w:r>
                  <w:r>
                    <w:rPr>
                      <w:rFonts w:ascii="Times New Roman" w:hAnsi="Times New Roman" w:eastAsia="宋体"/>
                      <w:bCs/>
                    </w:rPr>
                    <w:t>喷砂机</w:t>
                  </w:r>
                  <w:r>
                    <w:rPr>
                      <w:rFonts w:hint="eastAsia" w:ascii="Times New Roman" w:hAnsi="Times New Roman" w:eastAsia="宋体"/>
                      <w:bCs/>
                    </w:rPr>
                    <w:t>，工艺为喷砂除锈；打磨间布设打磨机及砂纸，用于工件打磨；烘干间布设烘干机，用于涂料烘干。</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厂房租赁，设备新增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Align w:val="center"/>
                </w:tcPr>
                <w:p>
                  <w:pPr>
                    <w:adjustRightInd w:val="0"/>
                    <w:snapToGrid w:val="0"/>
                    <w:jc w:val="center"/>
                    <w:rPr>
                      <w:rFonts w:ascii="Times New Roman" w:hAnsi="Times New Roman" w:eastAsia="宋体"/>
                    </w:rPr>
                  </w:pPr>
                  <w:r>
                    <w:rPr>
                      <w:rFonts w:ascii="Times New Roman" w:hAnsi="Times New Roman" w:eastAsia="宋体"/>
                    </w:rPr>
                    <w:t>辅助工程</w:t>
                  </w:r>
                </w:p>
              </w:tc>
              <w:tc>
                <w:tcPr>
                  <w:tcW w:w="828" w:type="pct"/>
                  <w:vAlign w:val="center"/>
                </w:tcPr>
                <w:p>
                  <w:pPr>
                    <w:adjustRightInd w:val="0"/>
                    <w:snapToGrid w:val="0"/>
                    <w:jc w:val="center"/>
                    <w:rPr>
                      <w:rFonts w:ascii="Times New Roman" w:hAnsi="Times New Roman" w:eastAsia="宋体"/>
                    </w:rPr>
                  </w:pPr>
                  <w:r>
                    <w:rPr>
                      <w:rFonts w:hint="eastAsia" w:ascii="Times New Roman" w:hAnsi="Times New Roman" w:eastAsia="宋体"/>
                    </w:rPr>
                    <w:t>办公楼</w:t>
                  </w:r>
                </w:p>
              </w:tc>
              <w:tc>
                <w:tcPr>
                  <w:tcW w:w="2969" w:type="pct"/>
                  <w:vAlign w:val="center"/>
                </w:tcPr>
                <w:p>
                  <w:pPr>
                    <w:adjustRightInd w:val="0"/>
                    <w:snapToGrid w:val="0"/>
                    <w:rPr>
                      <w:rFonts w:ascii="Times New Roman" w:hAnsi="Times New Roman" w:eastAsia="宋体" w:cs="Times New Roman"/>
                    </w:rPr>
                  </w:pPr>
                  <w:r>
                    <w:rPr>
                      <w:rFonts w:ascii="Times New Roman" w:hAnsi="Times New Roman" w:eastAsia="宋体" w:cs="Times New Roman"/>
                    </w:rPr>
                    <w:t>3F</w:t>
                  </w:r>
                  <w:r>
                    <w:rPr>
                      <w:rFonts w:hint="eastAsia" w:ascii="Times New Roman" w:hAnsi="Times New Roman" w:eastAsia="宋体" w:cs="Times New Roman"/>
                    </w:rPr>
                    <w:t>，占地面积</w:t>
                  </w:r>
                  <w:r>
                    <w:rPr>
                      <w:rFonts w:ascii="Times New Roman" w:hAnsi="Times New Roman" w:eastAsia="宋体" w:cs="Times New Roman"/>
                    </w:rPr>
                    <w:t>586</w:t>
                  </w:r>
                  <w:r>
                    <w:rPr>
                      <w:rFonts w:hint="eastAsia" w:ascii="Times New Roman" w:hAnsi="Times New Roman" w:eastAsia="宋体" w:cs="Times New Roman"/>
                    </w:rPr>
                    <w:t>m</w:t>
                  </w:r>
                  <w:r>
                    <w:rPr>
                      <w:rFonts w:ascii="Times New Roman" w:hAnsi="Times New Roman" w:eastAsia="宋体" w:cs="Times New Roman"/>
                      <w:vertAlign w:val="superscript"/>
                    </w:rPr>
                    <w:t>2</w:t>
                  </w:r>
                  <w:r>
                    <w:rPr>
                      <w:rFonts w:hint="eastAsia" w:ascii="Times New Roman" w:hAnsi="Times New Roman" w:eastAsia="宋体" w:cs="Times New Roman"/>
                    </w:rPr>
                    <w:t>，高1</w:t>
                  </w:r>
                  <w:r>
                    <w:rPr>
                      <w:rFonts w:ascii="Times New Roman" w:hAnsi="Times New Roman" w:eastAsia="宋体" w:cs="Times New Roman"/>
                    </w:rPr>
                    <w:t>0.7</w:t>
                  </w:r>
                  <w:r>
                    <w:rPr>
                      <w:rFonts w:hint="eastAsia" w:ascii="Times New Roman" w:hAnsi="Times New Roman" w:eastAsia="宋体" w:cs="Times New Roman"/>
                    </w:rPr>
                    <w:t>m，用于员工办公及住宿。</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restart"/>
                  <w:vAlign w:val="center"/>
                </w:tcPr>
                <w:p>
                  <w:pPr>
                    <w:adjustRightInd w:val="0"/>
                    <w:snapToGrid w:val="0"/>
                    <w:jc w:val="center"/>
                    <w:rPr>
                      <w:rFonts w:ascii="Times New Roman" w:hAnsi="Times New Roman" w:eastAsia="宋体"/>
                    </w:rPr>
                  </w:pPr>
                  <w:r>
                    <w:rPr>
                      <w:rFonts w:ascii="Times New Roman" w:hAnsi="Times New Roman" w:eastAsia="宋体"/>
                    </w:rPr>
                    <w:t>公用工程</w:t>
                  </w:r>
                </w:p>
              </w:tc>
              <w:tc>
                <w:tcPr>
                  <w:tcW w:w="828" w:type="pct"/>
                  <w:vAlign w:val="center"/>
                </w:tcPr>
                <w:p>
                  <w:pPr>
                    <w:adjustRightInd w:val="0"/>
                    <w:snapToGrid w:val="0"/>
                    <w:jc w:val="center"/>
                    <w:rPr>
                      <w:rFonts w:ascii="Times New Roman" w:hAnsi="Times New Roman" w:eastAsia="宋体"/>
                    </w:rPr>
                  </w:pPr>
                  <w:r>
                    <w:rPr>
                      <w:rFonts w:hint="eastAsia" w:ascii="Times New Roman" w:hAnsi="Times New Roman" w:eastAsia="宋体"/>
                    </w:rPr>
                    <w:t>给水</w:t>
                  </w:r>
                </w:p>
              </w:tc>
              <w:tc>
                <w:tcPr>
                  <w:tcW w:w="2969" w:type="pct"/>
                  <w:vAlign w:val="center"/>
                </w:tcPr>
                <w:p>
                  <w:pPr>
                    <w:adjustRightInd w:val="0"/>
                    <w:snapToGrid w:val="0"/>
                    <w:rPr>
                      <w:rFonts w:ascii="Times New Roman" w:hAnsi="Times New Roman" w:eastAsia="宋体" w:cs="Times New Roman"/>
                    </w:rPr>
                  </w:pPr>
                  <w:r>
                    <w:rPr>
                      <w:rFonts w:hint="eastAsia" w:ascii="Times New Roman" w:hAnsi="Times New Roman" w:eastAsia="宋体" w:cs="Times New Roman"/>
                    </w:rPr>
                    <w:t>生活用水和生产用水均由园区给水管网集中供给</w:t>
                  </w:r>
                  <w:r>
                    <w:rPr>
                      <w:rFonts w:ascii="Times New Roman" w:hAnsi="Times New Roman" w:eastAsia="宋体" w:cs="Times New Roman"/>
                    </w:rPr>
                    <w:t>。</w:t>
                  </w:r>
                </w:p>
              </w:tc>
              <w:tc>
                <w:tcPr>
                  <w:tcW w:w="759" w:type="pct"/>
                  <w:vAlign w:val="center"/>
                </w:tcPr>
                <w:p>
                  <w:pPr>
                    <w:adjustRightInd w:val="0"/>
                    <w:snapToGrid w:val="0"/>
                    <w:jc w:val="center"/>
                    <w:rPr>
                      <w:rFonts w:ascii="Times New Roman" w:hAnsi="Times New Roman" w:eastAsia="宋体"/>
                      <w:spacing w:val="-6"/>
                    </w:rPr>
                  </w:pPr>
                  <w:r>
                    <w:rPr>
                      <w:rFonts w:hint="eastAsia" w:ascii="Times New Roman" w:hAnsi="Times New Roman" w:eastAsia="宋体"/>
                    </w:rPr>
                    <w:t>依托园区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Align w:val="center"/>
                </w:tcPr>
                <w:p>
                  <w:pPr>
                    <w:adjustRightInd w:val="0"/>
                    <w:snapToGrid w:val="0"/>
                    <w:jc w:val="center"/>
                    <w:rPr>
                      <w:rFonts w:ascii="Times New Roman" w:hAnsi="Times New Roman" w:eastAsia="宋体"/>
                    </w:rPr>
                  </w:pPr>
                  <w:r>
                    <w:rPr>
                      <w:rFonts w:hint="eastAsia" w:ascii="Times New Roman" w:hAnsi="Times New Roman" w:eastAsia="宋体"/>
                    </w:rPr>
                    <w:t>排水</w:t>
                  </w:r>
                </w:p>
              </w:tc>
              <w:tc>
                <w:tcPr>
                  <w:tcW w:w="2969" w:type="pct"/>
                  <w:vAlign w:val="center"/>
                </w:tcPr>
                <w:p>
                  <w:pPr>
                    <w:adjustRightInd w:val="0"/>
                    <w:snapToGrid w:val="0"/>
                    <w:rPr>
                      <w:rFonts w:ascii="Times New Roman" w:hAnsi="Times New Roman" w:eastAsia="宋体" w:cs="Times New Roman"/>
                    </w:rPr>
                  </w:pPr>
                  <w:r>
                    <w:rPr>
                      <w:rFonts w:hint="eastAsia" w:ascii="Times New Roman" w:hAnsi="Times New Roman" w:eastAsia="宋体"/>
                    </w:rPr>
                    <w:t>采取雨污分流，雨水排入园区雨水管道最终排入灞河，</w:t>
                  </w:r>
                  <w:r>
                    <w:rPr>
                      <w:rFonts w:hint="eastAsia" w:ascii="Times New Roman" w:hAnsi="Times New Roman" w:eastAsia="宋体" w:cs="Times New Roman"/>
                    </w:rPr>
                    <w:t>项目无生产废水产生；</w:t>
                  </w:r>
                  <w:r>
                    <w:rPr>
                      <w:rFonts w:hint="eastAsia" w:ascii="Times New Roman" w:hAnsi="Times New Roman" w:eastAsia="宋体"/>
                    </w:rPr>
                    <w:t>生活污水</w:t>
                  </w:r>
                  <w:bookmarkStart w:id="4" w:name="_Hlk155604872"/>
                  <w:r>
                    <w:rPr>
                      <w:rFonts w:hint="eastAsia" w:ascii="Times New Roman" w:hAnsi="Times New Roman" w:eastAsia="宋体"/>
                    </w:rPr>
                    <w:t>经厂内化粪池处理后通过园区污水管网排入蓝田工业园（洩湖镇）污水处理站</w:t>
                  </w:r>
                  <w:bookmarkEnd w:id="4"/>
                  <w:r>
                    <w:rPr>
                      <w:rFonts w:hint="eastAsia" w:ascii="Times New Roman" w:hAnsi="Times New Roman" w:eastAsia="宋体" w:cs="Times New Roman"/>
                    </w:rPr>
                    <w:t>。</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新建化粪池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Align w:val="center"/>
                </w:tcPr>
                <w:p>
                  <w:pPr>
                    <w:adjustRightInd w:val="0"/>
                    <w:snapToGrid w:val="0"/>
                    <w:jc w:val="center"/>
                    <w:rPr>
                      <w:rFonts w:ascii="Times New Roman" w:hAnsi="Times New Roman" w:eastAsia="宋体"/>
                    </w:rPr>
                  </w:pPr>
                  <w:r>
                    <w:rPr>
                      <w:rFonts w:ascii="Times New Roman" w:hAnsi="Times New Roman" w:eastAsia="宋体"/>
                    </w:rPr>
                    <w:t>供电</w:t>
                  </w:r>
                </w:p>
              </w:tc>
              <w:tc>
                <w:tcPr>
                  <w:tcW w:w="2969" w:type="pct"/>
                  <w:vAlign w:val="center"/>
                </w:tcPr>
                <w:p>
                  <w:pPr>
                    <w:adjustRightInd w:val="0"/>
                    <w:snapToGrid w:val="0"/>
                    <w:rPr>
                      <w:rFonts w:ascii="Times New Roman" w:hAnsi="Times New Roman" w:eastAsia="宋体" w:cs="Times New Roman"/>
                    </w:rPr>
                  </w:pPr>
                  <w:r>
                    <w:rPr>
                      <w:rFonts w:hint="eastAsia" w:ascii="Times New Roman" w:hAnsi="Times New Roman" w:eastAsia="宋体" w:cs="Times New Roman"/>
                    </w:rPr>
                    <w:t>园区电网接入。</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依托园区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Align w:val="center"/>
                </w:tcPr>
                <w:p>
                  <w:pPr>
                    <w:adjustRightInd w:val="0"/>
                    <w:snapToGrid w:val="0"/>
                    <w:jc w:val="center"/>
                    <w:rPr>
                      <w:rFonts w:ascii="Times New Roman" w:hAnsi="Times New Roman" w:eastAsia="宋体"/>
                      <w:spacing w:val="-6"/>
                    </w:rPr>
                  </w:pPr>
                  <w:r>
                    <w:rPr>
                      <w:rFonts w:hint="eastAsia" w:ascii="Times New Roman" w:hAnsi="Times New Roman" w:eastAsia="宋体"/>
                      <w:spacing w:val="-6"/>
                    </w:rPr>
                    <w:t>供热、制冷</w:t>
                  </w:r>
                </w:p>
              </w:tc>
              <w:tc>
                <w:tcPr>
                  <w:tcW w:w="2969" w:type="pct"/>
                  <w:vAlign w:val="center"/>
                </w:tcPr>
                <w:p>
                  <w:pPr>
                    <w:adjustRightInd w:val="0"/>
                    <w:snapToGrid w:val="0"/>
                    <w:rPr>
                      <w:rFonts w:ascii="Times New Roman" w:hAnsi="Times New Roman" w:eastAsia="宋体" w:cs="Times New Roman"/>
                      <w:spacing w:val="-6"/>
                    </w:rPr>
                  </w:pPr>
                  <w:r>
                    <w:rPr>
                      <w:rFonts w:hint="eastAsia" w:ascii="Times New Roman" w:hAnsi="Times New Roman" w:eastAsia="宋体" w:cs="Times New Roman"/>
                      <w:spacing w:val="-6"/>
                    </w:rPr>
                    <w:t>供暖、</w:t>
                  </w:r>
                  <w:r>
                    <w:rPr>
                      <w:rFonts w:ascii="Times New Roman" w:hAnsi="Times New Roman" w:eastAsia="宋体" w:cs="Times New Roman"/>
                      <w:spacing w:val="-6"/>
                    </w:rPr>
                    <w:t>制冷采用空调机组</w:t>
                  </w:r>
                  <w:r>
                    <w:rPr>
                      <w:rFonts w:hint="eastAsia" w:ascii="Times New Roman" w:hAnsi="Times New Roman" w:eastAsia="宋体" w:cs="Times New Roman"/>
                      <w:spacing w:val="-6"/>
                    </w:rPr>
                    <w:t>。生产用热为电加热方式。</w:t>
                  </w:r>
                </w:p>
              </w:tc>
              <w:tc>
                <w:tcPr>
                  <w:tcW w:w="759" w:type="pct"/>
                  <w:vAlign w:val="center"/>
                </w:tcPr>
                <w:p>
                  <w:pPr>
                    <w:adjustRightInd w:val="0"/>
                    <w:snapToGrid w:val="0"/>
                    <w:jc w:val="center"/>
                    <w:rPr>
                      <w:rFonts w:ascii="Times New Roman" w:hAnsi="Times New Roman" w:eastAsia="宋体"/>
                      <w:spacing w:val="-6"/>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restart"/>
                  <w:vAlign w:val="center"/>
                </w:tcPr>
                <w:p>
                  <w:pPr>
                    <w:adjustRightInd w:val="0"/>
                    <w:snapToGrid w:val="0"/>
                    <w:jc w:val="center"/>
                    <w:rPr>
                      <w:rFonts w:ascii="Times New Roman" w:hAnsi="Times New Roman" w:eastAsia="宋体"/>
                    </w:rPr>
                  </w:pPr>
                  <w:r>
                    <w:rPr>
                      <w:rFonts w:hint="eastAsia" w:ascii="Times New Roman" w:hAnsi="Times New Roman" w:eastAsia="宋体"/>
                    </w:rPr>
                    <w:t>储运工程</w:t>
                  </w:r>
                </w:p>
              </w:tc>
              <w:tc>
                <w:tcPr>
                  <w:tcW w:w="828" w:type="pct"/>
                  <w:vAlign w:val="center"/>
                </w:tcPr>
                <w:p>
                  <w:pPr>
                    <w:adjustRightInd w:val="0"/>
                    <w:snapToGrid w:val="0"/>
                    <w:jc w:val="center"/>
                    <w:rPr>
                      <w:rFonts w:ascii="Times New Roman" w:hAnsi="Times New Roman" w:eastAsia="宋体"/>
                    </w:rPr>
                  </w:pPr>
                  <w:r>
                    <w:rPr>
                      <w:rFonts w:hint="eastAsia" w:ascii="Times New Roman" w:hAnsi="Times New Roman" w:eastAsia="宋体"/>
                      <w:bCs/>
                    </w:rPr>
                    <w:t>材料间</w:t>
                  </w:r>
                </w:p>
              </w:tc>
              <w:tc>
                <w:tcPr>
                  <w:tcW w:w="2969" w:type="pct"/>
                  <w:vAlign w:val="center"/>
                </w:tcPr>
                <w:p>
                  <w:pPr>
                    <w:adjustRightInd w:val="0"/>
                    <w:snapToGrid w:val="0"/>
                    <w:rPr>
                      <w:rFonts w:ascii="Times New Roman" w:hAnsi="Times New Roman" w:eastAsia="宋体" w:cs="Times New Roman"/>
                    </w:rPr>
                  </w:pPr>
                  <w:r>
                    <w:rPr>
                      <w:rFonts w:ascii="Times New Roman" w:hAnsi="Times New Roman" w:eastAsia="宋体" w:cs="Times New Roman"/>
                    </w:rPr>
                    <w:t>建筑面积13m</w:t>
                  </w:r>
                  <w:r>
                    <w:rPr>
                      <w:rFonts w:ascii="Times New Roman" w:hAnsi="Times New Roman" w:eastAsia="宋体" w:cs="Times New Roman"/>
                      <w:vertAlign w:val="superscript"/>
                    </w:rPr>
                    <w:t>2</w:t>
                  </w:r>
                  <w:r>
                    <w:rPr>
                      <w:rFonts w:ascii="Times New Roman" w:hAnsi="Times New Roman" w:eastAsia="宋体" w:cs="Times New Roman"/>
                    </w:rPr>
                    <w:t>，钢结构，</w:t>
                  </w:r>
                  <w:r>
                    <w:rPr>
                      <w:rFonts w:hint="eastAsia" w:ascii="Times New Roman" w:hAnsi="Times New Roman" w:eastAsia="宋体" w:cs="Times New Roman"/>
                    </w:rPr>
                    <w:t>为封闭房间，</w:t>
                  </w:r>
                  <w:r>
                    <w:rPr>
                      <w:rFonts w:ascii="Times New Roman" w:hAnsi="Times New Roman" w:eastAsia="宋体" w:cs="Times New Roman"/>
                    </w:rPr>
                    <w:t>位于</w:t>
                  </w:r>
                  <w:r>
                    <w:rPr>
                      <w:rFonts w:hint="eastAsia" w:ascii="Times New Roman" w:hAnsi="Times New Roman" w:eastAsia="宋体" w:cs="Times New Roman"/>
                    </w:rPr>
                    <w:t>生产厂房内东侧，用于存放涂料、机油、切削液，采取密封包装桶储存。</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石英砂间</w:t>
                  </w:r>
                </w:p>
              </w:tc>
              <w:tc>
                <w:tcPr>
                  <w:tcW w:w="2969" w:type="pct"/>
                  <w:vAlign w:val="center"/>
                </w:tcPr>
                <w:p>
                  <w:pPr>
                    <w:adjustRightInd w:val="0"/>
                    <w:snapToGrid w:val="0"/>
                    <w:rPr>
                      <w:rFonts w:ascii="Times New Roman" w:hAnsi="Times New Roman" w:eastAsia="宋体" w:cs="Times New Roman"/>
                    </w:rPr>
                  </w:pPr>
                  <w:r>
                    <w:rPr>
                      <w:rFonts w:ascii="Times New Roman" w:hAnsi="Times New Roman" w:eastAsia="宋体" w:cs="Times New Roman"/>
                    </w:rPr>
                    <w:t>建筑面积5m</w:t>
                  </w:r>
                  <w:r>
                    <w:rPr>
                      <w:rFonts w:ascii="Times New Roman" w:hAnsi="Times New Roman" w:eastAsia="宋体" w:cs="Times New Roman"/>
                      <w:vertAlign w:val="superscript"/>
                    </w:rPr>
                    <w:t>2</w:t>
                  </w:r>
                  <w:r>
                    <w:rPr>
                      <w:rFonts w:ascii="Times New Roman" w:hAnsi="Times New Roman" w:eastAsia="宋体" w:cs="Times New Roman"/>
                    </w:rPr>
                    <w:t>，钢结构，位于</w:t>
                  </w:r>
                  <w:r>
                    <w:rPr>
                      <w:rFonts w:hint="eastAsia" w:ascii="Times New Roman" w:hAnsi="Times New Roman" w:eastAsia="宋体" w:cs="Times New Roman"/>
                    </w:rPr>
                    <w:t>生产厂房内西侧，放置石英砂。</w:t>
                  </w:r>
                </w:p>
              </w:tc>
              <w:tc>
                <w:tcPr>
                  <w:tcW w:w="759" w:type="pct"/>
                  <w:vAlign w:val="center"/>
                </w:tcPr>
                <w:p>
                  <w:pPr>
                    <w:adjustRightInd w:val="0"/>
                    <w:snapToGrid w:val="0"/>
                    <w:jc w:val="center"/>
                    <w:rPr>
                      <w:rFonts w:ascii="Times New Roman" w:hAnsi="Times New Roman" w:eastAsia="宋体"/>
                      <w:bCs/>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铸钢砂间</w:t>
                  </w:r>
                </w:p>
              </w:tc>
              <w:tc>
                <w:tcPr>
                  <w:tcW w:w="2969" w:type="pct"/>
                  <w:vAlign w:val="center"/>
                </w:tcPr>
                <w:p>
                  <w:pPr>
                    <w:adjustRightInd w:val="0"/>
                    <w:snapToGrid w:val="0"/>
                    <w:rPr>
                      <w:rFonts w:ascii="Times New Roman" w:hAnsi="Times New Roman" w:eastAsia="宋体" w:cs="Times New Roman"/>
                    </w:rPr>
                  </w:pPr>
                  <w:r>
                    <w:rPr>
                      <w:rFonts w:ascii="Times New Roman" w:hAnsi="Times New Roman" w:eastAsia="宋体" w:cs="Times New Roman"/>
                    </w:rPr>
                    <w:t>建筑面积5m</w:t>
                  </w:r>
                  <w:r>
                    <w:rPr>
                      <w:rFonts w:ascii="Times New Roman" w:hAnsi="Times New Roman" w:eastAsia="宋体" w:cs="Times New Roman"/>
                      <w:vertAlign w:val="superscript"/>
                    </w:rPr>
                    <w:t>2</w:t>
                  </w:r>
                  <w:r>
                    <w:rPr>
                      <w:rFonts w:ascii="Times New Roman" w:hAnsi="Times New Roman" w:eastAsia="宋体" w:cs="Times New Roman"/>
                    </w:rPr>
                    <w:t>，钢结构，位于</w:t>
                  </w:r>
                  <w:r>
                    <w:rPr>
                      <w:rFonts w:hint="eastAsia" w:ascii="Times New Roman" w:hAnsi="Times New Roman" w:eastAsia="宋体" w:cs="Times New Roman"/>
                    </w:rPr>
                    <w:t>生产厂房内西侧，放置</w:t>
                  </w:r>
                  <w:r>
                    <w:rPr>
                      <w:rFonts w:hint="eastAsia" w:ascii="Times New Roman" w:hAnsi="Times New Roman" w:eastAsia="宋体" w:cs="Times New Roman"/>
                      <w:kern w:val="0"/>
                    </w:rPr>
                    <w:t>金属砂砾</w:t>
                  </w:r>
                  <w:r>
                    <w:rPr>
                      <w:rFonts w:hint="eastAsia" w:ascii="Times New Roman" w:hAnsi="Times New Roman" w:eastAsia="宋体" w:cs="Times New Roman"/>
                    </w:rPr>
                    <w:t>。</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Align w:val="center"/>
                </w:tcPr>
                <w:p>
                  <w:pPr>
                    <w:adjustRightInd w:val="0"/>
                    <w:snapToGrid w:val="0"/>
                    <w:jc w:val="center"/>
                    <w:rPr>
                      <w:rFonts w:ascii="Times New Roman" w:hAnsi="Times New Roman" w:eastAsia="宋体"/>
                      <w:bCs/>
                    </w:rPr>
                  </w:pPr>
                  <w:r>
                    <w:rPr>
                      <w:rFonts w:hint="eastAsia" w:ascii="Times New Roman" w:hAnsi="Times New Roman" w:eastAsia="宋体" w:cs="Times New Roman"/>
                    </w:rPr>
                    <w:t>库房</w:t>
                  </w:r>
                </w:p>
              </w:tc>
              <w:tc>
                <w:tcPr>
                  <w:tcW w:w="2969" w:type="pct"/>
                  <w:vAlign w:val="center"/>
                </w:tcPr>
                <w:p>
                  <w:pPr>
                    <w:adjustRightInd w:val="0"/>
                    <w:snapToGrid w:val="0"/>
                    <w:rPr>
                      <w:rFonts w:ascii="Times New Roman" w:hAnsi="Times New Roman" w:eastAsia="宋体" w:cs="Times New Roman"/>
                    </w:rPr>
                  </w:pPr>
                  <w:r>
                    <w:rPr>
                      <w:rFonts w:ascii="Times New Roman" w:hAnsi="Times New Roman" w:eastAsia="宋体" w:cs="Times New Roman"/>
                    </w:rPr>
                    <w:t>建筑面积17m</w:t>
                  </w:r>
                  <w:r>
                    <w:rPr>
                      <w:rFonts w:ascii="Times New Roman" w:hAnsi="Times New Roman" w:eastAsia="宋体" w:cs="Times New Roman"/>
                      <w:vertAlign w:val="superscript"/>
                    </w:rPr>
                    <w:t>2</w:t>
                  </w:r>
                  <w:r>
                    <w:rPr>
                      <w:rFonts w:ascii="Times New Roman" w:hAnsi="Times New Roman" w:eastAsia="宋体" w:cs="Times New Roman"/>
                    </w:rPr>
                    <w:t>，钢结构，位于</w:t>
                  </w:r>
                  <w:r>
                    <w:rPr>
                      <w:rFonts w:hint="eastAsia" w:ascii="Times New Roman" w:hAnsi="Times New Roman" w:eastAsia="宋体" w:cs="Times New Roman"/>
                    </w:rPr>
                    <w:t>生产厂房内西侧，主要存放维修工具。</w:t>
                  </w:r>
                </w:p>
              </w:tc>
              <w:tc>
                <w:tcPr>
                  <w:tcW w:w="759" w:type="pct"/>
                  <w:vAlign w:val="center"/>
                </w:tcPr>
                <w:p>
                  <w:pPr>
                    <w:adjustRightInd w:val="0"/>
                    <w:snapToGrid w:val="0"/>
                    <w:jc w:val="center"/>
                    <w:rPr>
                      <w:rFonts w:ascii="Times New Roman" w:hAnsi="Times New Roman" w:eastAsia="宋体"/>
                      <w:bCs/>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Align w:val="center"/>
                </w:tcPr>
                <w:p>
                  <w:pPr>
                    <w:adjustRightInd w:val="0"/>
                    <w:snapToGrid w:val="0"/>
                    <w:jc w:val="center"/>
                    <w:rPr>
                      <w:rFonts w:ascii="Times New Roman" w:hAnsi="Times New Roman" w:eastAsia="宋体"/>
                    </w:rPr>
                  </w:pPr>
                  <w:r>
                    <w:rPr>
                      <w:rFonts w:ascii="Times New Roman" w:hAnsi="Times New Roman" w:eastAsia="宋体" w:cs="Times New Roman"/>
                    </w:rPr>
                    <w:t>运输</w:t>
                  </w:r>
                </w:p>
              </w:tc>
              <w:tc>
                <w:tcPr>
                  <w:tcW w:w="2969" w:type="pct"/>
                  <w:vAlign w:val="center"/>
                </w:tcPr>
                <w:p>
                  <w:pPr>
                    <w:adjustRightInd w:val="0"/>
                    <w:snapToGrid w:val="0"/>
                    <w:jc w:val="left"/>
                    <w:rPr>
                      <w:rFonts w:ascii="Times New Roman" w:hAnsi="Times New Roman" w:eastAsia="宋体" w:cs="Times New Roman"/>
                    </w:rPr>
                  </w:pPr>
                  <w:r>
                    <w:rPr>
                      <w:rFonts w:ascii="Times New Roman" w:hAnsi="Times New Roman" w:eastAsia="宋体" w:cs="Times New Roman"/>
                    </w:rPr>
                    <w:t>原料和成品均采用汽车运输。</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444" w:type="pct"/>
                  <w:vMerge w:val="restart"/>
                  <w:vAlign w:val="center"/>
                </w:tcPr>
                <w:p>
                  <w:pPr>
                    <w:adjustRightInd w:val="0"/>
                    <w:snapToGrid w:val="0"/>
                    <w:jc w:val="center"/>
                    <w:rPr>
                      <w:rFonts w:ascii="Times New Roman" w:hAnsi="Times New Roman" w:eastAsia="宋体"/>
                    </w:rPr>
                  </w:pPr>
                  <w:r>
                    <w:rPr>
                      <w:rFonts w:ascii="Times New Roman" w:hAnsi="Times New Roman" w:eastAsia="宋体"/>
                    </w:rPr>
                    <w:t>环保工程</w:t>
                  </w:r>
                </w:p>
              </w:tc>
              <w:tc>
                <w:tcPr>
                  <w:tcW w:w="828" w:type="pct"/>
                  <w:vAlign w:val="center"/>
                </w:tcPr>
                <w:p>
                  <w:pPr>
                    <w:adjustRightInd w:val="0"/>
                    <w:snapToGrid w:val="0"/>
                    <w:jc w:val="center"/>
                    <w:rPr>
                      <w:rFonts w:ascii="Times New Roman" w:hAnsi="Times New Roman" w:eastAsia="宋体"/>
                    </w:rPr>
                  </w:pPr>
                  <w:r>
                    <w:rPr>
                      <w:rFonts w:hint="eastAsia" w:ascii="Times New Roman" w:hAnsi="Times New Roman" w:eastAsia="宋体"/>
                    </w:rPr>
                    <w:t>废气</w:t>
                  </w:r>
                </w:p>
              </w:tc>
              <w:tc>
                <w:tcPr>
                  <w:tcW w:w="2969" w:type="pct"/>
                  <w:vAlign w:val="center"/>
                </w:tcPr>
                <w:p>
                  <w:pPr>
                    <w:adjustRightInd w:val="0"/>
                    <w:snapToGrid w:val="0"/>
                    <w:rPr>
                      <w:rFonts w:ascii="Times New Roman" w:hAnsi="Times New Roman" w:eastAsia="宋体"/>
                    </w:rPr>
                  </w:pPr>
                  <w:r>
                    <w:rPr>
                      <w:rFonts w:hint="eastAsia" w:ascii="Times New Roman" w:hAnsi="Times New Roman" w:eastAsia="宋体"/>
                    </w:rPr>
                    <w:t>（1）喷砂、抛丸、打磨粉尘经管道负压收集后经脉冲除尘器处理后由</w:t>
                  </w:r>
                  <w:r>
                    <w:rPr>
                      <w:rFonts w:ascii="Times New Roman" w:hAnsi="Times New Roman" w:eastAsia="宋体"/>
                    </w:rPr>
                    <w:t>17m</w:t>
                  </w:r>
                  <w:r>
                    <w:rPr>
                      <w:rFonts w:hint="eastAsia" w:ascii="Times New Roman" w:hAnsi="Times New Roman" w:eastAsia="宋体"/>
                    </w:rPr>
                    <w:t>排气筒（DA0</w:t>
                  </w:r>
                  <w:r>
                    <w:rPr>
                      <w:rFonts w:ascii="Times New Roman" w:hAnsi="Times New Roman" w:eastAsia="宋体"/>
                    </w:rPr>
                    <w:t>01</w:t>
                  </w:r>
                  <w:r>
                    <w:rPr>
                      <w:rFonts w:hint="eastAsia" w:ascii="Times New Roman" w:hAnsi="Times New Roman" w:eastAsia="宋体"/>
                    </w:rPr>
                    <w:t>）；</w:t>
                  </w:r>
                </w:p>
                <w:p>
                  <w:pPr>
                    <w:adjustRightInd w:val="0"/>
                    <w:snapToGrid w:val="0"/>
                    <w:rPr>
                      <w:rFonts w:ascii="Times New Roman" w:hAnsi="Times New Roman" w:eastAsia="宋体" w:cs="Times New Roman"/>
                    </w:rPr>
                  </w:pPr>
                  <w:r>
                    <w:rPr>
                      <w:rFonts w:hint="eastAsia" w:ascii="Times New Roman" w:hAnsi="Times New Roman" w:eastAsia="宋体"/>
                    </w:rPr>
                    <w:t>（2）清理、配料、喷涂、烘干废气经管道负压收集后经干式过滤器+吸附脱附催化燃烧废气处理装置处理后由17</w:t>
                  </w:r>
                  <w:r>
                    <w:rPr>
                      <w:rFonts w:ascii="Times New Roman" w:hAnsi="Times New Roman" w:eastAsia="宋体"/>
                    </w:rPr>
                    <w:t>m</w:t>
                  </w:r>
                  <w:r>
                    <w:rPr>
                      <w:rFonts w:hint="eastAsia" w:ascii="Times New Roman" w:hAnsi="Times New Roman" w:eastAsia="宋体"/>
                    </w:rPr>
                    <w:t>排气筒（DA0</w:t>
                  </w:r>
                  <w:r>
                    <w:rPr>
                      <w:rFonts w:ascii="Times New Roman" w:hAnsi="Times New Roman" w:eastAsia="宋体"/>
                    </w:rPr>
                    <w:t>02</w:t>
                  </w:r>
                  <w:r>
                    <w:rPr>
                      <w:rFonts w:hint="eastAsia" w:ascii="Times New Roman" w:hAnsi="Times New Roman" w:eastAsia="宋体"/>
                    </w:rPr>
                    <w:t>）。</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Align w:val="center"/>
                </w:tcPr>
                <w:p>
                  <w:pPr>
                    <w:adjustRightInd w:val="0"/>
                    <w:snapToGrid w:val="0"/>
                    <w:jc w:val="center"/>
                    <w:rPr>
                      <w:rFonts w:ascii="Times New Roman" w:hAnsi="Times New Roman" w:eastAsia="宋体"/>
                    </w:rPr>
                  </w:pPr>
                  <w:r>
                    <w:rPr>
                      <w:rFonts w:hint="eastAsia" w:ascii="Times New Roman" w:hAnsi="Times New Roman" w:eastAsia="宋体" w:cs="Times New Roman"/>
                    </w:rPr>
                    <w:t>废水</w:t>
                  </w:r>
                </w:p>
              </w:tc>
              <w:tc>
                <w:tcPr>
                  <w:tcW w:w="2969" w:type="pct"/>
                  <w:vAlign w:val="center"/>
                </w:tcPr>
                <w:p>
                  <w:pPr>
                    <w:adjustRightInd w:val="0"/>
                    <w:snapToGrid w:val="0"/>
                    <w:rPr>
                      <w:rFonts w:ascii="Times New Roman" w:hAnsi="Times New Roman" w:eastAsia="宋体" w:cs="Times New Roman"/>
                      <w:caps/>
                    </w:rPr>
                  </w:pPr>
                  <w:r>
                    <w:rPr>
                      <w:rFonts w:hint="eastAsia" w:ascii="Times New Roman" w:hAnsi="Times New Roman" w:eastAsia="宋体" w:cs="Times New Roman"/>
                    </w:rPr>
                    <w:t>无生产废水产生，</w:t>
                  </w:r>
                  <w:r>
                    <w:rPr>
                      <w:rFonts w:hint="eastAsia" w:ascii="Times New Roman" w:hAnsi="Times New Roman" w:eastAsia="宋体"/>
                    </w:rPr>
                    <w:t>生活污水经厂内化粪池处理后通过园区污水管网排入蓝田工业园（洩湖镇）污水处理站</w:t>
                  </w:r>
                  <w:r>
                    <w:rPr>
                      <w:rFonts w:hint="eastAsia" w:ascii="Times New Roman" w:hAnsi="Times New Roman" w:eastAsia="宋体" w:cs="Times New Roman"/>
                    </w:rPr>
                    <w:t>。</w:t>
                  </w:r>
                </w:p>
              </w:tc>
              <w:tc>
                <w:tcPr>
                  <w:tcW w:w="759" w:type="pct"/>
                  <w:vAlign w:val="center"/>
                </w:tcPr>
                <w:p>
                  <w:pPr>
                    <w:adjustRightInd w:val="0"/>
                    <w:snapToGrid w:val="0"/>
                    <w:jc w:val="center"/>
                    <w:rPr>
                      <w:rFonts w:ascii="Times New Roman" w:hAnsi="Times New Roman" w:eastAsia="宋体"/>
                      <w:bCs/>
                    </w:rPr>
                  </w:pPr>
                  <w:r>
                    <w:rPr>
                      <w:rFonts w:hint="eastAsia" w:ascii="Times New Roman" w:hAnsi="Times New Roman" w:eastAsia="宋体"/>
                    </w:rPr>
                    <w:t>新建化粪池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Align w:val="center"/>
                </w:tcPr>
                <w:p>
                  <w:pPr>
                    <w:adjustRightInd w:val="0"/>
                    <w:snapToGrid w:val="0"/>
                    <w:jc w:val="center"/>
                    <w:rPr>
                      <w:rFonts w:ascii="Times New Roman" w:hAnsi="Times New Roman" w:eastAsia="宋体"/>
                    </w:rPr>
                  </w:pPr>
                  <w:r>
                    <w:rPr>
                      <w:rFonts w:ascii="Times New Roman" w:hAnsi="Times New Roman" w:eastAsia="宋体"/>
                    </w:rPr>
                    <w:t>噪声</w:t>
                  </w:r>
                </w:p>
              </w:tc>
              <w:tc>
                <w:tcPr>
                  <w:tcW w:w="2969" w:type="pct"/>
                  <w:vAlign w:val="center"/>
                </w:tcPr>
                <w:p>
                  <w:pPr>
                    <w:pStyle w:val="41"/>
                    <w:jc w:val="both"/>
                    <w:rPr>
                      <w:rFonts w:cs="Times New Roman"/>
                      <w:bCs w:val="0"/>
                      <w:kern w:val="2"/>
                      <w:szCs w:val="21"/>
                    </w:rPr>
                  </w:pPr>
                  <w:r>
                    <w:rPr>
                      <w:rFonts w:cs="Times New Roman"/>
                      <w:bCs w:val="0"/>
                      <w:kern w:val="2"/>
                      <w:szCs w:val="21"/>
                    </w:rPr>
                    <w:t>合理布局</w:t>
                  </w:r>
                  <w:r>
                    <w:rPr>
                      <w:rFonts w:hint="eastAsia" w:cs="Times New Roman"/>
                      <w:szCs w:val="21"/>
                    </w:rPr>
                    <w:t>、建筑</w:t>
                  </w:r>
                  <w:r>
                    <w:rPr>
                      <w:rFonts w:cs="Times New Roman"/>
                      <w:szCs w:val="21"/>
                    </w:rPr>
                    <w:t>隔音</w:t>
                  </w:r>
                  <w:r>
                    <w:rPr>
                      <w:rFonts w:hint="eastAsia" w:cs="Times New Roman"/>
                      <w:szCs w:val="21"/>
                    </w:rPr>
                    <w:t>、基础减振、风机采取变频风机</w:t>
                  </w:r>
                  <w:r>
                    <w:rPr>
                      <w:rFonts w:cs="Times New Roman"/>
                    </w:rPr>
                    <w:t>等</w:t>
                  </w:r>
                  <w:r>
                    <w:rPr>
                      <w:rFonts w:hint="eastAsia" w:cs="Times New Roman"/>
                    </w:rPr>
                    <w:t>。</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Merge w:val="restart"/>
                  <w:vAlign w:val="center"/>
                </w:tcPr>
                <w:p>
                  <w:pPr>
                    <w:adjustRightInd w:val="0"/>
                    <w:snapToGrid w:val="0"/>
                    <w:jc w:val="center"/>
                    <w:rPr>
                      <w:rFonts w:ascii="Times New Roman" w:hAnsi="Times New Roman" w:eastAsia="宋体"/>
                    </w:rPr>
                  </w:pPr>
                  <w:r>
                    <w:rPr>
                      <w:rFonts w:ascii="Times New Roman" w:hAnsi="Times New Roman" w:eastAsia="宋体"/>
                    </w:rPr>
                    <w:t>固废</w:t>
                  </w:r>
                </w:p>
              </w:tc>
              <w:tc>
                <w:tcPr>
                  <w:tcW w:w="2969" w:type="pct"/>
                  <w:vAlign w:val="center"/>
                </w:tcPr>
                <w:p>
                  <w:pPr>
                    <w:adjustRightInd w:val="0"/>
                    <w:snapToGrid w:val="0"/>
                    <w:rPr>
                      <w:rFonts w:ascii="Times New Roman" w:hAnsi="Times New Roman" w:eastAsia="宋体" w:cs="Times New Roman"/>
                    </w:rPr>
                  </w:pPr>
                  <w:r>
                    <w:rPr>
                      <w:rFonts w:ascii="Times New Roman" w:hAnsi="Times New Roman" w:eastAsia="宋体" w:cs="Times New Roman"/>
                    </w:rPr>
                    <w:t>员工生活垃圾收集后由环卫部门统一清运</w:t>
                  </w:r>
                  <w:r>
                    <w:rPr>
                      <w:rFonts w:hint="eastAsia" w:ascii="Times New Roman" w:hAnsi="Times New Roman" w:eastAsia="宋体" w:cs="Times New Roman"/>
                    </w:rPr>
                    <w:t>。</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Merge w:val="continue"/>
                  <w:vAlign w:val="center"/>
                </w:tcPr>
                <w:p>
                  <w:pPr>
                    <w:adjustRightInd w:val="0"/>
                    <w:snapToGrid w:val="0"/>
                    <w:jc w:val="center"/>
                    <w:rPr>
                      <w:rFonts w:ascii="Times New Roman" w:hAnsi="Times New Roman" w:eastAsia="宋体"/>
                    </w:rPr>
                  </w:pPr>
                </w:p>
              </w:tc>
              <w:tc>
                <w:tcPr>
                  <w:tcW w:w="2969" w:type="pct"/>
                  <w:vAlign w:val="center"/>
                </w:tcPr>
                <w:p>
                  <w:pPr>
                    <w:adjustRightInd w:val="0"/>
                    <w:snapToGrid w:val="0"/>
                    <w:rPr>
                      <w:rFonts w:ascii="Times New Roman" w:hAnsi="Times New Roman" w:eastAsia="宋体" w:cs="Times New Roman"/>
                    </w:rPr>
                  </w:pPr>
                  <w:r>
                    <w:rPr>
                      <w:rFonts w:hint="eastAsia" w:ascii="Times New Roman" w:hAnsi="Times New Roman" w:eastAsia="宋体" w:cs="Times New Roman"/>
                    </w:rPr>
                    <w:t>一般固废暂存于车间内西南角，面积2</w:t>
                  </w:r>
                  <w:r>
                    <w:rPr>
                      <w:rFonts w:ascii="Times New Roman" w:hAnsi="Times New Roman" w:eastAsia="宋体" w:cs="Times New Roman"/>
                    </w:rPr>
                    <w:t>0</w:t>
                  </w:r>
                  <w:r>
                    <w:rPr>
                      <w:rFonts w:hint="eastAsia" w:ascii="Times New Roman" w:hAnsi="Times New Roman" w:eastAsia="宋体" w:cs="Times New Roman"/>
                    </w:rPr>
                    <w:t>m</w:t>
                  </w:r>
                  <w:r>
                    <w:rPr>
                      <w:rFonts w:hint="eastAsia" w:ascii="Times New Roman" w:hAnsi="Times New Roman" w:eastAsia="宋体" w:cs="Times New Roman"/>
                      <w:vertAlign w:val="superscript"/>
                    </w:rPr>
                    <w:t>2</w:t>
                  </w:r>
                  <w:r>
                    <w:rPr>
                      <w:rFonts w:hint="eastAsia" w:ascii="Times New Roman" w:hAnsi="Times New Roman" w:eastAsia="宋体" w:cs="Times New Roman"/>
                    </w:rPr>
                    <w:t>，按照一般固废要求进行处置。</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Merge w:val="continue"/>
                  <w:vAlign w:val="center"/>
                </w:tcPr>
                <w:p>
                  <w:pPr>
                    <w:adjustRightInd w:val="0"/>
                    <w:snapToGrid w:val="0"/>
                    <w:jc w:val="center"/>
                    <w:rPr>
                      <w:rFonts w:ascii="Times New Roman" w:hAnsi="Times New Roman" w:eastAsia="宋体"/>
                    </w:rPr>
                  </w:pPr>
                </w:p>
              </w:tc>
              <w:tc>
                <w:tcPr>
                  <w:tcW w:w="2969" w:type="pct"/>
                  <w:vAlign w:val="center"/>
                </w:tcPr>
                <w:p>
                  <w:pPr>
                    <w:adjustRightInd w:val="0"/>
                    <w:snapToGrid w:val="0"/>
                    <w:rPr>
                      <w:rFonts w:ascii="Times New Roman" w:hAnsi="Times New Roman" w:eastAsia="宋体"/>
                    </w:rPr>
                  </w:pPr>
                  <w:r>
                    <w:rPr>
                      <w:rFonts w:hint="eastAsia" w:ascii="Times New Roman" w:hAnsi="Times New Roman" w:eastAsia="宋体"/>
                    </w:rPr>
                    <w:t>危险废物暂存于1</w:t>
                  </w:r>
                  <w:r>
                    <w:rPr>
                      <w:rFonts w:ascii="Times New Roman" w:hAnsi="Times New Roman" w:eastAsia="宋体"/>
                    </w:rPr>
                    <w:t>6</w:t>
                  </w:r>
                  <w:r>
                    <w:rPr>
                      <w:rFonts w:hint="eastAsia" w:ascii="Times New Roman" w:hAnsi="Times New Roman" w:eastAsia="宋体"/>
                    </w:rPr>
                    <w:t>m</w:t>
                  </w:r>
                  <w:r>
                    <w:rPr>
                      <w:rFonts w:hint="eastAsia" w:ascii="Times New Roman" w:hAnsi="Times New Roman" w:eastAsia="宋体"/>
                      <w:vertAlign w:val="superscript"/>
                    </w:rPr>
                    <w:t>2</w:t>
                  </w:r>
                  <w:r>
                    <w:rPr>
                      <w:rFonts w:hint="eastAsia" w:ascii="Times New Roman" w:hAnsi="Times New Roman" w:eastAsia="宋体"/>
                    </w:rPr>
                    <w:t>危废暂存间暂存，位于</w:t>
                  </w:r>
                  <w:r>
                    <w:rPr>
                      <w:rFonts w:hint="eastAsia" w:ascii="Times New Roman" w:hAnsi="Times New Roman" w:eastAsia="宋体" w:cs="Times New Roman"/>
                    </w:rPr>
                    <w:t>车间内东北角</w:t>
                  </w:r>
                  <w:r>
                    <w:rPr>
                      <w:rFonts w:hint="eastAsia" w:ascii="Times New Roman" w:hAnsi="Times New Roman" w:eastAsia="宋体"/>
                    </w:rPr>
                    <w:t>，</w:t>
                  </w:r>
                  <w:r>
                    <w:rPr>
                      <w:rFonts w:ascii="Times New Roman" w:hAnsi="Times New Roman" w:eastAsia="宋体"/>
                      <w:kern w:val="0"/>
                    </w:rPr>
                    <w:t>定期交由</w:t>
                  </w:r>
                  <w:r>
                    <w:rPr>
                      <w:rFonts w:hint="eastAsia" w:ascii="Times New Roman" w:hAnsi="Times New Roman" w:eastAsia="宋体"/>
                      <w:kern w:val="0"/>
                    </w:rPr>
                    <w:t>有资质单位</w:t>
                  </w:r>
                  <w:r>
                    <w:rPr>
                      <w:rFonts w:ascii="Times New Roman" w:hAnsi="Times New Roman" w:eastAsia="宋体"/>
                      <w:kern w:val="0"/>
                    </w:rPr>
                    <w:t>处置</w:t>
                  </w:r>
                  <w:r>
                    <w:rPr>
                      <w:rFonts w:hint="eastAsia" w:ascii="Times New Roman" w:hAnsi="Times New Roman" w:eastAsia="宋体"/>
                      <w:kern w:val="0"/>
                    </w:rPr>
                    <w:t>。</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防渗</w:t>
                  </w:r>
                </w:p>
              </w:tc>
              <w:tc>
                <w:tcPr>
                  <w:tcW w:w="2969" w:type="pct"/>
                  <w:vAlign w:val="center"/>
                </w:tcPr>
                <w:p>
                  <w:pPr>
                    <w:adjustRightInd w:val="0"/>
                    <w:snapToGrid w:val="0"/>
                    <w:rPr>
                      <w:rFonts w:ascii="Times New Roman" w:hAnsi="Times New Roman" w:eastAsia="宋体" w:cs="Times New Roman"/>
                    </w:rPr>
                  </w:pPr>
                  <w:r>
                    <w:rPr>
                      <w:rFonts w:hint="eastAsia" w:ascii="Times New Roman" w:hAnsi="Times New Roman" w:eastAsia="宋体" w:cs="Times New Roman"/>
                    </w:rPr>
                    <w:t>厂区采取分区防渗控制措施，其中危废暂存间、喷漆房、流平间、清洗间、烘干间采取重点防渗，生产厂房内其余地面采取一般防渗，办公区采取简单防渗。</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pct"/>
                  <w:vMerge w:val="continue"/>
                  <w:vAlign w:val="center"/>
                </w:tcPr>
                <w:p>
                  <w:pPr>
                    <w:adjustRightInd w:val="0"/>
                    <w:snapToGrid w:val="0"/>
                    <w:jc w:val="center"/>
                    <w:rPr>
                      <w:rFonts w:ascii="Times New Roman" w:hAnsi="Times New Roman" w:eastAsia="宋体"/>
                    </w:rPr>
                  </w:pPr>
                </w:p>
              </w:tc>
              <w:tc>
                <w:tcPr>
                  <w:tcW w:w="828"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风险</w:t>
                  </w:r>
                </w:p>
              </w:tc>
              <w:tc>
                <w:tcPr>
                  <w:tcW w:w="2969" w:type="pct"/>
                  <w:vAlign w:val="center"/>
                </w:tcPr>
                <w:p>
                  <w:pPr>
                    <w:adjustRightInd w:val="0"/>
                    <w:snapToGrid w:val="0"/>
                    <w:rPr>
                      <w:rFonts w:ascii="Times New Roman" w:hAnsi="Times New Roman" w:eastAsia="宋体" w:cs="Times New Roman"/>
                    </w:rPr>
                  </w:pPr>
                  <w:r>
                    <w:rPr>
                      <w:rFonts w:hint="eastAsia" w:ascii="Times New Roman" w:hAnsi="Times New Roman" w:eastAsia="宋体" w:cs="Times New Roman"/>
                    </w:rPr>
                    <w:t>厂区采取灭火器防火、防渗防泄露以及加强工作人员培训、制定管理制度等</w:t>
                  </w:r>
                  <w:r>
                    <w:rPr>
                      <w:rFonts w:ascii="Times New Roman" w:hAnsi="Times New Roman" w:eastAsia="宋体" w:cs="Times New Roman"/>
                    </w:rPr>
                    <w:t>风险防范措施</w:t>
                  </w:r>
                  <w:r>
                    <w:rPr>
                      <w:rFonts w:hint="eastAsia" w:ascii="Times New Roman" w:hAnsi="Times New Roman" w:eastAsia="宋体" w:cs="Times New Roman"/>
                    </w:rPr>
                    <w:t>后可将风险降至最低。</w:t>
                  </w:r>
                </w:p>
              </w:tc>
              <w:tc>
                <w:tcPr>
                  <w:tcW w:w="759" w:type="pct"/>
                  <w:vAlign w:val="center"/>
                </w:tcPr>
                <w:p>
                  <w:pPr>
                    <w:adjustRightInd w:val="0"/>
                    <w:snapToGrid w:val="0"/>
                    <w:jc w:val="center"/>
                    <w:rPr>
                      <w:rFonts w:ascii="Times New Roman" w:hAnsi="Times New Roman" w:eastAsia="宋体"/>
                    </w:rPr>
                  </w:pPr>
                  <w:r>
                    <w:rPr>
                      <w:rFonts w:hint="eastAsia" w:ascii="Times New Roman" w:hAnsi="Times New Roman" w:eastAsia="宋体"/>
                    </w:rPr>
                    <w:t>新建</w:t>
                  </w:r>
                </w:p>
              </w:tc>
            </w:tr>
          </w:tbl>
          <w:p>
            <w:pPr>
              <w:pStyle w:val="36"/>
            </w:pPr>
            <w:r>
              <w:rPr>
                <w:rFonts w:hint="eastAsia"/>
              </w:rPr>
              <w:t>2</w:t>
            </w:r>
            <w:r>
              <w:t>、</w:t>
            </w:r>
            <w:r>
              <w:rPr>
                <w:rFonts w:hint="eastAsia"/>
              </w:rPr>
              <w:t>产品</w:t>
            </w:r>
            <w:r>
              <w:t>方案</w:t>
            </w:r>
          </w:p>
          <w:p>
            <w:pPr>
              <w:pStyle w:val="47"/>
              <w:adjustRightInd w:val="0"/>
              <w:snapToGrid w:val="0"/>
              <w:spacing w:line="360" w:lineRule="auto"/>
              <w:ind w:firstLine="480"/>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本</w:t>
            </w:r>
            <w:r>
              <w:rPr>
                <w:rFonts w:ascii="Times New Roman" w:hAnsi="Times New Roman" w:eastAsia="宋体" w:cs="Times New Roman"/>
                <w:kern w:val="0"/>
                <w:sz w:val="24"/>
                <w:szCs w:val="28"/>
              </w:rPr>
              <w:t>项目</w:t>
            </w:r>
            <w:r>
              <w:rPr>
                <w:rFonts w:hint="eastAsia" w:ascii="Times New Roman" w:hAnsi="Times New Roman" w:eastAsia="宋体" w:cs="Times New Roman"/>
                <w:kern w:val="0"/>
                <w:sz w:val="24"/>
                <w:szCs w:val="28"/>
              </w:rPr>
              <w:t>产品</w:t>
            </w:r>
            <w:r>
              <w:rPr>
                <w:rFonts w:ascii="Times New Roman" w:hAnsi="Times New Roman" w:eastAsia="宋体" w:cs="Times New Roman"/>
                <w:kern w:val="0"/>
                <w:sz w:val="24"/>
                <w:szCs w:val="28"/>
              </w:rPr>
              <w:t>方案</w:t>
            </w:r>
            <w:r>
              <w:rPr>
                <w:rFonts w:hint="eastAsia" w:ascii="Times New Roman" w:hAnsi="Times New Roman" w:eastAsia="宋体" w:cs="Times New Roman"/>
                <w:kern w:val="0"/>
                <w:sz w:val="24"/>
                <w:szCs w:val="28"/>
              </w:rPr>
              <w:t>为：外购铝合金原料进行航空航天发动机结构件加工并喷涂，年产量为航空航天发动机结构件3</w:t>
            </w:r>
            <w:r>
              <w:rPr>
                <w:rFonts w:ascii="Times New Roman" w:hAnsi="Times New Roman" w:eastAsia="宋体" w:cs="Times New Roman"/>
                <w:kern w:val="0"/>
                <w:sz w:val="24"/>
                <w:szCs w:val="28"/>
              </w:rPr>
              <w:t>00</w:t>
            </w:r>
            <w:r>
              <w:rPr>
                <w:rFonts w:hint="eastAsia" w:ascii="Times New Roman" w:hAnsi="Times New Roman" w:eastAsia="宋体" w:cs="Times New Roman"/>
                <w:kern w:val="0"/>
                <w:sz w:val="24"/>
                <w:szCs w:val="28"/>
              </w:rPr>
              <w:t>件、发动机壳体</w:t>
            </w:r>
            <w:r>
              <w:rPr>
                <w:rFonts w:ascii="Times New Roman" w:hAnsi="Times New Roman" w:eastAsia="宋体" w:cs="Times New Roman"/>
                <w:kern w:val="0"/>
                <w:sz w:val="24"/>
                <w:szCs w:val="28"/>
              </w:rPr>
              <w:t>200</w:t>
            </w:r>
            <w:r>
              <w:rPr>
                <w:rFonts w:hint="eastAsia" w:ascii="Times New Roman" w:hAnsi="Times New Roman" w:eastAsia="宋体" w:cs="Times New Roman"/>
                <w:kern w:val="0"/>
                <w:sz w:val="24"/>
                <w:szCs w:val="28"/>
              </w:rPr>
              <w:t>台，厂区内不进行结构件组装；同时为其他企业协助喷涂航空航天发动机结构件3</w:t>
            </w:r>
            <w:r>
              <w:rPr>
                <w:rFonts w:ascii="Times New Roman" w:hAnsi="Times New Roman" w:eastAsia="宋体" w:cs="Times New Roman"/>
                <w:kern w:val="0"/>
                <w:sz w:val="24"/>
                <w:szCs w:val="28"/>
              </w:rPr>
              <w:t>00</w:t>
            </w:r>
            <w:r>
              <w:rPr>
                <w:rFonts w:hint="eastAsia" w:ascii="Times New Roman" w:hAnsi="Times New Roman" w:eastAsia="宋体" w:cs="Times New Roman"/>
                <w:kern w:val="0"/>
                <w:sz w:val="24"/>
                <w:szCs w:val="28"/>
              </w:rPr>
              <w:t>件、发动机壳体1</w:t>
            </w:r>
            <w:r>
              <w:rPr>
                <w:rFonts w:ascii="Times New Roman" w:hAnsi="Times New Roman" w:eastAsia="宋体" w:cs="Times New Roman"/>
                <w:kern w:val="0"/>
                <w:sz w:val="24"/>
                <w:szCs w:val="28"/>
              </w:rPr>
              <w:t>00</w:t>
            </w:r>
            <w:r>
              <w:rPr>
                <w:rFonts w:hint="eastAsia" w:ascii="Times New Roman" w:hAnsi="Times New Roman" w:eastAsia="宋体" w:cs="Times New Roman"/>
                <w:kern w:val="0"/>
                <w:sz w:val="24"/>
                <w:szCs w:val="28"/>
              </w:rPr>
              <w:t>台。</w:t>
            </w:r>
            <w:r>
              <w:rPr>
                <w:rFonts w:ascii="Times New Roman" w:hAnsi="Times New Roman" w:eastAsia="宋体" w:cs="Times New Roman"/>
                <w:kern w:val="0"/>
                <w:sz w:val="24"/>
                <w:szCs w:val="28"/>
              </w:rPr>
              <w:t>详见表</w:t>
            </w:r>
            <w:r>
              <w:rPr>
                <w:rFonts w:hint="eastAsia" w:ascii="Times New Roman" w:hAnsi="Times New Roman" w:eastAsia="宋体" w:cs="Times New Roman"/>
                <w:kern w:val="0"/>
                <w:sz w:val="24"/>
                <w:szCs w:val="28"/>
              </w:rPr>
              <w:t>2</w:t>
            </w:r>
            <w:r>
              <w:rPr>
                <w:rFonts w:ascii="Times New Roman" w:hAnsi="Times New Roman" w:eastAsia="宋体" w:cs="Times New Roman"/>
                <w:kern w:val="0"/>
                <w:sz w:val="24"/>
                <w:szCs w:val="28"/>
              </w:rPr>
              <w:t>-</w:t>
            </w:r>
            <w:r>
              <w:rPr>
                <w:rFonts w:hint="eastAsia" w:ascii="Times New Roman" w:hAnsi="Times New Roman" w:eastAsia="宋体" w:cs="Times New Roman"/>
                <w:kern w:val="0"/>
                <w:sz w:val="24"/>
                <w:szCs w:val="28"/>
              </w:rPr>
              <w:t>2、2</w:t>
            </w:r>
            <w:r>
              <w:rPr>
                <w:rFonts w:ascii="Times New Roman" w:hAnsi="Times New Roman" w:eastAsia="宋体" w:cs="Times New Roman"/>
                <w:kern w:val="0"/>
                <w:sz w:val="24"/>
                <w:szCs w:val="28"/>
              </w:rPr>
              <w:t>-3</w:t>
            </w:r>
            <w:r>
              <w:rPr>
                <w:rFonts w:hint="eastAsia" w:ascii="Times New Roman" w:hAnsi="Times New Roman" w:eastAsia="宋体" w:cs="Times New Roman"/>
                <w:kern w:val="0"/>
                <w:sz w:val="24"/>
                <w:szCs w:val="28"/>
              </w:rPr>
              <w:t>。</w:t>
            </w:r>
          </w:p>
          <w:p>
            <w:pPr>
              <w:pStyle w:val="71"/>
              <w:rPr>
                <w:color w:val="auto"/>
              </w:rPr>
            </w:pPr>
            <w:r>
              <w:rPr>
                <w:color w:val="auto"/>
              </w:rPr>
              <w:t>表</w:t>
            </w:r>
            <w:r>
              <w:rPr>
                <w:rFonts w:hint="eastAsia"/>
                <w:color w:val="auto"/>
              </w:rPr>
              <w:t>2</w:t>
            </w:r>
            <w:r>
              <w:rPr>
                <w:color w:val="auto"/>
              </w:rPr>
              <w:t>-</w:t>
            </w:r>
            <w:r>
              <w:rPr>
                <w:rFonts w:hint="eastAsia"/>
                <w:color w:val="auto"/>
              </w:rPr>
              <w:t xml:space="preserve">2 </w:t>
            </w:r>
            <w:r>
              <w:rPr>
                <w:color w:val="auto"/>
              </w:rPr>
              <w:t xml:space="preserve"> </w:t>
            </w:r>
            <w:r>
              <w:rPr>
                <w:rFonts w:hint="eastAsia"/>
                <w:color w:val="auto"/>
              </w:rPr>
              <w:t>项目协助喷涂产品方案表</w:t>
            </w:r>
          </w:p>
          <w:tbl>
            <w:tblPr>
              <w:tblStyle w:val="2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99"/>
              <w:gridCol w:w="3314"/>
              <w:gridCol w:w="32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79" w:type="pct"/>
                  <w:tcBorders>
                    <w:tl2br w:val="nil"/>
                    <w:tr2bl w:val="nil"/>
                  </w:tcBorders>
                  <w:noWrap/>
                  <w:vAlign w:val="center"/>
                </w:tcPr>
                <w:p>
                  <w:pPr>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序号</w:t>
                  </w:r>
                </w:p>
              </w:tc>
              <w:tc>
                <w:tcPr>
                  <w:tcW w:w="2083" w:type="pct"/>
                  <w:tcBorders>
                    <w:tl2br w:val="nil"/>
                    <w:tr2bl w:val="nil"/>
                  </w:tcBorders>
                  <w:vAlign w:val="center"/>
                </w:tcPr>
                <w:p>
                  <w:pPr>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喷涂构件</w:t>
                  </w:r>
                </w:p>
              </w:tc>
              <w:tc>
                <w:tcPr>
                  <w:tcW w:w="2038" w:type="pct"/>
                  <w:tcBorders>
                    <w:tl2br w:val="nil"/>
                    <w:tr2bl w:val="nil"/>
                  </w:tcBorders>
                  <w:noWrap/>
                  <w:vAlign w:val="center"/>
                </w:tcPr>
                <w:p>
                  <w:pPr>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79" w:type="pct"/>
                  <w:tcBorders>
                    <w:tl2br w:val="nil"/>
                    <w:tr2bl w:val="nil"/>
                  </w:tcBorders>
                  <w:noWrap/>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1</w:t>
                  </w:r>
                </w:p>
              </w:tc>
              <w:tc>
                <w:tcPr>
                  <w:tcW w:w="2083"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航空航天发动机结构件</w:t>
                  </w:r>
                </w:p>
              </w:tc>
              <w:tc>
                <w:tcPr>
                  <w:tcW w:w="2038" w:type="pct"/>
                  <w:tcBorders>
                    <w:tl2br w:val="nil"/>
                    <w:tr2bl w:val="nil"/>
                  </w:tcBorders>
                  <w:noWrap/>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rPr>
                    <w:t>300</w:t>
                  </w:r>
                  <w:r>
                    <w:rPr>
                      <w:rFonts w:hint="eastAsia" w:ascii="Times New Roman" w:hAnsi="Times New Roman" w:eastAsia="宋体"/>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79" w:type="pct"/>
                  <w:tcBorders>
                    <w:tl2br w:val="nil"/>
                    <w:tr2bl w:val="nil"/>
                  </w:tcBorders>
                  <w:noWrap/>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2</w:t>
                  </w:r>
                </w:p>
              </w:tc>
              <w:tc>
                <w:tcPr>
                  <w:tcW w:w="2083"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航空航天发动机壳体</w:t>
                  </w:r>
                </w:p>
              </w:tc>
              <w:tc>
                <w:tcPr>
                  <w:tcW w:w="2038" w:type="pct"/>
                  <w:tcBorders>
                    <w:tl2br w:val="nil"/>
                    <w:tr2bl w:val="nil"/>
                  </w:tcBorders>
                  <w:noWrap/>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rPr>
                    <w:t>100</w:t>
                  </w:r>
                  <w:r>
                    <w:rPr>
                      <w:rFonts w:hint="eastAsia" w:ascii="Times New Roman" w:hAnsi="Times New Roman" w:eastAsia="宋体"/>
                    </w:rPr>
                    <w:t>台</w:t>
                  </w:r>
                </w:p>
              </w:tc>
            </w:tr>
          </w:tbl>
          <w:p>
            <w:pPr>
              <w:pStyle w:val="71"/>
              <w:rPr>
                <w:color w:val="auto"/>
              </w:rPr>
            </w:pPr>
            <w:r>
              <w:rPr>
                <w:color w:val="auto"/>
              </w:rPr>
              <w:t>表</w:t>
            </w:r>
            <w:r>
              <w:rPr>
                <w:rFonts w:hint="eastAsia"/>
                <w:color w:val="auto"/>
              </w:rPr>
              <w:t>2</w:t>
            </w:r>
            <w:r>
              <w:rPr>
                <w:color w:val="auto"/>
              </w:rPr>
              <w:t>-3</w:t>
            </w:r>
            <w:r>
              <w:rPr>
                <w:rFonts w:hint="eastAsia"/>
                <w:color w:val="auto"/>
              </w:rPr>
              <w:t xml:space="preserve"> </w:t>
            </w:r>
            <w:r>
              <w:rPr>
                <w:color w:val="auto"/>
              </w:rPr>
              <w:t xml:space="preserve"> </w:t>
            </w:r>
            <w:r>
              <w:rPr>
                <w:rFonts w:hint="eastAsia"/>
                <w:color w:val="auto"/>
              </w:rPr>
              <w:t>项目自主生产产品方案表</w:t>
            </w:r>
          </w:p>
          <w:tbl>
            <w:tblPr>
              <w:tblStyle w:val="2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99"/>
              <w:gridCol w:w="3314"/>
              <w:gridCol w:w="32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79" w:type="pct"/>
                  <w:tcBorders>
                    <w:tl2br w:val="nil"/>
                    <w:tr2bl w:val="nil"/>
                  </w:tcBorders>
                  <w:noWrap/>
                  <w:vAlign w:val="center"/>
                </w:tcPr>
                <w:p>
                  <w:pPr>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序号</w:t>
                  </w:r>
                </w:p>
              </w:tc>
              <w:tc>
                <w:tcPr>
                  <w:tcW w:w="2083" w:type="pct"/>
                  <w:tcBorders>
                    <w:tl2br w:val="nil"/>
                    <w:tr2bl w:val="nil"/>
                  </w:tcBorders>
                  <w:vAlign w:val="center"/>
                </w:tcPr>
                <w:p>
                  <w:pPr>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生产构件</w:t>
                  </w:r>
                </w:p>
              </w:tc>
              <w:tc>
                <w:tcPr>
                  <w:tcW w:w="2038" w:type="pct"/>
                  <w:tcBorders>
                    <w:tl2br w:val="nil"/>
                    <w:tr2bl w:val="nil"/>
                  </w:tcBorders>
                  <w:noWrap/>
                  <w:vAlign w:val="center"/>
                </w:tcPr>
                <w:p>
                  <w:pPr>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79" w:type="pct"/>
                  <w:tcBorders>
                    <w:tl2br w:val="nil"/>
                    <w:tr2bl w:val="nil"/>
                  </w:tcBorders>
                  <w:noWrap/>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1</w:t>
                  </w:r>
                </w:p>
              </w:tc>
              <w:tc>
                <w:tcPr>
                  <w:tcW w:w="2083"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航空航天发动机结构件</w:t>
                  </w:r>
                </w:p>
              </w:tc>
              <w:tc>
                <w:tcPr>
                  <w:tcW w:w="2038" w:type="pct"/>
                  <w:tcBorders>
                    <w:tl2br w:val="nil"/>
                    <w:tr2bl w:val="nil"/>
                  </w:tcBorders>
                  <w:noWrap/>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rPr>
                    <w:t>300</w:t>
                  </w:r>
                  <w:r>
                    <w:rPr>
                      <w:rFonts w:hint="eastAsia" w:ascii="Times New Roman" w:hAnsi="Times New Roman" w:eastAsia="宋体"/>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79" w:type="pct"/>
                  <w:tcBorders>
                    <w:tl2br w:val="nil"/>
                    <w:tr2bl w:val="nil"/>
                  </w:tcBorders>
                  <w:noWrap/>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2</w:t>
                  </w:r>
                </w:p>
              </w:tc>
              <w:tc>
                <w:tcPr>
                  <w:tcW w:w="2083"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航空航天发动机壳体</w:t>
                  </w:r>
                </w:p>
              </w:tc>
              <w:tc>
                <w:tcPr>
                  <w:tcW w:w="2038" w:type="pct"/>
                  <w:tcBorders>
                    <w:tl2br w:val="nil"/>
                    <w:tr2bl w:val="nil"/>
                  </w:tcBorders>
                  <w:noWrap/>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rPr>
                    <w:t>200</w:t>
                  </w:r>
                  <w:r>
                    <w:rPr>
                      <w:rFonts w:hint="eastAsia" w:ascii="Times New Roman" w:hAnsi="Times New Roman" w:eastAsia="宋体"/>
                    </w:rPr>
                    <w:t>台</w:t>
                  </w:r>
                </w:p>
              </w:tc>
            </w:tr>
          </w:tbl>
          <w:p>
            <w:pPr>
              <w:pStyle w:val="47"/>
              <w:adjustRightInd w:val="0"/>
              <w:snapToGrid w:val="0"/>
              <w:spacing w:line="360" w:lineRule="auto"/>
              <w:ind w:firstLine="482"/>
              <w:rPr>
                <w:rFonts w:ascii="Times New Roman" w:hAnsi="Times New Roman" w:eastAsia="宋体" w:cs="Times New Roman"/>
                <w:b/>
                <w:kern w:val="0"/>
                <w:sz w:val="24"/>
                <w:szCs w:val="28"/>
              </w:rPr>
            </w:pPr>
            <w:r>
              <w:rPr>
                <w:rFonts w:hint="eastAsia" w:ascii="Times New Roman" w:hAnsi="Times New Roman" w:eastAsia="宋体" w:cs="Times New Roman"/>
                <w:b/>
                <w:kern w:val="0"/>
                <w:sz w:val="24"/>
                <w:szCs w:val="28"/>
              </w:rPr>
              <w:t>3</w:t>
            </w:r>
            <w:r>
              <w:rPr>
                <w:rFonts w:ascii="Times New Roman" w:hAnsi="Times New Roman" w:eastAsia="宋体" w:cs="Times New Roman"/>
                <w:b/>
                <w:kern w:val="0"/>
                <w:sz w:val="24"/>
                <w:szCs w:val="28"/>
              </w:rPr>
              <w:t>、原辅材料</w:t>
            </w:r>
          </w:p>
          <w:p>
            <w:pPr>
              <w:pStyle w:val="47"/>
              <w:adjustRightInd w:val="0"/>
              <w:snapToGrid w:val="0"/>
              <w:spacing w:line="360" w:lineRule="auto"/>
              <w:ind w:firstLine="480"/>
              <w:rPr>
                <w:rFonts w:ascii="Times New Roman" w:hAnsi="Times New Roman" w:eastAsia="宋体" w:cs="Times New Roman"/>
                <w:kern w:val="0"/>
                <w:sz w:val="24"/>
                <w:szCs w:val="28"/>
              </w:rPr>
            </w:pPr>
            <w:r>
              <w:rPr>
                <w:rFonts w:ascii="Times New Roman" w:hAnsi="Times New Roman" w:eastAsia="宋体" w:cs="Times New Roman"/>
                <w:kern w:val="0"/>
                <w:sz w:val="24"/>
                <w:szCs w:val="28"/>
              </w:rPr>
              <w:t>主要原辅材料</w:t>
            </w:r>
            <w:r>
              <w:rPr>
                <w:rFonts w:hint="eastAsia" w:ascii="Times New Roman" w:hAnsi="Times New Roman" w:eastAsia="宋体" w:cs="Times New Roman"/>
                <w:kern w:val="0"/>
                <w:sz w:val="24"/>
                <w:szCs w:val="28"/>
              </w:rPr>
              <w:t>及能源</w:t>
            </w:r>
            <w:r>
              <w:rPr>
                <w:rFonts w:ascii="Times New Roman" w:hAnsi="Times New Roman" w:eastAsia="宋体" w:cs="Times New Roman"/>
                <w:kern w:val="0"/>
                <w:sz w:val="24"/>
                <w:szCs w:val="28"/>
              </w:rPr>
              <w:t>消耗</w:t>
            </w:r>
            <w:r>
              <w:rPr>
                <w:rFonts w:hint="eastAsia" w:ascii="Times New Roman" w:hAnsi="Times New Roman" w:eastAsia="宋体" w:cs="Times New Roman"/>
                <w:kern w:val="0"/>
                <w:sz w:val="24"/>
                <w:szCs w:val="28"/>
              </w:rPr>
              <w:t>情况</w:t>
            </w:r>
            <w:r>
              <w:rPr>
                <w:rFonts w:ascii="Times New Roman" w:hAnsi="Times New Roman" w:eastAsia="宋体" w:cs="Times New Roman"/>
                <w:kern w:val="0"/>
                <w:sz w:val="24"/>
                <w:szCs w:val="28"/>
              </w:rPr>
              <w:t>见表</w:t>
            </w:r>
            <w:r>
              <w:rPr>
                <w:rFonts w:hint="eastAsia" w:ascii="Times New Roman" w:hAnsi="Times New Roman" w:eastAsia="宋体" w:cs="Times New Roman"/>
                <w:kern w:val="0"/>
                <w:sz w:val="24"/>
                <w:szCs w:val="28"/>
              </w:rPr>
              <w:t>2</w:t>
            </w:r>
            <w:r>
              <w:rPr>
                <w:rFonts w:ascii="Times New Roman" w:hAnsi="Times New Roman" w:eastAsia="宋体" w:cs="Times New Roman"/>
                <w:kern w:val="0"/>
                <w:sz w:val="24"/>
                <w:szCs w:val="28"/>
              </w:rPr>
              <w:t>-4</w:t>
            </w:r>
            <w:r>
              <w:rPr>
                <w:rFonts w:hint="eastAsia" w:ascii="Times New Roman" w:hAnsi="Times New Roman" w:eastAsia="宋体" w:cs="Times New Roman"/>
                <w:kern w:val="0"/>
                <w:sz w:val="24"/>
                <w:szCs w:val="28"/>
              </w:rPr>
              <w:t>。</w:t>
            </w:r>
          </w:p>
          <w:p>
            <w:pPr>
              <w:pStyle w:val="71"/>
              <w:rPr>
                <w:color w:val="auto"/>
              </w:rPr>
            </w:pPr>
            <w:r>
              <w:rPr>
                <w:color w:val="auto"/>
              </w:rPr>
              <w:t>表</w:t>
            </w:r>
            <w:r>
              <w:rPr>
                <w:rFonts w:hint="eastAsia"/>
                <w:color w:val="auto"/>
              </w:rPr>
              <w:t>2</w:t>
            </w:r>
            <w:r>
              <w:rPr>
                <w:color w:val="auto"/>
              </w:rPr>
              <w:t>-4</w:t>
            </w:r>
            <w:r>
              <w:rPr>
                <w:rFonts w:hint="eastAsia"/>
                <w:color w:val="auto"/>
              </w:rPr>
              <w:t xml:space="preserve"> </w:t>
            </w:r>
            <w:r>
              <w:rPr>
                <w:color w:val="auto"/>
              </w:rPr>
              <w:t xml:space="preserve"> </w:t>
            </w:r>
            <w:r>
              <w:rPr>
                <w:rFonts w:hint="eastAsia"/>
                <w:color w:val="auto"/>
              </w:rPr>
              <w:t>项目</w:t>
            </w:r>
            <w:r>
              <w:rPr>
                <w:color w:val="auto"/>
              </w:rPr>
              <w:t>主要原辅</w:t>
            </w:r>
            <w:r>
              <w:rPr>
                <w:rFonts w:hint="eastAsia"/>
                <w:color w:val="auto"/>
              </w:rPr>
              <w:t>材料及能源消耗一览表</w:t>
            </w:r>
          </w:p>
          <w:tbl>
            <w:tblPr>
              <w:tblStyle w:val="2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678"/>
              <w:gridCol w:w="1582"/>
              <w:gridCol w:w="718"/>
              <w:gridCol w:w="1016"/>
              <w:gridCol w:w="1019"/>
              <w:gridCol w:w="958"/>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widowControl/>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序号</w:t>
                  </w:r>
                </w:p>
              </w:tc>
              <w:tc>
                <w:tcPr>
                  <w:tcW w:w="1420" w:type="pct"/>
                  <w:gridSpan w:val="2"/>
                  <w:vAlign w:val="center"/>
                </w:tcPr>
                <w:p>
                  <w:pPr>
                    <w:widowControl/>
                    <w:adjustRightInd w:val="0"/>
                    <w:snapToGrid w:val="0"/>
                    <w:jc w:val="center"/>
                    <w:rPr>
                      <w:rFonts w:ascii="Times New Roman" w:hAnsi="Times New Roman" w:eastAsia="宋体" w:cs="Times New Roman"/>
                      <w:b/>
                      <w:bCs/>
                      <w:kern w:val="0"/>
                    </w:rPr>
                  </w:pPr>
                  <w:r>
                    <w:rPr>
                      <w:rFonts w:ascii="Times New Roman" w:hAnsi="Times New Roman" w:eastAsia="宋体" w:cs="Times New Roman"/>
                      <w:b/>
                      <w:bCs/>
                      <w:kern w:val="0"/>
                    </w:rPr>
                    <w:t>名称</w:t>
                  </w:r>
                </w:p>
              </w:tc>
              <w:tc>
                <w:tcPr>
                  <w:tcW w:w="451" w:type="pct"/>
                  <w:vAlign w:val="center"/>
                </w:tcPr>
                <w:p>
                  <w:pPr>
                    <w:widowControl/>
                    <w:adjustRightInd w:val="0"/>
                    <w:snapToGrid w:val="0"/>
                    <w:jc w:val="center"/>
                    <w:rPr>
                      <w:rFonts w:ascii="Times New Roman" w:hAnsi="Times New Roman" w:eastAsia="宋体" w:cs="Times New Roman"/>
                      <w:b/>
                      <w:bCs/>
                      <w:kern w:val="0"/>
                    </w:rPr>
                  </w:pPr>
                  <w:r>
                    <w:rPr>
                      <w:rFonts w:ascii="Times New Roman" w:hAnsi="Times New Roman" w:eastAsia="宋体" w:cs="Times New Roman"/>
                      <w:b/>
                      <w:bCs/>
                      <w:kern w:val="0"/>
                    </w:rPr>
                    <w:t>形态</w:t>
                  </w:r>
                </w:p>
              </w:tc>
              <w:tc>
                <w:tcPr>
                  <w:tcW w:w="638" w:type="pct"/>
                  <w:vAlign w:val="center"/>
                </w:tcPr>
                <w:p>
                  <w:pPr>
                    <w:widowControl/>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年用量</w:t>
                  </w:r>
                </w:p>
              </w:tc>
              <w:tc>
                <w:tcPr>
                  <w:tcW w:w="640" w:type="pct"/>
                  <w:vAlign w:val="center"/>
                </w:tcPr>
                <w:p>
                  <w:pPr>
                    <w:widowControl/>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厂区最大储量</w:t>
                  </w:r>
                </w:p>
              </w:tc>
              <w:tc>
                <w:tcPr>
                  <w:tcW w:w="602" w:type="pct"/>
                  <w:vAlign w:val="center"/>
                </w:tcPr>
                <w:p>
                  <w:pPr>
                    <w:widowControl/>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包装规格</w:t>
                  </w:r>
                </w:p>
              </w:tc>
              <w:tc>
                <w:tcPr>
                  <w:tcW w:w="759" w:type="pct"/>
                  <w:vAlign w:val="center"/>
                </w:tcPr>
                <w:p>
                  <w:pPr>
                    <w:widowControl/>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储存位置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000" w:type="pct"/>
                  <w:gridSpan w:val="8"/>
                  <w:vAlign w:val="center"/>
                </w:tcPr>
                <w:p>
                  <w:pPr>
                    <w:widowControl/>
                    <w:adjustRightInd w:val="0"/>
                    <w:snapToGrid w:val="0"/>
                    <w:rPr>
                      <w:rFonts w:ascii="Times New Roman" w:hAnsi="Times New Roman" w:eastAsia="宋体" w:cs="Times New Roman"/>
                      <w:b/>
                      <w:bCs/>
                      <w:kern w:val="0"/>
                    </w:rPr>
                  </w:pPr>
                  <w:r>
                    <w:rPr>
                      <w:rFonts w:hint="eastAsia" w:ascii="Times New Roman" w:hAnsi="Times New Roman" w:eastAsia="宋体" w:cs="Times New Roman"/>
                      <w:b/>
                      <w:bCs/>
                      <w:kern w:val="0"/>
                    </w:rPr>
                    <w:t>一、原辅材料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1</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7</w:t>
                  </w:r>
                  <w:r>
                    <w:rPr>
                      <w:rFonts w:ascii="Times New Roman" w:hAnsi="Times New Roman" w:eastAsia="宋体" w:cs="Times New Roman"/>
                      <w:kern w:val="0"/>
                    </w:rPr>
                    <w:t>A09</w:t>
                  </w:r>
                  <w:r>
                    <w:rPr>
                      <w:rFonts w:hint="eastAsia" w:ascii="Times New Roman" w:hAnsi="Times New Roman" w:eastAsia="宋体" w:cs="Times New Roman"/>
                      <w:kern w:val="0"/>
                    </w:rPr>
                    <w:t>铝合金</w:t>
                  </w:r>
                </w:p>
              </w:tc>
              <w:tc>
                <w:tcPr>
                  <w:tcW w:w="451"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3</w:t>
                  </w:r>
                  <w:r>
                    <w:rPr>
                      <w:rFonts w:ascii="Times New Roman" w:hAnsi="Times New Roman" w:eastAsia="宋体" w:cs="Times New Roman"/>
                      <w:kern w:val="0"/>
                    </w:rPr>
                    <w:t>000</w:t>
                  </w:r>
                  <w:r>
                    <w:rPr>
                      <w:rFonts w:hint="eastAsia" w:ascii="Times New Roman" w:hAnsi="Times New Roman" w:eastAsia="宋体" w:cs="Times New Roman"/>
                      <w:kern w:val="0"/>
                    </w:rPr>
                    <w:t>kg/a</w:t>
                  </w:r>
                </w:p>
              </w:tc>
              <w:tc>
                <w:tcPr>
                  <w:tcW w:w="640"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5</w:t>
                  </w:r>
                  <w:r>
                    <w:rPr>
                      <w:rFonts w:ascii="Times New Roman" w:hAnsi="Times New Roman" w:eastAsia="宋体" w:cs="Times New Roman"/>
                      <w:kern w:val="0"/>
                    </w:rPr>
                    <w:t>00</w:t>
                  </w:r>
                  <w:r>
                    <w:rPr>
                      <w:rFonts w:hint="eastAsia" w:ascii="Times New Roman" w:hAnsi="Times New Roman" w:eastAsia="宋体" w:cs="Times New Roman"/>
                      <w:kern w:val="0"/>
                    </w:rPr>
                    <w:t>kg</w:t>
                  </w:r>
                </w:p>
              </w:tc>
              <w:tc>
                <w:tcPr>
                  <w:tcW w:w="602"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759"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厂房暂存区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发动机结构件</w:t>
                  </w:r>
                </w:p>
                <w:p>
                  <w:pPr>
                    <w:jc w:val="center"/>
                    <w:rPr>
                      <w:rFonts w:ascii="Times New Roman" w:hAnsi="Times New Roman" w:eastAsia="宋体" w:cs="Times New Roman"/>
                      <w:kern w:val="0"/>
                    </w:rPr>
                  </w:pPr>
                  <w:r>
                    <w:rPr>
                      <w:rFonts w:hint="eastAsia" w:ascii="Times New Roman" w:hAnsi="Times New Roman" w:eastAsia="宋体" w:cs="Times New Roman"/>
                      <w:kern w:val="0"/>
                    </w:rPr>
                    <w:t>（成品）</w:t>
                  </w:r>
                </w:p>
              </w:tc>
              <w:tc>
                <w:tcPr>
                  <w:tcW w:w="451"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300</w:t>
                  </w:r>
                  <w:r>
                    <w:rPr>
                      <w:rFonts w:hint="eastAsia" w:ascii="Times New Roman" w:hAnsi="Times New Roman" w:eastAsia="宋体" w:cs="Times New Roman"/>
                      <w:kern w:val="0"/>
                    </w:rPr>
                    <w:t>件</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50件</w:t>
                  </w:r>
                </w:p>
              </w:tc>
              <w:tc>
                <w:tcPr>
                  <w:tcW w:w="602"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759"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厂房暂存区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3</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发动机壳体</w:t>
                  </w:r>
                </w:p>
                <w:p>
                  <w:pPr>
                    <w:jc w:val="center"/>
                    <w:rPr>
                      <w:rFonts w:ascii="Times New Roman" w:hAnsi="Times New Roman" w:eastAsia="宋体" w:cs="Times New Roman"/>
                      <w:kern w:val="0"/>
                    </w:rPr>
                  </w:pPr>
                  <w:r>
                    <w:rPr>
                      <w:rFonts w:hint="eastAsia" w:ascii="Times New Roman" w:hAnsi="Times New Roman" w:eastAsia="宋体" w:cs="Times New Roman"/>
                      <w:kern w:val="0"/>
                    </w:rPr>
                    <w:t>（成品）</w:t>
                  </w:r>
                </w:p>
              </w:tc>
              <w:tc>
                <w:tcPr>
                  <w:tcW w:w="451"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100</w:t>
                  </w:r>
                  <w:r>
                    <w:rPr>
                      <w:rFonts w:hint="eastAsia" w:ascii="Times New Roman" w:hAnsi="Times New Roman" w:eastAsia="宋体" w:cs="Times New Roman"/>
                      <w:kern w:val="0"/>
                    </w:rPr>
                    <w:t>台</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20台</w:t>
                  </w:r>
                </w:p>
              </w:tc>
              <w:tc>
                <w:tcPr>
                  <w:tcW w:w="602"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759"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厂房暂存区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4</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砂纸</w:t>
                  </w:r>
                </w:p>
              </w:tc>
              <w:tc>
                <w:tcPr>
                  <w:tcW w:w="451"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100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100</w:t>
                  </w:r>
                  <w:r>
                    <w:rPr>
                      <w:rFonts w:hint="eastAsia" w:ascii="Times New Roman" w:hAnsi="Times New Roman" w:eastAsia="宋体" w:cs="Times New Roman"/>
                      <w:kern w:val="0"/>
                    </w:rPr>
                    <w:t>kg</w:t>
                  </w:r>
                </w:p>
              </w:tc>
              <w:tc>
                <w:tcPr>
                  <w:tcW w:w="602"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袋装</w:t>
                  </w:r>
                </w:p>
              </w:tc>
              <w:tc>
                <w:tcPr>
                  <w:tcW w:w="759"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5</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胶带</w:t>
                  </w:r>
                </w:p>
              </w:tc>
              <w:tc>
                <w:tcPr>
                  <w:tcW w:w="451"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500</w:t>
                  </w:r>
                  <w:r>
                    <w:rPr>
                      <w:rFonts w:hint="eastAsia" w:ascii="Times New Roman" w:hAnsi="Times New Roman" w:eastAsia="宋体" w:cs="Times New Roman"/>
                      <w:kern w:val="0"/>
                    </w:rPr>
                    <w:t>卷</w:t>
                  </w:r>
                </w:p>
              </w:tc>
              <w:tc>
                <w:tcPr>
                  <w:tcW w:w="640"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500</w:t>
                  </w:r>
                  <w:r>
                    <w:rPr>
                      <w:rFonts w:hint="eastAsia" w:ascii="Times New Roman" w:hAnsi="Times New Roman" w:eastAsia="宋体" w:cs="Times New Roman"/>
                      <w:kern w:val="0"/>
                    </w:rPr>
                    <w:t>卷</w:t>
                  </w:r>
                </w:p>
              </w:tc>
              <w:tc>
                <w:tcPr>
                  <w:tcW w:w="602"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759"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6</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牛皮纸</w:t>
                  </w:r>
                </w:p>
              </w:tc>
              <w:tc>
                <w:tcPr>
                  <w:tcW w:w="451"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1000</w:t>
                  </w:r>
                  <w:r>
                    <w:rPr>
                      <w:rFonts w:hint="eastAsia" w:ascii="Times New Roman" w:hAnsi="Times New Roman" w:eastAsia="宋体" w:cs="Times New Roman"/>
                      <w:kern w:val="0"/>
                    </w:rPr>
                    <w:t>张</w:t>
                  </w:r>
                </w:p>
              </w:tc>
              <w:tc>
                <w:tcPr>
                  <w:tcW w:w="640"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1000</w:t>
                  </w:r>
                  <w:r>
                    <w:rPr>
                      <w:rFonts w:hint="eastAsia" w:ascii="Times New Roman" w:hAnsi="Times New Roman" w:eastAsia="宋体" w:cs="Times New Roman"/>
                      <w:kern w:val="0"/>
                    </w:rPr>
                    <w:t>张</w:t>
                  </w:r>
                </w:p>
              </w:tc>
              <w:tc>
                <w:tcPr>
                  <w:tcW w:w="602"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759"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7</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磨料（石英砂）</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2000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000</w:t>
                  </w:r>
                  <w:r>
                    <w:rPr>
                      <w:rFonts w:hint="eastAsia" w:ascii="Times New Roman" w:hAnsi="Times New Roman" w:eastAsia="宋体" w:cs="Times New Roman"/>
                      <w:kern w:val="0"/>
                    </w:rPr>
                    <w:t>kg</w:t>
                  </w:r>
                </w:p>
              </w:tc>
              <w:tc>
                <w:tcPr>
                  <w:tcW w:w="602"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袋装</w:t>
                  </w:r>
                </w:p>
              </w:tc>
              <w:tc>
                <w:tcPr>
                  <w:tcW w:w="759"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石英砂间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8</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金属砂砾</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5000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5</w:t>
                  </w:r>
                  <w:r>
                    <w:rPr>
                      <w:rFonts w:ascii="Times New Roman" w:hAnsi="Times New Roman" w:eastAsia="宋体" w:cs="Times New Roman"/>
                      <w:kern w:val="0"/>
                    </w:rPr>
                    <w:t>000</w:t>
                  </w:r>
                  <w:r>
                    <w:rPr>
                      <w:rFonts w:hint="eastAsia" w:ascii="Times New Roman" w:hAnsi="Times New Roman" w:eastAsia="宋体" w:cs="Times New Roman"/>
                      <w:kern w:val="0"/>
                    </w:rPr>
                    <w:t>kg</w:t>
                  </w:r>
                </w:p>
              </w:tc>
              <w:tc>
                <w:tcPr>
                  <w:tcW w:w="602"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袋装</w:t>
                  </w:r>
                </w:p>
              </w:tc>
              <w:tc>
                <w:tcPr>
                  <w:tcW w:w="759"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铸钢砂间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9</w:t>
                  </w:r>
                </w:p>
              </w:tc>
              <w:tc>
                <w:tcPr>
                  <w:tcW w:w="426" w:type="pct"/>
                  <w:vMerge w:val="restar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防热涂料</w:t>
                  </w:r>
                </w:p>
              </w:tc>
              <w:tc>
                <w:tcPr>
                  <w:tcW w:w="994"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防热涂料</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1800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200</w:t>
                  </w:r>
                  <w:r>
                    <w:rPr>
                      <w:rFonts w:hint="eastAsia" w:ascii="Times New Roman" w:hAnsi="Times New Roman" w:eastAsia="宋体" w:cs="Times New Roman"/>
                      <w:kern w:val="0"/>
                    </w:rPr>
                    <w:t>kg</w:t>
                  </w:r>
                </w:p>
              </w:tc>
              <w:tc>
                <w:tcPr>
                  <w:tcW w:w="602"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25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1</w:t>
                  </w:r>
                  <w:r>
                    <w:rPr>
                      <w:rFonts w:ascii="Times New Roman" w:hAnsi="Times New Roman" w:eastAsia="宋体" w:cs="Times New Roman"/>
                      <w:kern w:val="0"/>
                    </w:rPr>
                    <w:t>0</w:t>
                  </w:r>
                </w:p>
              </w:tc>
              <w:tc>
                <w:tcPr>
                  <w:tcW w:w="426" w:type="pct"/>
                  <w:vMerge w:val="continue"/>
                  <w:vAlign w:val="center"/>
                </w:tcPr>
                <w:p>
                  <w:pPr>
                    <w:jc w:val="center"/>
                    <w:rPr>
                      <w:rFonts w:ascii="Times New Roman" w:hAnsi="Times New Roman" w:eastAsia="宋体" w:cs="Times New Roman"/>
                      <w:kern w:val="0"/>
                    </w:rPr>
                  </w:pPr>
                </w:p>
              </w:tc>
              <w:tc>
                <w:tcPr>
                  <w:tcW w:w="994"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涂料固化剂</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5</w:t>
                  </w:r>
                  <w:r>
                    <w:rPr>
                      <w:rFonts w:ascii="Times New Roman" w:hAnsi="Times New Roman" w:eastAsia="宋体" w:cs="Times New Roman"/>
                      <w:kern w:val="0"/>
                    </w:rPr>
                    <w:t>4</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5</w:t>
                  </w:r>
                  <w:r>
                    <w:rPr>
                      <w:rFonts w:ascii="Times New Roman" w:hAnsi="Times New Roman" w:eastAsia="宋体" w:cs="Times New Roman"/>
                      <w:kern w:val="0"/>
                    </w:rPr>
                    <w:t>4</w:t>
                  </w:r>
                  <w:r>
                    <w:rPr>
                      <w:rFonts w:hint="eastAsia" w:ascii="Times New Roman" w:hAnsi="Times New Roman" w:eastAsia="宋体" w:cs="Times New Roman"/>
                      <w:kern w:val="0"/>
                    </w:rPr>
                    <w:t>kg</w:t>
                  </w:r>
                </w:p>
              </w:tc>
              <w:tc>
                <w:tcPr>
                  <w:tcW w:w="602"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25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1</w:t>
                  </w:r>
                  <w:r>
                    <w:rPr>
                      <w:rFonts w:ascii="Times New Roman" w:hAnsi="Times New Roman" w:eastAsia="宋体" w:cs="Times New Roman"/>
                      <w:kern w:val="0"/>
                    </w:rPr>
                    <w:t>1</w:t>
                  </w:r>
                </w:p>
              </w:tc>
              <w:tc>
                <w:tcPr>
                  <w:tcW w:w="426" w:type="pct"/>
                  <w:vMerge w:val="continue"/>
                  <w:vAlign w:val="center"/>
                </w:tcPr>
                <w:p>
                  <w:pPr>
                    <w:jc w:val="center"/>
                    <w:rPr>
                      <w:rFonts w:ascii="Times New Roman" w:hAnsi="Times New Roman" w:eastAsia="宋体" w:cs="Times New Roman"/>
                      <w:kern w:val="0"/>
                    </w:rPr>
                  </w:pPr>
                </w:p>
              </w:tc>
              <w:tc>
                <w:tcPr>
                  <w:tcW w:w="994"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涂料稀释剂</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1440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00</w:t>
                  </w:r>
                  <w:r>
                    <w:rPr>
                      <w:rFonts w:hint="eastAsia" w:ascii="Times New Roman" w:hAnsi="Times New Roman" w:eastAsia="宋体" w:cs="Times New Roman"/>
                      <w:kern w:val="0"/>
                    </w:rPr>
                    <w:t>kg</w:t>
                  </w:r>
                </w:p>
              </w:tc>
              <w:tc>
                <w:tcPr>
                  <w:tcW w:w="602"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25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1</w:t>
                  </w:r>
                  <w:r>
                    <w:rPr>
                      <w:rFonts w:ascii="Times New Roman" w:hAnsi="Times New Roman" w:eastAsia="宋体" w:cs="Times New Roman"/>
                      <w:kern w:val="0"/>
                    </w:rPr>
                    <w:t>2</w:t>
                  </w:r>
                </w:p>
              </w:tc>
              <w:tc>
                <w:tcPr>
                  <w:tcW w:w="426" w:type="pct"/>
                  <w:vMerge w:val="restar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油性面漆</w:t>
                  </w:r>
                </w:p>
              </w:tc>
              <w:tc>
                <w:tcPr>
                  <w:tcW w:w="994"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油性面漆</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200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200</w:t>
                  </w:r>
                  <w:r>
                    <w:rPr>
                      <w:rFonts w:hint="eastAsia" w:ascii="Times New Roman" w:hAnsi="Times New Roman" w:eastAsia="宋体" w:cs="Times New Roman"/>
                      <w:kern w:val="0"/>
                    </w:rPr>
                    <w:t>kg</w:t>
                  </w:r>
                </w:p>
              </w:tc>
              <w:tc>
                <w:tcPr>
                  <w:tcW w:w="602"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1</w:t>
                  </w:r>
                  <w:r>
                    <w:rPr>
                      <w:rFonts w:ascii="Times New Roman" w:hAnsi="Times New Roman" w:eastAsia="宋体" w:cs="Times New Roman"/>
                      <w:kern w:val="0"/>
                    </w:rPr>
                    <w:t>3</w:t>
                  </w:r>
                </w:p>
              </w:tc>
              <w:tc>
                <w:tcPr>
                  <w:tcW w:w="426" w:type="pct"/>
                  <w:vMerge w:val="continue"/>
                  <w:vAlign w:val="center"/>
                </w:tcPr>
                <w:p>
                  <w:pPr>
                    <w:jc w:val="center"/>
                    <w:rPr>
                      <w:rFonts w:ascii="Times New Roman" w:hAnsi="Times New Roman" w:eastAsia="宋体" w:cs="Times New Roman"/>
                      <w:kern w:val="0"/>
                    </w:rPr>
                  </w:pPr>
                </w:p>
              </w:tc>
              <w:tc>
                <w:tcPr>
                  <w:tcW w:w="994"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面漆稀释剂</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100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100</w:t>
                  </w:r>
                  <w:r>
                    <w:rPr>
                      <w:rFonts w:hint="eastAsia" w:ascii="Times New Roman" w:hAnsi="Times New Roman" w:eastAsia="宋体" w:cs="Times New Roman"/>
                      <w:kern w:val="0"/>
                    </w:rPr>
                    <w:t>kg</w:t>
                  </w:r>
                </w:p>
              </w:tc>
              <w:tc>
                <w:tcPr>
                  <w:tcW w:w="602"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25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1</w:t>
                  </w:r>
                  <w:r>
                    <w:rPr>
                      <w:rFonts w:ascii="Times New Roman" w:hAnsi="Times New Roman" w:eastAsia="宋体" w:cs="Times New Roman"/>
                      <w:kern w:val="0"/>
                    </w:rPr>
                    <w:t>4</w:t>
                  </w:r>
                </w:p>
              </w:tc>
              <w:tc>
                <w:tcPr>
                  <w:tcW w:w="426" w:type="pct"/>
                  <w:vMerge w:val="continue"/>
                  <w:vAlign w:val="center"/>
                </w:tcPr>
                <w:p>
                  <w:pPr>
                    <w:jc w:val="center"/>
                    <w:rPr>
                      <w:rFonts w:ascii="Times New Roman" w:hAnsi="Times New Roman" w:eastAsia="宋体" w:cs="Times New Roman"/>
                      <w:kern w:val="0"/>
                    </w:rPr>
                  </w:pPr>
                </w:p>
              </w:tc>
              <w:tc>
                <w:tcPr>
                  <w:tcW w:w="994"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面漆固化剂</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160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160</w:t>
                  </w:r>
                  <w:r>
                    <w:rPr>
                      <w:rFonts w:hint="eastAsia" w:ascii="Times New Roman" w:hAnsi="Times New Roman" w:eastAsia="宋体" w:cs="Times New Roman"/>
                      <w:kern w:val="0"/>
                    </w:rPr>
                    <w:t>kg</w:t>
                  </w:r>
                </w:p>
              </w:tc>
              <w:tc>
                <w:tcPr>
                  <w:tcW w:w="602"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25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1</w:t>
                  </w:r>
                  <w:r>
                    <w:rPr>
                      <w:rFonts w:ascii="Times New Roman" w:hAnsi="Times New Roman" w:eastAsia="宋体" w:cs="Times New Roman"/>
                      <w:kern w:val="0"/>
                    </w:rPr>
                    <w:t>5</w:t>
                  </w:r>
                </w:p>
              </w:tc>
              <w:tc>
                <w:tcPr>
                  <w:tcW w:w="426" w:type="pct"/>
                  <w:vMerge w:val="restar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油性底漆</w:t>
                  </w:r>
                </w:p>
              </w:tc>
              <w:tc>
                <w:tcPr>
                  <w:tcW w:w="994"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油性底漆（环氧富锌底漆A组分）</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3</w:t>
                  </w:r>
                  <w:r>
                    <w:rPr>
                      <w:rFonts w:ascii="Times New Roman" w:hAnsi="Times New Roman" w:eastAsia="宋体" w:cs="Times New Roman"/>
                      <w:kern w:val="0"/>
                    </w:rPr>
                    <w:t>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50</w:t>
                  </w:r>
                  <w:r>
                    <w:rPr>
                      <w:rFonts w:hint="eastAsia" w:ascii="Times New Roman" w:hAnsi="Times New Roman" w:eastAsia="宋体" w:cs="Times New Roman"/>
                      <w:kern w:val="0"/>
                    </w:rPr>
                    <w:t>kg</w:t>
                  </w:r>
                </w:p>
              </w:tc>
              <w:tc>
                <w:tcPr>
                  <w:tcW w:w="602"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17</w:t>
                  </w:r>
                </w:p>
              </w:tc>
              <w:tc>
                <w:tcPr>
                  <w:tcW w:w="426" w:type="pct"/>
                  <w:vMerge w:val="continue"/>
                  <w:vAlign w:val="center"/>
                </w:tcPr>
                <w:p>
                  <w:pPr>
                    <w:jc w:val="center"/>
                    <w:rPr>
                      <w:rFonts w:ascii="Times New Roman" w:hAnsi="Times New Roman" w:eastAsia="宋体" w:cs="Times New Roman"/>
                      <w:kern w:val="0"/>
                    </w:rPr>
                  </w:pPr>
                </w:p>
              </w:tc>
              <w:tc>
                <w:tcPr>
                  <w:tcW w:w="994"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底漆固化剂（环氧富锌底漆B组分）</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600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100</w:t>
                  </w:r>
                  <w:r>
                    <w:rPr>
                      <w:rFonts w:hint="eastAsia" w:ascii="Times New Roman" w:hAnsi="Times New Roman" w:eastAsia="宋体" w:cs="Times New Roman"/>
                      <w:kern w:val="0"/>
                    </w:rPr>
                    <w:t>kg</w:t>
                  </w:r>
                </w:p>
              </w:tc>
              <w:tc>
                <w:tcPr>
                  <w:tcW w:w="602"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25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1</w:t>
                  </w:r>
                  <w:r>
                    <w:rPr>
                      <w:rFonts w:ascii="Times New Roman" w:hAnsi="Times New Roman" w:eastAsia="宋体" w:cs="Times New Roman"/>
                      <w:kern w:val="0"/>
                    </w:rPr>
                    <w:t>8</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水性漆</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6</w:t>
                  </w:r>
                  <w:r>
                    <w:rPr>
                      <w:rFonts w:ascii="Times New Roman" w:hAnsi="Times New Roman" w:eastAsia="宋体" w:cs="Times New Roman"/>
                      <w:kern w:val="0"/>
                    </w:rPr>
                    <w:t>500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200</w:t>
                  </w:r>
                  <w:r>
                    <w:rPr>
                      <w:rFonts w:hint="eastAsia" w:ascii="Times New Roman" w:hAnsi="Times New Roman" w:eastAsia="宋体" w:cs="Times New Roman"/>
                      <w:kern w:val="0"/>
                    </w:rPr>
                    <w:t>kg</w:t>
                  </w:r>
                </w:p>
              </w:tc>
              <w:tc>
                <w:tcPr>
                  <w:tcW w:w="602"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1</w:t>
                  </w:r>
                  <w:r>
                    <w:rPr>
                      <w:rFonts w:ascii="Times New Roman" w:hAnsi="Times New Roman" w:eastAsia="宋体" w:cs="Times New Roman"/>
                      <w:kern w:val="0"/>
                    </w:rPr>
                    <w:t>9</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清洗剂</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00</w:t>
                  </w:r>
                  <w:r>
                    <w:rPr>
                      <w:rFonts w:hint="eastAsia" w:ascii="Times New Roman" w:hAnsi="Times New Roman" w:eastAsia="宋体" w:cs="Times New Roman"/>
                      <w:kern w:val="0"/>
                    </w:rPr>
                    <w:t>kg</w:t>
                  </w:r>
                </w:p>
              </w:tc>
              <w:tc>
                <w:tcPr>
                  <w:tcW w:w="602"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25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0</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切削液</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00</w:t>
                  </w:r>
                  <w:r>
                    <w:rPr>
                      <w:rFonts w:hint="eastAsia" w:ascii="Times New Roman" w:hAnsi="Times New Roman" w:eastAsia="宋体" w:cs="Times New Roman"/>
                      <w:kern w:val="0"/>
                    </w:rPr>
                    <w:t>kg</w:t>
                  </w:r>
                </w:p>
              </w:tc>
              <w:tc>
                <w:tcPr>
                  <w:tcW w:w="602"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25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1</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机油</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液体</w:t>
                  </w:r>
                </w:p>
              </w:tc>
              <w:tc>
                <w:tcPr>
                  <w:tcW w:w="638"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00</w:t>
                  </w:r>
                  <w:r>
                    <w:rPr>
                      <w:rFonts w:hint="eastAsia" w:ascii="Times New Roman" w:hAnsi="Times New Roman" w:eastAsia="宋体" w:cs="Times New Roman"/>
                      <w:kern w:val="0"/>
                    </w:rPr>
                    <w:t>kg</w:t>
                  </w:r>
                </w:p>
              </w:tc>
              <w:tc>
                <w:tcPr>
                  <w:tcW w:w="602"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25</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桶</w:t>
                  </w:r>
                </w:p>
              </w:tc>
              <w:tc>
                <w:tcPr>
                  <w:tcW w:w="759"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材料间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2</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防污手套</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4</w:t>
                  </w:r>
                  <w:r>
                    <w:rPr>
                      <w:rFonts w:ascii="Times New Roman" w:hAnsi="Times New Roman" w:eastAsia="宋体" w:cs="Times New Roman"/>
                      <w:kern w:val="0"/>
                    </w:rPr>
                    <w:t>0</w:t>
                  </w:r>
                  <w:r>
                    <w:rPr>
                      <w:rFonts w:hint="eastAsia" w:ascii="Times New Roman" w:hAnsi="Times New Roman" w:eastAsia="宋体" w:cs="Times New Roman"/>
                      <w:kern w:val="0"/>
                    </w:rPr>
                    <w:t>个</w:t>
                  </w:r>
                </w:p>
              </w:tc>
              <w:tc>
                <w:tcPr>
                  <w:tcW w:w="64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4</w:t>
                  </w:r>
                  <w:r>
                    <w:rPr>
                      <w:rFonts w:ascii="Times New Roman" w:hAnsi="Times New Roman" w:eastAsia="宋体" w:cs="Times New Roman"/>
                      <w:kern w:val="0"/>
                    </w:rPr>
                    <w:t>0</w:t>
                  </w:r>
                  <w:r>
                    <w:rPr>
                      <w:rFonts w:hint="eastAsia" w:ascii="Times New Roman" w:hAnsi="Times New Roman" w:eastAsia="宋体" w:cs="Times New Roman"/>
                      <w:kern w:val="0"/>
                    </w:rPr>
                    <w:t>个</w:t>
                  </w:r>
                </w:p>
              </w:tc>
              <w:tc>
                <w:tcPr>
                  <w:tcW w:w="602"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759"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3</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抹布</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6</w:t>
                  </w:r>
                  <w:r>
                    <w:rPr>
                      <w:rFonts w:ascii="Times New Roman" w:hAnsi="Times New Roman" w:eastAsia="宋体" w:cs="Times New Roman"/>
                      <w:kern w:val="0"/>
                    </w:rPr>
                    <w:t>0</w:t>
                  </w:r>
                  <w:r>
                    <w:rPr>
                      <w:rFonts w:hint="eastAsia" w:ascii="Times New Roman" w:hAnsi="Times New Roman" w:eastAsia="宋体" w:cs="Times New Roman"/>
                      <w:kern w:val="0"/>
                    </w:rPr>
                    <w:t>个</w:t>
                  </w:r>
                </w:p>
              </w:tc>
              <w:tc>
                <w:tcPr>
                  <w:tcW w:w="64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6</w:t>
                  </w:r>
                  <w:r>
                    <w:rPr>
                      <w:rFonts w:ascii="Times New Roman" w:hAnsi="Times New Roman" w:eastAsia="宋体" w:cs="Times New Roman"/>
                      <w:kern w:val="0"/>
                    </w:rPr>
                    <w:t>0</w:t>
                  </w:r>
                  <w:r>
                    <w:rPr>
                      <w:rFonts w:hint="eastAsia" w:ascii="Times New Roman" w:hAnsi="Times New Roman" w:eastAsia="宋体" w:cs="Times New Roman"/>
                      <w:kern w:val="0"/>
                    </w:rPr>
                    <w:t>个</w:t>
                  </w:r>
                </w:p>
              </w:tc>
              <w:tc>
                <w:tcPr>
                  <w:tcW w:w="602"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759"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4</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活性炭</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3</w:t>
                  </w:r>
                  <w:r>
                    <w:rPr>
                      <w:rFonts w:ascii="Times New Roman" w:hAnsi="Times New Roman" w:eastAsia="宋体" w:cs="Times New Roman"/>
                      <w:kern w:val="0"/>
                    </w:rPr>
                    <w:t>00</w:t>
                  </w:r>
                  <w:r>
                    <w:rPr>
                      <w:rFonts w:hint="eastAsia" w:ascii="Times New Roman" w:hAnsi="Times New Roman" w:eastAsia="宋体" w:cs="Times New Roman"/>
                      <w:kern w:val="0"/>
                    </w:rPr>
                    <w:t>kg</w:t>
                  </w:r>
                </w:p>
              </w:tc>
              <w:tc>
                <w:tcPr>
                  <w:tcW w:w="64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3</w:t>
                  </w:r>
                  <w:r>
                    <w:rPr>
                      <w:rFonts w:ascii="Times New Roman" w:hAnsi="Times New Roman" w:eastAsia="宋体" w:cs="Times New Roman"/>
                      <w:kern w:val="0"/>
                    </w:rPr>
                    <w:t>00</w:t>
                  </w:r>
                  <w:r>
                    <w:rPr>
                      <w:rFonts w:hint="eastAsia" w:ascii="Times New Roman" w:hAnsi="Times New Roman" w:eastAsia="宋体" w:cs="Times New Roman"/>
                      <w:kern w:val="0"/>
                    </w:rPr>
                    <w:t>kg</w:t>
                  </w:r>
                </w:p>
              </w:tc>
              <w:tc>
                <w:tcPr>
                  <w:tcW w:w="602"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759"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环保设施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5</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过滤纸盒</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200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jc w:val="center"/>
                    <w:rPr>
                      <w:rFonts w:ascii="Times New Roman" w:hAnsi="Times New Roman" w:eastAsia="宋体" w:cs="Times New Roman"/>
                      <w:kern w:val="0"/>
                    </w:rPr>
                  </w:pPr>
                  <w:r>
                    <w:rPr>
                      <w:rFonts w:ascii="Times New Roman" w:hAnsi="Times New Roman" w:eastAsia="宋体" w:cs="Times New Roman"/>
                      <w:kern w:val="0"/>
                    </w:rPr>
                    <w:t>200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02"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759"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环保设施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6</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催化剂</w:t>
                  </w:r>
                </w:p>
              </w:tc>
              <w:tc>
                <w:tcPr>
                  <w:tcW w:w="451"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固体</w:t>
                  </w:r>
                </w:p>
              </w:tc>
              <w:tc>
                <w:tcPr>
                  <w:tcW w:w="638"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4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2</w:t>
                  </w:r>
                  <w:r>
                    <w:rPr>
                      <w:rFonts w:ascii="Times New Roman" w:hAnsi="Times New Roman" w:eastAsia="宋体" w:cs="Times New Roman"/>
                      <w:kern w:val="0"/>
                    </w:rPr>
                    <w:t>0</w:t>
                  </w:r>
                  <w:r>
                    <w:rPr>
                      <w:rFonts w:hint="eastAsia" w:ascii="Times New Roman" w:hAnsi="Times New Roman" w:eastAsia="宋体" w:cs="Times New Roman"/>
                      <w:kern w:val="0"/>
                    </w:rPr>
                    <w:t>kg</w:t>
                  </w:r>
                  <w:r>
                    <w:rPr>
                      <w:rFonts w:ascii="Times New Roman" w:hAnsi="Times New Roman" w:eastAsia="宋体" w:cs="Times New Roman"/>
                      <w:kern w:val="0"/>
                    </w:rPr>
                    <w:t>/</w:t>
                  </w:r>
                  <w:r>
                    <w:rPr>
                      <w:rFonts w:hint="eastAsia" w:ascii="Times New Roman" w:hAnsi="Times New Roman" w:eastAsia="宋体" w:cs="Times New Roman"/>
                      <w:kern w:val="0"/>
                    </w:rPr>
                    <w:t>a</w:t>
                  </w:r>
                </w:p>
              </w:tc>
              <w:tc>
                <w:tcPr>
                  <w:tcW w:w="602"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759"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环保设施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000" w:type="pct"/>
                  <w:gridSpan w:val="8"/>
                </w:tcPr>
                <w:p>
                  <w:pPr>
                    <w:rPr>
                      <w:rFonts w:ascii="Times New Roman" w:hAnsi="Times New Roman" w:eastAsia="宋体" w:cs="Times New Roman"/>
                      <w:kern w:val="0"/>
                    </w:rPr>
                  </w:pPr>
                  <w:r>
                    <w:rPr>
                      <w:rFonts w:hint="eastAsia" w:ascii="Times New Roman" w:hAnsi="Times New Roman" w:eastAsia="宋体" w:cs="Times New Roman"/>
                      <w:b/>
                      <w:bCs/>
                      <w:kern w:val="0"/>
                    </w:rPr>
                    <w:t>二、能源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rPr>
                  </w:pPr>
                  <w:r>
                    <w:rPr>
                      <w:rFonts w:hint="eastAsia" w:ascii="Times New Roman" w:hAnsi="Times New Roman" w:eastAsia="宋体"/>
                    </w:rPr>
                    <w:t>1</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rPr>
                    <w:t>电</w:t>
                  </w:r>
                </w:p>
              </w:tc>
              <w:tc>
                <w:tcPr>
                  <w:tcW w:w="451"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rPr>
                    <w:t>万kwh</w:t>
                  </w:r>
                </w:p>
              </w:tc>
              <w:tc>
                <w:tcPr>
                  <w:tcW w:w="638"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3</w:t>
                  </w:r>
                  <w:r>
                    <w:rPr>
                      <w:rFonts w:ascii="Times New Roman" w:hAnsi="Times New Roman" w:eastAsia="宋体" w:cs="Times New Roman"/>
                      <w:kern w:val="0"/>
                    </w:rPr>
                    <w:t>0</w:t>
                  </w:r>
                </w:p>
              </w:tc>
              <w:tc>
                <w:tcPr>
                  <w:tcW w:w="64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602" w:type="pct"/>
                </w:tcPr>
                <w:p>
                  <w:pPr>
                    <w:jc w:val="center"/>
                    <w:rPr>
                      <w:rFonts w:ascii="Times New Roman" w:hAnsi="Times New Roman" w:eastAsia="宋体" w:cs="Times New Roman"/>
                      <w:kern w:val="0"/>
                    </w:rPr>
                  </w:pPr>
                </w:p>
              </w:tc>
              <w:tc>
                <w:tcPr>
                  <w:tcW w:w="759"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市政电网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0" w:type="pct"/>
                  <w:vAlign w:val="center"/>
                </w:tcPr>
                <w:p>
                  <w:pPr>
                    <w:jc w:val="center"/>
                    <w:rPr>
                      <w:rFonts w:ascii="Times New Roman" w:hAnsi="Times New Roman" w:eastAsia="宋体"/>
                    </w:rPr>
                  </w:pPr>
                  <w:r>
                    <w:rPr>
                      <w:rFonts w:hint="eastAsia" w:ascii="Times New Roman" w:hAnsi="Times New Roman" w:eastAsia="宋体"/>
                    </w:rPr>
                    <w:t>2</w:t>
                  </w:r>
                </w:p>
              </w:tc>
              <w:tc>
                <w:tcPr>
                  <w:tcW w:w="1420" w:type="pct"/>
                  <w:gridSpan w:val="2"/>
                  <w:vAlign w:val="center"/>
                </w:tcPr>
                <w:p>
                  <w:pPr>
                    <w:jc w:val="center"/>
                    <w:rPr>
                      <w:rFonts w:ascii="Times New Roman" w:hAnsi="Times New Roman" w:eastAsia="宋体" w:cs="Times New Roman"/>
                      <w:kern w:val="0"/>
                    </w:rPr>
                  </w:pPr>
                  <w:r>
                    <w:rPr>
                      <w:rFonts w:hint="eastAsia" w:ascii="Times New Roman" w:hAnsi="Times New Roman" w:eastAsia="宋体"/>
                    </w:rPr>
                    <w:t>水</w:t>
                  </w:r>
                </w:p>
              </w:tc>
              <w:tc>
                <w:tcPr>
                  <w:tcW w:w="451"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rPr>
                    <w:t>m</w:t>
                  </w:r>
                  <w:r>
                    <w:rPr>
                      <w:rFonts w:ascii="Times New Roman" w:hAnsi="Times New Roman" w:eastAsia="宋体"/>
                      <w:vertAlign w:val="superscript"/>
                    </w:rPr>
                    <w:t>3</w:t>
                  </w:r>
                  <w:r>
                    <w:rPr>
                      <w:rFonts w:ascii="Times New Roman" w:hAnsi="Times New Roman" w:eastAsia="宋体"/>
                    </w:rPr>
                    <w:t>/a</w:t>
                  </w:r>
                </w:p>
              </w:tc>
              <w:tc>
                <w:tcPr>
                  <w:tcW w:w="638"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5</w:t>
                  </w:r>
                  <w:r>
                    <w:rPr>
                      <w:rFonts w:ascii="Times New Roman" w:hAnsi="Times New Roman" w:eastAsia="宋体" w:cs="Times New Roman"/>
                      <w:kern w:val="0"/>
                    </w:rPr>
                    <w:t>61.3</w:t>
                  </w:r>
                </w:p>
              </w:tc>
              <w:tc>
                <w:tcPr>
                  <w:tcW w:w="640"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602" w:type="pct"/>
                </w:tcPr>
                <w:p>
                  <w:pPr>
                    <w:jc w:val="center"/>
                    <w:rPr>
                      <w:rFonts w:ascii="Times New Roman" w:hAnsi="Times New Roman" w:eastAsia="宋体" w:cs="Times New Roman"/>
                      <w:kern w:val="0"/>
                    </w:rPr>
                  </w:pPr>
                </w:p>
              </w:tc>
              <w:tc>
                <w:tcPr>
                  <w:tcW w:w="759"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市政管网</w:t>
                  </w:r>
                </w:p>
              </w:tc>
            </w:tr>
          </w:tbl>
          <w:p>
            <w:pPr>
              <w:pStyle w:val="36"/>
            </w:pPr>
            <w:r>
              <w:rPr>
                <w:rFonts w:hint="eastAsia"/>
              </w:rPr>
              <w:t>4、部分原材料成分及理化性质</w:t>
            </w:r>
          </w:p>
          <w:p>
            <w:pPr>
              <w:adjustRightInd w:val="0"/>
              <w:snapToGrid w:val="0"/>
              <w:spacing w:line="360" w:lineRule="auto"/>
              <w:ind w:firstLine="480" w:firstLineChars="200"/>
              <w:rPr>
                <w:rFonts w:ascii="Times New Roman" w:hAnsi="Times New Roman" w:eastAsia="宋体"/>
                <w:kern w:val="0"/>
                <w:sz w:val="24"/>
              </w:rPr>
            </w:pPr>
            <w:r>
              <w:rPr>
                <w:rFonts w:ascii="Times New Roman" w:hAnsi="Times New Roman" w:eastAsia="宋体"/>
                <w:kern w:val="0"/>
                <w:sz w:val="24"/>
              </w:rPr>
              <w:t>（1）主要原辅材料理化性质</w:t>
            </w:r>
          </w:p>
          <w:p>
            <w:pPr>
              <w:autoSpaceDE w:val="0"/>
              <w:autoSpaceDN w:val="0"/>
              <w:adjustRightInd w:val="0"/>
              <w:jc w:val="center"/>
              <w:rPr>
                <w:rFonts w:ascii="Times New Roman" w:hAnsi="Times New Roman" w:eastAsia="宋体" w:cs="宋体"/>
                <w:b/>
                <w:bCs/>
                <w:sz w:val="24"/>
                <w:szCs w:val="24"/>
              </w:rPr>
            </w:pPr>
            <w:r>
              <w:rPr>
                <w:rFonts w:hint="eastAsia" w:ascii="Times New Roman" w:hAnsi="Times New Roman" w:eastAsia="宋体" w:cs="宋体"/>
                <w:b/>
                <w:bCs/>
                <w:sz w:val="24"/>
                <w:szCs w:val="24"/>
              </w:rPr>
              <w:t>表2-</w:t>
            </w:r>
            <w:r>
              <w:rPr>
                <w:rFonts w:ascii="Times New Roman" w:hAnsi="Times New Roman" w:eastAsia="宋体" w:cs="宋体"/>
                <w:b/>
                <w:bCs/>
                <w:sz w:val="24"/>
                <w:szCs w:val="24"/>
              </w:rPr>
              <w:t>5</w:t>
            </w:r>
            <w:r>
              <w:rPr>
                <w:rFonts w:hint="eastAsia" w:ascii="Times New Roman" w:hAnsi="Times New Roman" w:eastAsia="宋体" w:cs="宋体"/>
                <w:b/>
                <w:bCs/>
                <w:sz w:val="24"/>
                <w:szCs w:val="24"/>
              </w:rPr>
              <w:t xml:space="preserve">  部分原料理化性质</w:t>
            </w:r>
          </w:p>
          <w:tbl>
            <w:tblPr>
              <w:tblStyle w:val="26"/>
              <w:tblW w:w="4999" w:type="pct"/>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autofit"/>
              <w:tblCellMar>
                <w:top w:w="0" w:type="dxa"/>
                <w:left w:w="0" w:type="dxa"/>
                <w:bottom w:w="0" w:type="dxa"/>
                <w:right w:w="0" w:type="dxa"/>
              </w:tblCellMar>
            </w:tblPr>
            <w:tblGrid>
              <w:gridCol w:w="1451"/>
              <w:gridCol w:w="6503"/>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cs="Times New Roman"/>
                      <w:b/>
                    </w:rPr>
                  </w:pPr>
                  <w:r>
                    <w:rPr>
                      <w:rFonts w:ascii="Times New Roman" w:hAnsi="Times New Roman" w:eastAsia="宋体" w:cs="Times New Roman"/>
                      <w:b/>
                    </w:rPr>
                    <w:t>名称</w:t>
                  </w:r>
                </w:p>
              </w:tc>
              <w:tc>
                <w:tcPr>
                  <w:tcW w:w="4088" w:type="pct"/>
                  <w:tcBorders>
                    <w:tl2br w:val="nil"/>
                    <w:tr2bl w:val="nil"/>
                  </w:tcBorders>
                  <w:vAlign w:val="center"/>
                </w:tcPr>
                <w:p>
                  <w:pPr>
                    <w:adjustRightInd w:val="0"/>
                    <w:snapToGrid w:val="0"/>
                    <w:jc w:val="center"/>
                    <w:rPr>
                      <w:rFonts w:ascii="Times New Roman" w:hAnsi="Times New Roman" w:eastAsia="宋体" w:cs="Times New Roman"/>
                      <w:b/>
                    </w:rPr>
                  </w:pPr>
                  <w:r>
                    <w:rPr>
                      <w:rFonts w:ascii="Times New Roman" w:hAnsi="Times New Roman" w:eastAsia="宋体" w:cs="Times New Roman"/>
                      <w:b/>
                    </w:rPr>
                    <w:t>理化性质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防热涂料</w:t>
                  </w:r>
                </w:p>
              </w:tc>
              <w:tc>
                <w:tcPr>
                  <w:tcW w:w="4088" w:type="pct"/>
                  <w:tcBorders>
                    <w:tl2br w:val="nil"/>
                    <w:tr2bl w:val="nil"/>
                  </w:tcBorders>
                  <w:vAlign w:val="center"/>
                </w:tcPr>
                <w:p>
                  <w:pPr>
                    <w:adjustRightInd w:val="0"/>
                    <w:snapToGrid w:val="0"/>
                    <w:rPr>
                      <w:rFonts w:ascii="Times New Roman" w:hAnsi="Times New Roman" w:eastAsia="宋体"/>
                    </w:rPr>
                  </w:pPr>
                  <w:r>
                    <w:rPr>
                      <w:rFonts w:hint="eastAsia"/>
                    </w:rPr>
                    <w:t>硅橡胶基常温固化橡胶，</w:t>
                  </w:r>
                  <w:r>
                    <w:rPr>
                      <w:rFonts w:hint="eastAsia" w:ascii="Times New Roman" w:hAnsi="Times New Roman" w:eastAsia="宋体"/>
                    </w:rPr>
                    <w:t>主要成分包括硅橡胶基常温固化橡胶、白炭黑、高强玻璃球或玻璃纤维等</w:t>
                  </w:r>
                  <w:r>
                    <w:rPr>
                      <w:rFonts w:ascii="Times New Roman" w:hAnsi="Times New Roman" w:eastAsia="宋体"/>
                    </w:rPr>
                    <w:t>。</w:t>
                  </w:r>
                  <w:r>
                    <w:rPr>
                      <w:rFonts w:hint="eastAsia" w:ascii="Times New Roman" w:hAnsi="Times New Roman" w:eastAsia="宋体"/>
                    </w:rPr>
                    <w:t>密度：</w:t>
                  </w:r>
                  <w:r>
                    <w:rPr>
                      <w:rFonts w:ascii="Times New Roman" w:hAnsi="Times New Roman" w:eastAsia="宋体"/>
                    </w:rPr>
                    <w:t>1.3g/cm</w:t>
                  </w:r>
                  <w:r>
                    <w:rPr>
                      <w:rFonts w:ascii="Times New Roman" w:hAnsi="Times New Roman" w:eastAsia="宋体"/>
                      <w:vertAlign w:val="superscript"/>
                    </w:rPr>
                    <w:t>3</w:t>
                  </w:r>
                  <w:r>
                    <w:rPr>
                      <w:rFonts w:hint="eastAsia" w:ascii="Times New Roman" w:hAnsi="Times New Roman" w:eastAsia="宋体"/>
                    </w:rPr>
                    <w:t>，危险特性：遇高热、明火有引起燃烧的危险。所含溶剂与氧化剂接触会猛烈反应，若遇高热，容器内压增大，有开裂和爆炸的危险。对地下水会造成污染。燃烧(分解)产物：一氧化碳、二氧化碳，可吸入颗粒物。灭火方法：喷水冷却容器，可能的话将容器从火场移至空旷处。灭火剂：泡沫、二氧化碳、干粉、砂土。</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涂料固化剂</w:t>
                  </w:r>
                </w:p>
              </w:tc>
              <w:tc>
                <w:tcPr>
                  <w:tcW w:w="4088" w:type="pct"/>
                  <w:tcBorders>
                    <w:tl2br w:val="nil"/>
                    <w:tr2bl w:val="nil"/>
                  </w:tcBorders>
                  <w:vAlign w:val="center"/>
                </w:tcPr>
                <w:p>
                  <w:pPr>
                    <w:adjustRightInd w:val="0"/>
                    <w:snapToGrid w:val="0"/>
                    <w:rPr>
                      <w:rFonts w:ascii="Times New Roman" w:hAnsi="Times New Roman" w:eastAsia="宋体"/>
                    </w:rPr>
                  </w:pPr>
                  <w:r>
                    <w:rPr>
                      <w:rFonts w:hint="eastAsia"/>
                    </w:rPr>
                    <w:t>主要成分包括丙二醇二乙酸酯、乙醇，</w:t>
                  </w:r>
                  <w:r>
                    <w:rPr>
                      <w:rFonts w:ascii="Times New Roman" w:hAnsi="Times New Roman" w:eastAsia="宋体"/>
                    </w:rPr>
                    <w:t>相对密度（水=1）：</w:t>
                  </w:r>
                  <w:r>
                    <w:rPr>
                      <w:rFonts w:hint="eastAsia" w:ascii="Times New Roman" w:hAnsi="Times New Roman" w:eastAsia="宋体"/>
                    </w:rPr>
                    <w:t>≤1。</w:t>
                  </w:r>
                  <w:r>
                    <w:rPr>
                      <w:rFonts w:ascii="Times New Roman" w:hAnsi="Times New Roman" w:eastAsia="宋体"/>
                    </w:rPr>
                    <w:t>溶解性：不溶于水，危险特性：易燃性液体，遇高温、明火、氧化剂有引起燃烧危险，其蒸汽与空气混合物在超过24℃状态下可能会形成爆炸性气体</w:t>
                  </w:r>
                  <w:r>
                    <w:rPr>
                      <w:rFonts w:hint="eastAsia" w:ascii="Times New Roman" w:hAnsi="Times New Roman" w:eastAsia="宋体"/>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涂料稀释剂</w:t>
                  </w:r>
                </w:p>
              </w:tc>
              <w:tc>
                <w:tcPr>
                  <w:tcW w:w="4088" w:type="pct"/>
                  <w:tcBorders>
                    <w:tl2br w:val="nil"/>
                    <w:tr2bl w:val="nil"/>
                  </w:tcBorders>
                  <w:vAlign w:val="center"/>
                </w:tcPr>
                <w:p>
                  <w:pPr>
                    <w:adjustRightInd w:val="0"/>
                    <w:snapToGrid w:val="0"/>
                    <w:rPr>
                      <w:rFonts w:ascii="Times New Roman" w:hAnsi="Times New Roman" w:eastAsia="宋体"/>
                    </w:rPr>
                  </w:pPr>
                  <w:r>
                    <w:rPr>
                      <w:rFonts w:ascii="Times New Roman" w:hAnsi="Times New Roman" w:eastAsia="宋体"/>
                    </w:rPr>
                    <w:t>为</w:t>
                  </w:r>
                  <w:r>
                    <w:rPr>
                      <w:rFonts w:hint="eastAsia" w:ascii="Times New Roman" w:hAnsi="Times New Roman" w:eastAsia="宋体"/>
                    </w:rPr>
                    <w:t>120#汽油，</w:t>
                  </w:r>
                  <w:r>
                    <w:rPr>
                      <w:rFonts w:ascii="Times New Roman" w:hAnsi="Times New Roman" w:eastAsia="宋体"/>
                    </w:rPr>
                    <w:t>危险特性：易燃性液体，遇高温、明火、氧化剂有引起燃烧危险，其蒸汽与空气混合物在超过24</w:t>
                  </w:r>
                  <w:r>
                    <w:rPr>
                      <w:rFonts w:hint="eastAsia" w:ascii="Times New Roman" w:hAnsi="Times New Roman" w:eastAsia="宋体"/>
                    </w:rPr>
                    <w:t>℃</w:t>
                  </w:r>
                  <w:r>
                    <w:rPr>
                      <w:rFonts w:ascii="Times New Roman" w:hAnsi="Times New Roman" w:eastAsia="宋体"/>
                    </w:rPr>
                    <w:t>状态下可能会形成爆炸性气体。</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油性底漆</w:t>
                  </w:r>
                </w:p>
              </w:tc>
              <w:tc>
                <w:tcPr>
                  <w:tcW w:w="4088" w:type="pct"/>
                  <w:tcBorders>
                    <w:tl2br w:val="nil"/>
                    <w:tr2bl w:val="nil"/>
                  </w:tcBorders>
                  <w:vAlign w:val="center"/>
                </w:tcPr>
                <w:p>
                  <w:pPr>
                    <w:adjustRightInd w:val="0"/>
                    <w:snapToGrid w:val="0"/>
                    <w:rPr>
                      <w:rFonts w:ascii="Times New Roman" w:hAnsi="Times New Roman" w:eastAsia="宋体"/>
                    </w:rPr>
                  </w:pPr>
                  <w:r>
                    <w:rPr>
                      <w:rFonts w:hint="eastAsia"/>
                    </w:rPr>
                    <w:t>环氧富锌底漆，</w:t>
                  </w:r>
                  <w:r>
                    <w:rPr>
                      <w:rFonts w:ascii="Times New Roman" w:hAnsi="Times New Roman" w:eastAsia="宋体"/>
                    </w:rPr>
                    <w:t>外观：粘稠液体，熔点（℃）：-75℃，相对密度（水=1）：1.1.2，沸点（℃）：107℃，沸点（℃）：107℃，溶解性：不溶于水，避免接触的条件：静电、火花、热、明火及饮水源，危险特性：易燃性液体，遇高温、明火、氧化剂有引起燃烧危险，其蒸汽与空气混合物在超过24℃状态下可能会形成爆炸性气体。</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油性面漆</w:t>
                  </w:r>
                </w:p>
              </w:tc>
              <w:tc>
                <w:tcPr>
                  <w:tcW w:w="4088" w:type="pct"/>
                  <w:tcBorders>
                    <w:tl2br w:val="nil"/>
                    <w:tr2bl w:val="nil"/>
                  </w:tcBorders>
                  <w:vAlign w:val="center"/>
                </w:tcPr>
                <w:p>
                  <w:pPr>
                    <w:rPr>
                      <w:rFonts w:ascii="Times New Roman" w:hAnsi="Times New Roman" w:eastAsia="宋体" w:cs="宋体"/>
                      <w:bCs/>
                      <w:kern w:val="0"/>
                    </w:rPr>
                  </w:pPr>
                  <w:r>
                    <w:rPr>
                      <w:rFonts w:hint="eastAsia"/>
                    </w:rPr>
                    <w:t>耐黄变亮光超白面漆，</w:t>
                  </w:r>
                  <w:r>
                    <w:rPr>
                      <w:rFonts w:hint="eastAsia" w:ascii="Times New Roman" w:hAnsi="Times New Roman" w:eastAsia="宋体"/>
                    </w:rPr>
                    <w:t>外观与性状：粘稠液体。pH值：7，熔点（℃）：-75℃，相对密度（水=1）：1</w:t>
                  </w:r>
                  <w:r>
                    <w:rPr>
                      <w:rFonts w:ascii="Times New Roman" w:hAnsi="Times New Roman" w:eastAsia="宋体"/>
                    </w:rPr>
                    <w:t>.2</w:t>
                  </w:r>
                  <w:r>
                    <w:rPr>
                      <w:rFonts w:hint="eastAsia" w:ascii="Times New Roman" w:hAnsi="Times New Roman" w:eastAsia="宋体"/>
                    </w:rPr>
                    <w:t>，沸点（℃）：107℃，相对蒸气密度（空气=1）：1.1</w:t>
                  </w:r>
                  <w:r>
                    <w:rPr>
                      <w:rFonts w:ascii="Times New Roman" w:hAnsi="Times New Roman" w:eastAsia="宋体"/>
                    </w:rPr>
                    <w:t>.1</w:t>
                  </w:r>
                  <w:r>
                    <w:rPr>
                      <w:rFonts w:hint="eastAsia" w:ascii="Times New Roman" w:hAnsi="Times New Roman" w:eastAsia="宋体"/>
                    </w:rPr>
                    <w:t>，饱和蒸汽压（kPa）：8.8mmHg（20 ℃），溶解性：不溶于水。稳定性：正常情况下稳定，避免接触的条件：静电、火花、热、明火及引水源。避免接触的材料：强酸、强碱及强氧化剂。燃爆危险：易燃性液体，其蒸汽与空气混合物在超过24℃ 状态下可能会形成爆炸性气体。健康危害：吸入高浓度蒸汽会造成头痛恶心呕吐及刺激眼睛黏膜及皮肤，皮肤接触均有害，对呼吸系统有刺激性，有严重伤害眼睛的危险，与皮肤接触会导致过敏。</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面漆稀释</w:t>
                  </w:r>
                  <w:r>
                    <w:rPr>
                      <w:rFonts w:ascii="Times New Roman" w:hAnsi="Times New Roman" w:eastAsia="宋体"/>
                    </w:rPr>
                    <w:t>剂</w:t>
                  </w:r>
                </w:p>
              </w:tc>
              <w:tc>
                <w:tcPr>
                  <w:tcW w:w="4088" w:type="pct"/>
                  <w:tcBorders>
                    <w:tl2br w:val="nil"/>
                    <w:tr2bl w:val="nil"/>
                  </w:tcBorders>
                  <w:vAlign w:val="center"/>
                </w:tcPr>
                <w:p>
                  <w:pPr>
                    <w:rPr>
                      <w:rFonts w:ascii="Times New Roman" w:hAnsi="Times New Roman" w:eastAsia="宋体"/>
                    </w:rPr>
                  </w:pPr>
                  <w:r>
                    <w:rPr>
                      <w:rFonts w:ascii="Times New Roman" w:hAnsi="Times New Roman" w:eastAsia="宋体"/>
                    </w:rPr>
                    <w:t>为二甲苯、溶剂油混合液态，为无色透明液体，易流动，能与无水乙醇、乙醚和其他许多有机溶剂混溶，具有刺激性气味，在水中不溶。危险特性：易燃性液体，遇高温、明火、氧化剂有引起燃烧危险，其蒸汽与空气混合物在超过24℃状态下可能会形成爆炸性气体。</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rPr>
                  </w:pPr>
                  <w:r>
                    <w:rPr>
                      <w:rFonts w:ascii="Times New Roman" w:hAnsi="Times New Roman" w:eastAsia="宋体"/>
                    </w:rPr>
                    <w:t>固化剂</w:t>
                  </w:r>
                  <w:r>
                    <w:rPr>
                      <w:rFonts w:hint="eastAsia" w:ascii="Times New Roman" w:hAnsi="Times New Roman" w:eastAsia="宋体"/>
                    </w:rPr>
                    <w:t>（底</w:t>
                  </w:r>
                  <w:r>
                    <w:rPr>
                      <w:rFonts w:ascii="Times New Roman" w:hAnsi="Times New Roman" w:eastAsia="宋体"/>
                    </w:rPr>
                    <w:t>漆</w:t>
                  </w:r>
                  <w:r>
                    <w:rPr>
                      <w:rFonts w:hint="eastAsia" w:ascii="Times New Roman" w:hAnsi="Times New Roman" w:eastAsia="宋体"/>
                    </w:rPr>
                    <w:t>、面漆）</w:t>
                  </w:r>
                </w:p>
              </w:tc>
              <w:tc>
                <w:tcPr>
                  <w:tcW w:w="4088" w:type="pct"/>
                  <w:tcBorders>
                    <w:tl2br w:val="nil"/>
                    <w:tr2bl w:val="nil"/>
                  </w:tcBorders>
                  <w:vAlign w:val="center"/>
                </w:tcPr>
                <w:p>
                  <w:pPr>
                    <w:adjustRightInd w:val="0"/>
                    <w:snapToGrid w:val="0"/>
                    <w:rPr>
                      <w:rFonts w:ascii="Times New Roman" w:hAnsi="Times New Roman" w:eastAsia="宋体"/>
                    </w:rPr>
                  </w:pPr>
                  <w:r>
                    <w:rPr>
                      <w:rFonts w:hint="eastAsia"/>
                    </w:rPr>
                    <w:t>油性面漆、底漆采用同种固化剂，为聚酰胺、二甲苯</w:t>
                  </w:r>
                  <w:r>
                    <w:rPr>
                      <w:rFonts w:hint="eastAsia" w:ascii="Times New Roman" w:hAnsi="Times New Roman" w:eastAsia="宋体"/>
                    </w:rPr>
                    <w:t>，</w:t>
                  </w:r>
                  <w:r>
                    <w:rPr>
                      <w:rFonts w:ascii="Times New Roman" w:hAnsi="Times New Roman" w:eastAsia="宋体"/>
                    </w:rPr>
                    <w:t>相对密度（水=1）：</w:t>
                  </w:r>
                  <w:r>
                    <w:rPr>
                      <w:rFonts w:hint="eastAsia" w:ascii="Times New Roman" w:hAnsi="Times New Roman" w:eastAsia="宋体"/>
                    </w:rPr>
                    <w:t>≤1。</w:t>
                  </w:r>
                  <w:r>
                    <w:rPr>
                      <w:rFonts w:ascii="Times New Roman" w:hAnsi="Times New Roman" w:eastAsia="宋体"/>
                    </w:rPr>
                    <w:t>溶解性：不溶于水，危险特性：易燃性液体，遇高温、明火、氧化剂有引起燃烧危险，其蒸汽与空气混合物在超过24℃状态下可能会形成爆炸性气体。</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水性漆</w:t>
                  </w:r>
                </w:p>
              </w:tc>
              <w:tc>
                <w:tcPr>
                  <w:tcW w:w="4088" w:type="pct"/>
                  <w:tcBorders>
                    <w:tl2br w:val="nil"/>
                    <w:tr2bl w:val="nil"/>
                  </w:tcBorders>
                  <w:vAlign w:val="center"/>
                </w:tcPr>
                <w:p>
                  <w:pPr>
                    <w:adjustRightInd w:val="0"/>
                    <w:snapToGrid w:val="0"/>
                    <w:rPr>
                      <w:rFonts w:ascii="Times New Roman" w:hAnsi="Times New Roman" w:eastAsia="宋体"/>
                    </w:rPr>
                  </w:pPr>
                  <w:r>
                    <w:rPr>
                      <w:rFonts w:hint="eastAsia"/>
                    </w:rPr>
                    <w:t>水性醇酸底面合一漆</w:t>
                  </w:r>
                  <w:r>
                    <w:rPr>
                      <w:rFonts w:hint="eastAsia" w:ascii="Times New Roman" w:hAnsi="Times New Roman" w:eastAsia="宋体"/>
                    </w:rPr>
                    <w:t>，</w:t>
                  </w:r>
                  <w:r>
                    <w:rPr>
                      <w:rFonts w:ascii="Times New Roman" w:hAnsi="Times New Roman" w:eastAsia="宋体"/>
                    </w:rPr>
                    <w:t>具有无气味、无污染、易擦洗、防火防爆、安全可靠、机械性能优良的特点。以水作为分散介质，节约能源、污染小，黏度27Pa·s，</w:t>
                  </w:r>
                  <w:r>
                    <w:rPr>
                      <w:rFonts w:hint="eastAsia" w:ascii="Times New Roman" w:hAnsi="Times New Roman" w:eastAsia="宋体"/>
                    </w:rPr>
                    <w:t>相对密度（水=1）：1</w:t>
                  </w:r>
                  <w:r>
                    <w:rPr>
                      <w:rFonts w:ascii="Times New Roman" w:hAnsi="Times New Roman" w:eastAsia="宋体"/>
                    </w:rPr>
                    <w:t>.1，水性聚氨酯对基材有着极高的附着力，固化的漆膜耐腐蚀性、耐化学性能优异，涂膜收缩率小、硬度高、耐磨性好、电气绝缘性能优异，具有极高的物理和耐化学性能。在同等硬度条件下具有很好的断裂延长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清洗剂</w:t>
                  </w:r>
                </w:p>
              </w:tc>
              <w:tc>
                <w:tcPr>
                  <w:tcW w:w="4088" w:type="pct"/>
                  <w:tcBorders>
                    <w:tl2br w:val="nil"/>
                    <w:tr2bl w:val="nil"/>
                  </w:tcBorders>
                  <w:vAlign w:val="center"/>
                </w:tcPr>
                <w:p>
                  <w:pPr>
                    <w:adjustRightInd w:val="0"/>
                    <w:snapToGrid w:val="0"/>
                    <w:rPr>
                      <w:rFonts w:ascii="Times New Roman" w:hAnsi="Times New Roman" w:eastAsia="宋体"/>
                    </w:rPr>
                  </w:pPr>
                  <w:r>
                    <w:rPr>
                      <w:rFonts w:ascii="Times New Roman" w:hAnsi="Times New Roman" w:eastAsia="宋体"/>
                    </w:rPr>
                    <w:t>为</w:t>
                  </w:r>
                  <w:r>
                    <w:rPr>
                      <w:rFonts w:hint="eastAsia" w:ascii="Times New Roman" w:hAnsi="Times New Roman" w:eastAsia="宋体"/>
                    </w:rPr>
                    <w:t>120#汽油60%，丙酮40%，</w:t>
                  </w:r>
                  <w:r>
                    <w:rPr>
                      <w:rFonts w:ascii="Times New Roman" w:hAnsi="Times New Roman" w:eastAsia="宋体"/>
                    </w:rPr>
                    <w:t>是一种快速有效的溶剂型清洗剂</w:t>
                  </w:r>
                  <w:r>
                    <w:rPr>
                      <w:rFonts w:hint="eastAsia" w:ascii="Times New Roman" w:hAnsi="Times New Roman" w:eastAsia="宋体"/>
                    </w:rPr>
                    <w:t>，</w:t>
                  </w:r>
                  <w:r>
                    <w:rPr>
                      <w:rFonts w:ascii="Times New Roman" w:hAnsi="Times New Roman" w:eastAsia="宋体"/>
                    </w:rPr>
                    <w:t>危险特性：易燃性液体，遇高温、明火、氧化剂有引起燃烧危险。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切削液</w:t>
                  </w:r>
                </w:p>
              </w:tc>
              <w:tc>
                <w:tcPr>
                  <w:tcW w:w="4088" w:type="pct"/>
                  <w:tcBorders>
                    <w:tl2br w:val="nil"/>
                    <w:tr2bl w:val="nil"/>
                  </w:tcBorders>
                  <w:vAlign w:val="center"/>
                </w:tcPr>
                <w:p>
                  <w:pPr>
                    <w:adjustRightInd w:val="0"/>
                    <w:snapToGrid w:val="0"/>
                    <w:rPr>
                      <w:rFonts w:ascii="Times New Roman" w:hAnsi="Times New Roman" w:eastAsia="宋体"/>
                    </w:rPr>
                  </w:pPr>
                  <w:r>
                    <w:rPr>
                      <w:rFonts w:ascii="Times New Roman" w:hAnsi="Times New Roman" w:eastAsia="宋体"/>
                    </w:rPr>
                    <w:t>是一种用在</w:t>
                  </w:r>
                  <w:r>
                    <w:fldChar w:fldCharType="begin"/>
                  </w:r>
                  <w:r>
                    <w:instrText xml:space="preserve"> HYPERLINK "https://baike.baidu.com/item/%E9%87%91%E5%B1%9E%E5%88%87%E5%89%8A/349128?fromModule=lemma_inlink" \t "_blank" </w:instrText>
                  </w:r>
                  <w:r>
                    <w:fldChar w:fldCharType="separate"/>
                  </w:r>
                  <w:r>
                    <w:rPr>
                      <w:rFonts w:ascii="Times New Roman" w:hAnsi="Times New Roman" w:eastAsia="宋体"/>
                    </w:rPr>
                    <w:t>金属切削</w:t>
                  </w:r>
                  <w:r>
                    <w:rPr>
                      <w:rFonts w:ascii="Times New Roman" w:hAnsi="Times New Roman" w:eastAsia="宋体"/>
                    </w:rPr>
                    <w:fldChar w:fldCharType="end"/>
                  </w:r>
                  <w:r>
                    <w:rPr>
                      <w:rFonts w:ascii="Times New Roman" w:hAnsi="Times New Roman" w:eastAsia="宋体"/>
                    </w:rPr>
                    <w:t>、磨加工过程中，用来冷却和润滑</w:t>
                  </w:r>
                  <w:r>
                    <w:fldChar w:fldCharType="begin"/>
                  </w:r>
                  <w:r>
                    <w:instrText xml:space="preserve"> HYPERLINK "https://baike.baidu.com/item/%E5%88%80%E5%85%B7/495981?fromModule=lemma_inlink" \t "_blank" </w:instrText>
                  </w:r>
                  <w:r>
                    <w:fldChar w:fldCharType="separate"/>
                  </w:r>
                  <w:r>
                    <w:rPr>
                      <w:rFonts w:ascii="Times New Roman" w:hAnsi="Times New Roman" w:eastAsia="宋体"/>
                    </w:rPr>
                    <w:t>刀具</w:t>
                  </w:r>
                  <w:r>
                    <w:rPr>
                      <w:rFonts w:ascii="Times New Roman" w:hAnsi="Times New Roman" w:eastAsia="宋体"/>
                    </w:rPr>
                    <w:fldChar w:fldCharType="end"/>
                  </w:r>
                  <w:r>
                    <w:rPr>
                      <w:rFonts w:ascii="Times New Roman" w:hAnsi="Times New Roman" w:eastAsia="宋体"/>
                    </w:rPr>
                    <w:t>和加工件的工业用液体，切削液由多种超强功能助剂经科学复合配合而成，同时具备良好的冷却性能、润滑性能、防锈性能、除油清洗功能、防腐功能、易稀释特点</w:t>
                  </w:r>
                  <w:r>
                    <w:rPr>
                      <w:rFonts w:hint="eastAsia" w:ascii="Times New Roman" w:hAnsi="Times New Roman" w:eastAsia="宋体"/>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12" w:type="pct"/>
                  <w:tcBorders>
                    <w:tl2br w:val="nil"/>
                    <w:tr2bl w:val="nil"/>
                  </w:tcBorders>
                  <w:vAlign w:val="center"/>
                </w:tcPr>
                <w:p>
                  <w:pPr>
                    <w:adjustRightInd w:val="0"/>
                    <w:snapToGrid w:val="0"/>
                    <w:jc w:val="center"/>
                    <w:rPr>
                      <w:rFonts w:ascii="Times New Roman" w:hAnsi="Times New Roman" w:eastAsia="宋体"/>
                    </w:rPr>
                  </w:pPr>
                  <w:r>
                    <w:rPr>
                      <w:rFonts w:hint="eastAsia" w:ascii="Times New Roman" w:hAnsi="Times New Roman" w:eastAsia="宋体"/>
                    </w:rPr>
                    <w:t>机油</w:t>
                  </w:r>
                </w:p>
              </w:tc>
              <w:tc>
                <w:tcPr>
                  <w:tcW w:w="4088" w:type="pct"/>
                  <w:tcBorders>
                    <w:tl2br w:val="nil"/>
                    <w:tr2bl w:val="nil"/>
                  </w:tcBorders>
                  <w:vAlign w:val="center"/>
                </w:tcPr>
                <w:p>
                  <w:pPr>
                    <w:adjustRightInd w:val="0"/>
                    <w:snapToGrid w:val="0"/>
                    <w:rPr>
                      <w:rFonts w:ascii="Times New Roman" w:hAnsi="Times New Roman" w:eastAsia="宋体"/>
                    </w:rPr>
                  </w:pPr>
                  <w:r>
                    <w:rPr>
                      <w:rFonts w:ascii="Times New Roman" w:hAnsi="Times New Roman" w:eastAsia="宋体"/>
                    </w:rPr>
                    <w:t>外观与性状：淡黄色液体，溶解性：微溶液于水，溶液于乙醇、乙醚，相对密度（水＝1）：0.871，燃烧性：可燃，稳定性：稳定，引燃温度（</w:t>
                  </w:r>
                  <w:r>
                    <w:rPr>
                      <w:rFonts w:hint="eastAsia" w:ascii="Times New Roman" w:hAnsi="Times New Roman" w:eastAsia="宋体"/>
                    </w:rPr>
                    <w:t>℃</w:t>
                  </w:r>
                  <w:r>
                    <w:rPr>
                      <w:rFonts w:ascii="Times New Roman" w:hAnsi="Times New Roman" w:eastAsia="宋体"/>
                    </w:rPr>
                    <w:t>）：220-500，危险特性：遇明火、高热能引起燃烧、爆炸。</w:t>
                  </w:r>
                </w:p>
              </w:tc>
            </w:tr>
          </w:tbl>
          <w:p>
            <w:pPr>
              <w:tabs>
                <w:tab w:val="left" w:pos="0"/>
                <w:tab w:val="right" w:leader="dot" w:pos="8302"/>
              </w:tabs>
              <w:spacing w:line="360" w:lineRule="auto"/>
              <w:ind w:firstLine="480" w:firstLineChars="200"/>
              <w:rPr>
                <w:rFonts w:ascii="Times New Roman" w:hAnsi="Times New Roman" w:eastAsia="宋体"/>
                <w:sz w:val="24"/>
              </w:rPr>
            </w:pPr>
            <w:r>
              <w:rPr>
                <w:rFonts w:hint="eastAsia" w:ascii="Times New Roman" w:hAnsi="Times New Roman" w:eastAsia="宋体"/>
                <w:sz w:val="24"/>
              </w:rPr>
              <w:t>（2）挥发性原辅材料成分分析</w:t>
            </w:r>
          </w:p>
          <w:p>
            <w:pPr>
              <w:tabs>
                <w:tab w:val="left" w:pos="0"/>
                <w:tab w:val="right" w:leader="dot" w:pos="8302"/>
              </w:tabs>
              <w:spacing w:line="360" w:lineRule="auto"/>
              <w:ind w:firstLine="480" w:firstLineChars="200"/>
              <w:rPr>
                <w:rFonts w:ascii="Times New Roman" w:hAnsi="Times New Roman" w:eastAsia="宋体"/>
                <w:sz w:val="24"/>
              </w:rPr>
            </w:pPr>
            <w:r>
              <w:rPr>
                <w:rFonts w:hint="eastAsia" w:ascii="Times New Roman" w:hAnsi="Times New Roman" w:eastAsia="宋体"/>
                <w:sz w:val="24"/>
              </w:rPr>
              <w:t>a、防热涂料、涂料稀释剂</w:t>
            </w:r>
          </w:p>
          <w:p>
            <w:pPr>
              <w:tabs>
                <w:tab w:val="left" w:pos="0"/>
                <w:tab w:val="right" w:leader="dot" w:pos="8302"/>
              </w:tabs>
              <w:spacing w:line="360" w:lineRule="auto"/>
              <w:ind w:firstLine="480" w:firstLineChars="200"/>
              <w:rPr>
                <w:rFonts w:ascii="Times New Roman" w:hAnsi="Times New Roman" w:eastAsia="宋体"/>
                <w:sz w:val="24"/>
              </w:rPr>
            </w:pPr>
            <w:r>
              <w:rPr>
                <w:rFonts w:hint="eastAsia" w:ascii="Times New Roman" w:hAnsi="Times New Roman" w:eastAsia="宋体"/>
                <w:sz w:val="24"/>
              </w:rPr>
              <w:t>根据厂家提供的检测报告，防热涂料、涂料稀释剂分析</w:t>
            </w:r>
            <w:r>
              <w:rPr>
                <w:rFonts w:ascii="Times New Roman" w:hAnsi="Times New Roman" w:eastAsia="宋体"/>
                <w:sz w:val="24"/>
              </w:rPr>
              <w:t>见表2-6</w:t>
            </w:r>
            <w:r>
              <w:rPr>
                <w:rFonts w:hint="eastAsia" w:ascii="Times New Roman" w:hAnsi="Times New Roman" w:eastAsia="宋体"/>
                <w:sz w:val="24"/>
              </w:rPr>
              <w:t>，其中V</w:t>
            </w:r>
            <w:r>
              <w:rPr>
                <w:rFonts w:ascii="Times New Roman" w:hAnsi="Times New Roman" w:eastAsia="宋体"/>
                <w:sz w:val="24"/>
              </w:rPr>
              <w:t>OC</w:t>
            </w:r>
            <w:r>
              <w:rPr>
                <w:rFonts w:hint="eastAsia" w:ascii="Times New Roman" w:hAnsi="Times New Roman" w:eastAsia="宋体"/>
                <w:sz w:val="24"/>
              </w:rPr>
              <w:t>s挥发检测报告数据为涂料及稀释剂混合后的检测数据，详见附件6。</w:t>
            </w:r>
          </w:p>
          <w:p>
            <w:pPr>
              <w:tabs>
                <w:tab w:val="left" w:pos="0"/>
                <w:tab w:val="right" w:leader="dot" w:pos="8302"/>
              </w:tabs>
              <w:adjustRightInd w:val="0"/>
              <w:snapToGrid w:val="0"/>
              <w:jc w:val="center"/>
              <w:rPr>
                <w:rFonts w:ascii="Times New Roman" w:hAnsi="Times New Roman" w:eastAsia="宋体"/>
                <w:b/>
                <w:bCs/>
                <w:sz w:val="24"/>
              </w:rPr>
            </w:pPr>
          </w:p>
          <w:p>
            <w:pPr>
              <w:tabs>
                <w:tab w:val="left" w:pos="0"/>
                <w:tab w:val="right" w:leader="dot" w:pos="8302"/>
              </w:tabs>
              <w:adjustRightInd w:val="0"/>
              <w:snapToGrid w:val="0"/>
              <w:jc w:val="center"/>
              <w:rPr>
                <w:rFonts w:ascii="Times New Roman" w:hAnsi="Times New Roman" w:eastAsia="宋体"/>
                <w:b/>
                <w:bCs/>
                <w:sz w:val="24"/>
              </w:rPr>
            </w:pPr>
            <w:r>
              <w:rPr>
                <w:rFonts w:hint="eastAsia" w:ascii="Times New Roman" w:hAnsi="Times New Roman" w:eastAsia="宋体"/>
                <w:b/>
                <w:bCs/>
                <w:sz w:val="24"/>
              </w:rPr>
              <w:t>表</w:t>
            </w:r>
            <w:r>
              <w:rPr>
                <w:rFonts w:ascii="Times New Roman" w:hAnsi="Times New Roman" w:eastAsia="宋体"/>
                <w:b/>
                <w:bCs/>
                <w:sz w:val="24"/>
              </w:rPr>
              <w:t xml:space="preserve">2-6  </w:t>
            </w:r>
            <w:r>
              <w:rPr>
                <w:rFonts w:hint="eastAsia" w:ascii="Times New Roman" w:hAnsi="Times New Roman" w:eastAsia="宋体"/>
                <w:b/>
                <w:bCs/>
                <w:sz w:val="24"/>
              </w:rPr>
              <w:t>防热涂料、涂料稀释剂分析表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1642"/>
              <w:gridCol w:w="1779"/>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41" w:type="pct"/>
                  <w:vAlign w:val="center"/>
                </w:tcPr>
                <w:p>
                  <w:pPr>
                    <w:pStyle w:val="57"/>
                    <w:jc w:val="center"/>
                    <w:rPr>
                      <w:b/>
                      <w:bCs/>
                    </w:rPr>
                  </w:pPr>
                  <w:r>
                    <w:rPr>
                      <w:rFonts w:hint="eastAsia"/>
                      <w:b/>
                      <w:bCs/>
                    </w:rPr>
                    <w:t>名称</w:t>
                  </w:r>
                </w:p>
              </w:tc>
              <w:tc>
                <w:tcPr>
                  <w:tcW w:w="1031" w:type="pct"/>
                  <w:vAlign w:val="center"/>
                </w:tcPr>
                <w:p>
                  <w:pPr>
                    <w:pStyle w:val="57"/>
                    <w:jc w:val="center"/>
                    <w:rPr>
                      <w:b/>
                      <w:bCs/>
                    </w:rPr>
                  </w:pPr>
                  <w:r>
                    <w:rPr>
                      <w:rFonts w:hint="eastAsia"/>
                      <w:b/>
                      <w:bCs/>
                    </w:rPr>
                    <w:t>配比</w:t>
                  </w:r>
                </w:p>
              </w:tc>
              <w:tc>
                <w:tcPr>
                  <w:tcW w:w="1117" w:type="pct"/>
                  <w:vAlign w:val="center"/>
                </w:tcPr>
                <w:p>
                  <w:pPr>
                    <w:pStyle w:val="57"/>
                    <w:jc w:val="center"/>
                    <w:rPr>
                      <w:b/>
                      <w:bCs/>
                    </w:rPr>
                  </w:pPr>
                  <w:r>
                    <w:rPr>
                      <w:rFonts w:hint="eastAsia"/>
                      <w:b/>
                      <w:bCs/>
                    </w:rPr>
                    <w:t>混合后V</w:t>
                  </w:r>
                  <w:r>
                    <w:rPr>
                      <w:b/>
                      <w:bCs/>
                    </w:rPr>
                    <w:t>OCs</w:t>
                  </w:r>
                </w:p>
                <w:p>
                  <w:pPr>
                    <w:pStyle w:val="57"/>
                    <w:jc w:val="center"/>
                    <w:rPr>
                      <w:b/>
                      <w:bCs/>
                    </w:rPr>
                  </w:pPr>
                  <w:r>
                    <w:rPr>
                      <w:rFonts w:hint="eastAsia"/>
                      <w:b/>
                      <w:bCs/>
                    </w:rPr>
                    <w:t>挥发量</w:t>
                  </w:r>
                </w:p>
              </w:tc>
              <w:tc>
                <w:tcPr>
                  <w:tcW w:w="1510" w:type="pct"/>
                  <w:vAlign w:val="center"/>
                </w:tcPr>
                <w:p>
                  <w:pPr>
                    <w:pStyle w:val="57"/>
                    <w:jc w:val="center"/>
                    <w:rPr>
                      <w:b/>
                      <w:bCs/>
                    </w:rPr>
                  </w:pPr>
                  <w:r>
                    <w:rPr>
                      <w:rFonts w:hint="eastAsia"/>
                      <w:b/>
                      <w:bCs/>
                    </w:rPr>
                    <w:t>G</w:t>
                  </w:r>
                  <w:r>
                    <w:rPr>
                      <w:b/>
                      <w:bCs/>
                    </w:rPr>
                    <w:t>B/T38597</w:t>
                  </w:r>
                </w:p>
                <w:p>
                  <w:pPr>
                    <w:pStyle w:val="57"/>
                    <w:jc w:val="center"/>
                    <w:rPr>
                      <w:b/>
                      <w:bCs/>
                    </w:rPr>
                  </w:pPr>
                  <w:r>
                    <w:rPr>
                      <w:b/>
                      <w:bCs/>
                    </w:rPr>
                    <w:t>-2020</w:t>
                  </w:r>
                  <w:r>
                    <w:rPr>
                      <w:rFonts w:hint="eastAsia"/>
                      <w:b/>
                      <w:bCs/>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41" w:type="pct"/>
                  <w:vAlign w:val="center"/>
                </w:tcPr>
                <w:p>
                  <w:pPr>
                    <w:adjustRightInd w:val="0"/>
                    <w:snapToGrid w:val="0"/>
                    <w:jc w:val="center"/>
                    <w:rPr>
                      <w:rFonts w:ascii="Times New Roman" w:hAnsi="Times New Roman" w:eastAsia="宋体"/>
                    </w:rPr>
                  </w:pPr>
                  <w:r>
                    <w:rPr>
                      <w:rFonts w:hint="eastAsia"/>
                    </w:rPr>
                    <w:t>硅</w:t>
                  </w:r>
                  <w:r>
                    <w:rPr>
                      <w:rFonts w:hint="eastAsia" w:ascii="Times New Roman" w:hAnsi="Times New Roman" w:eastAsia="宋体"/>
                    </w:rPr>
                    <w:t>橡胶基常温固化橡胶</w:t>
                  </w:r>
                </w:p>
              </w:tc>
              <w:tc>
                <w:tcPr>
                  <w:tcW w:w="1031" w:type="pct"/>
                  <w:vMerge w:val="restart"/>
                  <w:vAlign w:val="center"/>
                </w:tcPr>
                <w:p>
                  <w:pPr>
                    <w:pStyle w:val="57"/>
                    <w:jc w:val="center"/>
                    <w:rPr>
                      <w:b/>
                    </w:rPr>
                  </w:pPr>
                  <w:r>
                    <w:rPr>
                      <w:rFonts w:hint="eastAsia"/>
                    </w:rPr>
                    <w:t>防热涂料：固化剂：稀释剂</w:t>
                  </w:r>
                  <w:r>
                    <w:rPr>
                      <w:rFonts w:hint="eastAsia"/>
                      <w:bCs/>
                    </w:rPr>
                    <w:t>=</w:t>
                  </w:r>
                  <w:r>
                    <w:rPr>
                      <w:bCs/>
                    </w:rPr>
                    <w:t>100</w:t>
                  </w:r>
                  <w:r>
                    <w:rPr>
                      <w:rFonts w:hint="eastAsia"/>
                      <w:bCs/>
                    </w:rPr>
                    <w:t>：3：</w:t>
                  </w:r>
                  <w:r>
                    <w:rPr>
                      <w:bCs/>
                    </w:rPr>
                    <w:t>80</w:t>
                  </w:r>
                </w:p>
              </w:tc>
              <w:tc>
                <w:tcPr>
                  <w:tcW w:w="1117" w:type="pct"/>
                  <w:vMerge w:val="restart"/>
                  <w:vAlign w:val="center"/>
                </w:tcPr>
                <w:p>
                  <w:pPr>
                    <w:pStyle w:val="57"/>
                    <w:jc w:val="center"/>
                    <w:rPr>
                      <w:b/>
                    </w:rPr>
                  </w:pPr>
                  <w:r>
                    <w:t>316g/L</w:t>
                  </w:r>
                  <w:r>
                    <w:rPr>
                      <w:rFonts w:hint="eastAsia"/>
                    </w:rPr>
                    <w:t>（附件6，混合后检测）</w:t>
                  </w:r>
                </w:p>
              </w:tc>
              <w:tc>
                <w:tcPr>
                  <w:tcW w:w="1510" w:type="pct"/>
                  <w:vMerge w:val="restart"/>
                  <w:vAlign w:val="center"/>
                </w:tcPr>
                <w:p>
                  <w:pPr>
                    <w:pStyle w:val="57"/>
                    <w:jc w:val="center"/>
                  </w:pPr>
                  <w: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41" w:type="pct"/>
                  <w:vAlign w:val="center"/>
                </w:tcPr>
                <w:p>
                  <w:pPr>
                    <w:adjustRightInd w:val="0"/>
                    <w:snapToGrid w:val="0"/>
                    <w:jc w:val="center"/>
                    <w:rPr>
                      <w:rFonts w:ascii="Times New Roman" w:hAnsi="Times New Roman" w:eastAsia="宋体"/>
                    </w:rPr>
                  </w:pPr>
                  <w:r>
                    <w:rPr>
                      <w:rFonts w:hint="eastAsia" w:ascii="Times New Roman" w:hAnsi="Times New Roman" w:eastAsia="宋体"/>
                    </w:rPr>
                    <w:t>涂料固化剂</w:t>
                  </w:r>
                </w:p>
              </w:tc>
              <w:tc>
                <w:tcPr>
                  <w:tcW w:w="1031" w:type="pct"/>
                  <w:vMerge w:val="continue"/>
                  <w:vAlign w:val="center"/>
                </w:tcPr>
                <w:p>
                  <w:pPr>
                    <w:pStyle w:val="57"/>
                    <w:jc w:val="center"/>
                  </w:pPr>
                </w:p>
              </w:tc>
              <w:tc>
                <w:tcPr>
                  <w:tcW w:w="1117" w:type="pct"/>
                  <w:vMerge w:val="continue"/>
                  <w:vAlign w:val="center"/>
                </w:tcPr>
                <w:p>
                  <w:pPr>
                    <w:pStyle w:val="57"/>
                    <w:jc w:val="center"/>
                  </w:pPr>
                </w:p>
              </w:tc>
              <w:tc>
                <w:tcPr>
                  <w:tcW w:w="1510" w:type="pct"/>
                  <w:vMerge w:val="continue"/>
                  <w:vAlign w:val="center"/>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41" w:type="pct"/>
                  <w:vAlign w:val="center"/>
                </w:tcPr>
                <w:p>
                  <w:pPr>
                    <w:pStyle w:val="57"/>
                    <w:jc w:val="center"/>
                  </w:pPr>
                  <w:r>
                    <w:rPr>
                      <w:rFonts w:hint="eastAsia"/>
                    </w:rPr>
                    <w:t>涂料稀释剂</w:t>
                  </w:r>
                </w:p>
              </w:tc>
              <w:tc>
                <w:tcPr>
                  <w:tcW w:w="1031" w:type="pct"/>
                  <w:vMerge w:val="continue"/>
                </w:tcPr>
                <w:p>
                  <w:pPr>
                    <w:pStyle w:val="57"/>
                  </w:pPr>
                </w:p>
              </w:tc>
              <w:tc>
                <w:tcPr>
                  <w:tcW w:w="1117" w:type="pct"/>
                  <w:vMerge w:val="continue"/>
                </w:tcPr>
                <w:p>
                  <w:pPr>
                    <w:pStyle w:val="57"/>
                  </w:pPr>
                </w:p>
              </w:tc>
              <w:tc>
                <w:tcPr>
                  <w:tcW w:w="1510" w:type="pct"/>
                  <w:vMerge w:val="continue"/>
                </w:tcPr>
                <w:p>
                  <w:pPr>
                    <w:pStyle w:val="57"/>
                  </w:pPr>
                </w:p>
              </w:tc>
            </w:tr>
          </w:tbl>
          <w:p>
            <w:pPr>
              <w:tabs>
                <w:tab w:val="left" w:pos="0"/>
                <w:tab w:val="right" w:leader="dot" w:pos="8302"/>
              </w:tabs>
              <w:spacing w:line="360" w:lineRule="auto"/>
              <w:ind w:firstLine="480" w:firstLineChars="200"/>
              <w:rPr>
                <w:rFonts w:ascii="Times New Roman" w:hAnsi="Times New Roman" w:eastAsia="宋体"/>
                <w:sz w:val="24"/>
              </w:rPr>
            </w:pPr>
            <w:r>
              <w:rPr>
                <w:rFonts w:hint="eastAsia" w:ascii="Times New Roman" w:hAnsi="Times New Roman" w:eastAsia="宋体"/>
                <w:sz w:val="24"/>
              </w:rPr>
              <w:t>b、</w:t>
            </w:r>
            <w:r>
              <w:rPr>
                <w:rFonts w:ascii="Times New Roman" w:hAnsi="Times New Roman" w:eastAsia="宋体"/>
                <w:sz w:val="24"/>
              </w:rPr>
              <w:t>水性漆</w:t>
            </w:r>
          </w:p>
          <w:p>
            <w:pPr>
              <w:tabs>
                <w:tab w:val="left" w:pos="0"/>
                <w:tab w:val="right" w:leader="dot" w:pos="8302"/>
              </w:tabs>
              <w:spacing w:line="360" w:lineRule="auto"/>
              <w:ind w:firstLine="480" w:firstLineChars="200"/>
              <w:rPr>
                <w:rFonts w:ascii="Times New Roman" w:hAnsi="Times New Roman"/>
                <w:sz w:val="24"/>
              </w:rPr>
            </w:pPr>
            <w:r>
              <w:rPr>
                <w:rFonts w:hint="eastAsia" w:ascii="Times New Roman" w:hAnsi="Times New Roman"/>
                <w:sz w:val="24"/>
              </w:rPr>
              <w:t>根据厂家提供的检测报告，</w:t>
            </w:r>
            <w:r>
              <w:rPr>
                <w:rFonts w:ascii="Times New Roman" w:hAnsi="Times New Roman"/>
                <w:sz w:val="24"/>
              </w:rPr>
              <w:t>水性漆</w:t>
            </w:r>
            <w:r>
              <w:rPr>
                <w:rFonts w:hint="eastAsia" w:ascii="Times New Roman" w:hAnsi="Times New Roman"/>
                <w:sz w:val="24"/>
              </w:rPr>
              <w:t>分析</w:t>
            </w:r>
            <w:r>
              <w:rPr>
                <w:rFonts w:ascii="Times New Roman" w:hAnsi="Times New Roman"/>
                <w:sz w:val="24"/>
              </w:rPr>
              <w:t>见表2-7</w:t>
            </w:r>
            <w:r>
              <w:rPr>
                <w:rFonts w:hint="eastAsia" w:ascii="Times New Roman" w:hAnsi="Times New Roman"/>
                <w:sz w:val="24"/>
              </w:rPr>
              <w:t>，其中V</w:t>
            </w:r>
            <w:r>
              <w:rPr>
                <w:rFonts w:ascii="Times New Roman" w:hAnsi="Times New Roman"/>
                <w:sz w:val="24"/>
              </w:rPr>
              <w:t>OC</w:t>
            </w:r>
            <w:r>
              <w:rPr>
                <w:rFonts w:hint="eastAsia" w:ascii="Times New Roman" w:hAnsi="Times New Roman"/>
                <w:sz w:val="24"/>
              </w:rPr>
              <w:t>s挥发检测报告数据为</w:t>
            </w:r>
            <w:r>
              <w:rPr>
                <w:rFonts w:ascii="Times New Roman" w:hAnsi="Times New Roman"/>
                <w:sz w:val="24"/>
              </w:rPr>
              <w:t>水性漆</w:t>
            </w:r>
            <w:r>
              <w:rPr>
                <w:rFonts w:hint="eastAsia" w:ascii="Times New Roman" w:hAnsi="Times New Roman"/>
                <w:sz w:val="24"/>
              </w:rPr>
              <w:t>未与水混合后的检测数据，详见附件7。</w:t>
            </w:r>
          </w:p>
          <w:p>
            <w:pPr>
              <w:tabs>
                <w:tab w:val="left" w:pos="0"/>
                <w:tab w:val="right" w:leader="dot" w:pos="8302"/>
              </w:tabs>
              <w:adjustRightInd w:val="0"/>
              <w:snapToGrid w:val="0"/>
              <w:jc w:val="center"/>
              <w:rPr>
                <w:rFonts w:ascii="Times New Roman" w:hAnsi="Times New Roman" w:eastAsia="宋体"/>
                <w:b/>
                <w:bCs/>
                <w:sz w:val="24"/>
              </w:rPr>
            </w:pPr>
            <w:r>
              <w:rPr>
                <w:rFonts w:hint="eastAsia" w:ascii="Times New Roman" w:hAnsi="Times New Roman" w:eastAsia="宋体"/>
                <w:b/>
                <w:bCs/>
                <w:sz w:val="24"/>
              </w:rPr>
              <w:t>表</w:t>
            </w:r>
            <w:r>
              <w:rPr>
                <w:rFonts w:ascii="Times New Roman" w:hAnsi="Times New Roman" w:eastAsia="宋体"/>
                <w:b/>
                <w:bCs/>
                <w:sz w:val="24"/>
              </w:rPr>
              <w:t>2-7  水性漆</w:t>
            </w:r>
            <w:r>
              <w:rPr>
                <w:rFonts w:hint="eastAsia" w:ascii="Times New Roman" w:hAnsi="Times New Roman" w:eastAsia="宋体"/>
                <w:b/>
                <w:bCs/>
                <w:sz w:val="24"/>
              </w:rPr>
              <w:t>分析表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5"/>
              <w:gridCol w:w="1631"/>
              <w:gridCol w:w="1892"/>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416" w:type="pct"/>
                  <w:vAlign w:val="center"/>
                </w:tcPr>
                <w:p>
                  <w:pPr>
                    <w:pStyle w:val="57"/>
                    <w:jc w:val="center"/>
                    <w:rPr>
                      <w:b/>
                      <w:bCs/>
                    </w:rPr>
                  </w:pPr>
                  <w:bookmarkStart w:id="5" w:name="_Hlk522972306"/>
                  <w:r>
                    <w:rPr>
                      <w:rFonts w:hint="eastAsia"/>
                      <w:b/>
                      <w:bCs/>
                    </w:rPr>
                    <w:t>名称</w:t>
                  </w:r>
                </w:p>
              </w:tc>
              <w:tc>
                <w:tcPr>
                  <w:tcW w:w="1024" w:type="pct"/>
                  <w:vAlign w:val="center"/>
                </w:tcPr>
                <w:p>
                  <w:pPr>
                    <w:pStyle w:val="57"/>
                    <w:jc w:val="center"/>
                    <w:rPr>
                      <w:b/>
                      <w:bCs/>
                    </w:rPr>
                  </w:pPr>
                  <w:r>
                    <w:rPr>
                      <w:rFonts w:hint="eastAsia"/>
                      <w:b/>
                      <w:bCs/>
                    </w:rPr>
                    <w:t>配比</w:t>
                  </w:r>
                </w:p>
              </w:tc>
              <w:tc>
                <w:tcPr>
                  <w:tcW w:w="1188" w:type="pct"/>
                  <w:vAlign w:val="center"/>
                </w:tcPr>
                <w:p>
                  <w:pPr>
                    <w:pStyle w:val="57"/>
                    <w:jc w:val="center"/>
                    <w:rPr>
                      <w:b/>
                      <w:bCs/>
                    </w:rPr>
                  </w:pPr>
                  <w:r>
                    <w:rPr>
                      <w:rFonts w:hint="eastAsia"/>
                      <w:b/>
                      <w:bCs/>
                    </w:rPr>
                    <w:t>V</w:t>
                  </w:r>
                  <w:r>
                    <w:rPr>
                      <w:b/>
                      <w:bCs/>
                    </w:rPr>
                    <w:t>OCs</w:t>
                  </w:r>
                </w:p>
                <w:p>
                  <w:pPr>
                    <w:pStyle w:val="57"/>
                    <w:jc w:val="center"/>
                    <w:rPr>
                      <w:b/>
                      <w:bCs/>
                    </w:rPr>
                  </w:pPr>
                  <w:r>
                    <w:rPr>
                      <w:rFonts w:hint="eastAsia"/>
                      <w:b/>
                      <w:bCs/>
                    </w:rPr>
                    <w:t>挥发量</w:t>
                  </w:r>
                </w:p>
              </w:tc>
              <w:tc>
                <w:tcPr>
                  <w:tcW w:w="1371" w:type="pct"/>
                  <w:vAlign w:val="center"/>
                </w:tcPr>
                <w:p>
                  <w:pPr>
                    <w:pStyle w:val="57"/>
                    <w:jc w:val="center"/>
                    <w:rPr>
                      <w:b/>
                      <w:bCs/>
                    </w:rPr>
                  </w:pPr>
                  <w:r>
                    <w:rPr>
                      <w:rFonts w:hint="eastAsia"/>
                      <w:b/>
                      <w:bCs/>
                    </w:rPr>
                    <w:t>G</w:t>
                  </w:r>
                  <w:r>
                    <w:rPr>
                      <w:b/>
                      <w:bCs/>
                    </w:rPr>
                    <w:t>B/T38597</w:t>
                  </w:r>
                </w:p>
                <w:p>
                  <w:pPr>
                    <w:pStyle w:val="57"/>
                    <w:jc w:val="center"/>
                    <w:rPr>
                      <w:b/>
                      <w:bCs/>
                    </w:rPr>
                  </w:pPr>
                  <w:r>
                    <w:rPr>
                      <w:b/>
                      <w:bCs/>
                    </w:rPr>
                    <w:t>-2020</w:t>
                  </w:r>
                  <w:r>
                    <w:rPr>
                      <w:rFonts w:hint="eastAsia"/>
                      <w:b/>
                      <w:bCs/>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16" w:type="pct"/>
                  <w:vAlign w:val="center"/>
                </w:tcPr>
                <w:p>
                  <w:pPr>
                    <w:pStyle w:val="57"/>
                    <w:jc w:val="center"/>
                  </w:pPr>
                  <w:r>
                    <w:rPr>
                      <w:rFonts w:hint="eastAsia"/>
                    </w:rPr>
                    <w:t>水性醇酸底面合一漆</w:t>
                  </w:r>
                </w:p>
              </w:tc>
              <w:tc>
                <w:tcPr>
                  <w:tcW w:w="1024" w:type="pct"/>
                  <w:vMerge w:val="restart"/>
                  <w:vAlign w:val="center"/>
                </w:tcPr>
                <w:p>
                  <w:pPr>
                    <w:pStyle w:val="57"/>
                    <w:jc w:val="center"/>
                    <w:rPr>
                      <w:b/>
                    </w:rPr>
                  </w:pPr>
                  <w:r>
                    <w:t>水性漆</w:t>
                  </w:r>
                  <w:r>
                    <w:rPr>
                      <w:rFonts w:hint="eastAsia"/>
                    </w:rPr>
                    <w:t>：稀释剂（水）</w:t>
                  </w:r>
                  <w:r>
                    <w:rPr>
                      <w:rFonts w:hint="eastAsia"/>
                      <w:kern w:val="0"/>
                      <w:lang w:bidi="ar"/>
                    </w:rPr>
                    <w:t>=</w:t>
                  </w:r>
                  <w:r>
                    <w:rPr>
                      <w:kern w:val="0"/>
                      <w:lang w:bidi="ar"/>
                    </w:rPr>
                    <w:t>5</w:t>
                  </w:r>
                  <w:r>
                    <w:rPr>
                      <w:rFonts w:hint="eastAsia"/>
                      <w:kern w:val="0"/>
                      <w:lang w:bidi="ar"/>
                    </w:rPr>
                    <w:t>:</w:t>
                  </w:r>
                  <w:r>
                    <w:rPr>
                      <w:kern w:val="0"/>
                      <w:lang w:bidi="ar"/>
                    </w:rPr>
                    <w:t>1</w:t>
                  </w:r>
                </w:p>
              </w:tc>
              <w:tc>
                <w:tcPr>
                  <w:tcW w:w="1188" w:type="pct"/>
                  <w:vAlign w:val="center"/>
                </w:tcPr>
                <w:p>
                  <w:pPr>
                    <w:pStyle w:val="57"/>
                    <w:jc w:val="center"/>
                    <w:rPr>
                      <w:b/>
                    </w:rPr>
                  </w:pPr>
                  <w:r>
                    <w:t>144g/L</w:t>
                  </w:r>
                  <w:r>
                    <w:rPr>
                      <w:rFonts w:hint="eastAsia"/>
                    </w:rPr>
                    <w:t>（附件7）</w:t>
                  </w:r>
                </w:p>
              </w:tc>
              <w:tc>
                <w:tcPr>
                  <w:tcW w:w="1371" w:type="pct"/>
                  <w:vAlign w:val="center"/>
                </w:tcPr>
                <w:p>
                  <w:pPr>
                    <w:pStyle w:val="57"/>
                    <w:jc w:val="center"/>
                  </w:pPr>
                  <w: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6" w:type="pct"/>
                  <w:vAlign w:val="center"/>
                </w:tcPr>
                <w:p>
                  <w:pPr>
                    <w:pStyle w:val="57"/>
                    <w:jc w:val="center"/>
                  </w:pPr>
                  <w:r>
                    <w:rPr>
                      <w:rFonts w:hint="eastAsia"/>
                    </w:rPr>
                    <w:t>稀释剂</w:t>
                  </w:r>
                </w:p>
              </w:tc>
              <w:tc>
                <w:tcPr>
                  <w:tcW w:w="1024" w:type="pct"/>
                  <w:vMerge w:val="continue"/>
                </w:tcPr>
                <w:p>
                  <w:pPr>
                    <w:pStyle w:val="57"/>
                  </w:pPr>
                </w:p>
              </w:tc>
              <w:tc>
                <w:tcPr>
                  <w:tcW w:w="1188" w:type="pct"/>
                  <w:vAlign w:val="center"/>
                </w:tcPr>
                <w:p>
                  <w:pPr>
                    <w:pStyle w:val="57"/>
                    <w:jc w:val="center"/>
                  </w:pPr>
                  <w:r>
                    <w:rPr>
                      <w:rFonts w:hint="eastAsia"/>
                    </w:rPr>
                    <w:t>/</w:t>
                  </w:r>
                </w:p>
              </w:tc>
              <w:tc>
                <w:tcPr>
                  <w:tcW w:w="1371" w:type="pct"/>
                  <w:vAlign w:val="center"/>
                </w:tcPr>
                <w:p>
                  <w:pPr>
                    <w:pStyle w:val="57"/>
                    <w:jc w:val="center"/>
                  </w:pPr>
                  <w:r>
                    <w:rPr>
                      <w:rFonts w:hint="eastAsia"/>
                    </w:rPr>
                    <w:t>/</w:t>
                  </w:r>
                </w:p>
              </w:tc>
            </w:tr>
          </w:tbl>
          <w:p>
            <w:pPr>
              <w:tabs>
                <w:tab w:val="left" w:pos="0"/>
                <w:tab w:val="right" w:leader="dot" w:pos="8302"/>
              </w:tabs>
              <w:spacing w:line="360" w:lineRule="auto"/>
              <w:ind w:firstLine="480" w:firstLineChars="200"/>
              <w:rPr>
                <w:rFonts w:ascii="Times New Roman" w:hAnsi="Times New Roman" w:eastAsia="宋体"/>
                <w:sz w:val="24"/>
              </w:rPr>
            </w:pPr>
            <w:r>
              <w:rPr>
                <w:rFonts w:hint="eastAsia" w:ascii="Times New Roman" w:hAnsi="Times New Roman" w:eastAsia="宋体"/>
                <w:sz w:val="24"/>
              </w:rPr>
              <w:t>c、油性底漆、固化剂</w:t>
            </w:r>
          </w:p>
          <w:p>
            <w:pPr>
              <w:tabs>
                <w:tab w:val="left" w:pos="0"/>
                <w:tab w:val="right" w:leader="dot" w:pos="8302"/>
              </w:tabs>
              <w:spacing w:line="360" w:lineRule="auto"/>
              <w:ind w:firstLine="480" w:firstLineChars="200"/>
              <w:rPr>
                <w:rFonts w:ascii="Times New Roman" w:hAnsi="Times New Roman" w:eastAsia="宋体"/>
                <w:sz w:val="24"/>
              </w:rPr>
            </w:pPr>
            <w:r>
              <w:rPr>
                <w:rFonts w:hint="eastAsia" w:ascii="Times New Roman" w:hAnsi="Times New Roman"/>
                <w:sz w:val="24"/>
              </w:rPr>
              <w:t>根据厂家提供的成分报告和检测报告，底漆及固化剂分析</w:t>
            </w:r>
            <w:r>
              <w:rPr>
                <w:rFonts w:ascii="Times New Roman" w:hAnsi="Times New Roman"/>
                <w:sz w:val="24"/>
              </w:rPr>
              <w:t>见表2-8</w:t>
            </w:r>
            <w:r>
              <w:rPr>
                <w:rFonts w:hint="eastAsia" w:ascii="Times New Roman" w:hAnsi="Times New Roman"/>
                <w:sz w:val="24"/>
              </w:rPr>
              <w:t>，其中V</w:t>
            </w:r>
            <w:r>
              <w:rPr>
                <w:rFonts w:ascii="Times New Roman" w:hAnsi="Times New Roman"/>
                <w:sz w:val="24"/>
              </w:rPr>
              <w:t>OC</w:t>
            </w:r>
            <w:r>
              <w:rPr>
                <w:rFonts w:hint="eastAsia" w:ascii="Times New Roman" w:hAnsi="Times New Roman"/>
                <w:sz w:val="24"/>
              </w:rPr>
              <w:t>s挥发检测报告数据为油性底漆、固化剂混合后的检测数据，详见附件9，根据成分报告可知，二甲苯含量符合《工业防护涂料中有害物质限量》（G</w:t>
            </w:r>
            <w:r>
              <w:rPr>
                <w:rFonts w:ascii="Times New Roman" w:hAnsi="Times New Roman"/>
                <w:sz w:val="24"/>
              </w:rPr>
              <w:t>B30981-2020</w:t>
            </w:r>
            <w:r>
              <w:rPr>
                <w:rFonts w:hint="eastAsia" w:ascii="Times New Roman" w:hAnsi="Times New Roman"/>
                <w:sz w:val="24"/>
              </w:rPr>
              <w:t>）中≤3</w:t>
            </w:r>
            <w:r>
              <w:rPr>
                <w:rFonts w:ascii="Times New Roman" w:hAnsi="Times New Roman"/>
                <w:sz w:val="24"/>
              </w:rPr>
              <w:t>5</w:t>
            </w:r>
            <w:r>
              <w:rPr>
                <w:rFonts w:hint="eastAsia" w:ascii="Times New Roman" w:hAnsi="Times New Roman"/>
                <w:sz w:val="24"/>
              </w:rPr>
              <w:t>%要求</w:t>
            </w:r>
            <w:r>
              <w:rPr>
                <w:rFonts w:hint="eastAsia" w:ascii="Times New Roman" w:hAnsi="Times New Roman" w:eastAsia="宋体"/>
                <w:sz w:val="24"/>
              </w:rPr>
              <w:t>。</w:t>
            </w:r>
          </w:p>
          <w:p>
            <w:pPr>
              <w:tabs>
                <w:tab w:val="left" w:pos="0"/>
                <w:tab w:val="right" w:leader="dot" w:pos="8302"/>
              </w:tabs>
              <w:adjustRightInd w:val="0"/>
              <w:snapToGrid w:val="0"/>
              <w:jc w:val="center"/>
              <w:rPr>
                <w:rFonts w:ascii="Times New Roman" w:hAnsi="Times New Roman" w:eastAsia="宋体"/>
                <w:b/>
                <w:bCs/>
                <w:sz w:val="24"/>
              </w:rPr>
            </w:pPr>
            <w:r>
              <w:rPr>
                <w:rFonts w:hint="eastAsia" w:ascii="Times New Roman" w:hAnsi="Times New Roman" w:eastAsia="宋体"/>
                <w:b/>
                <w:bCs/>
                <w:sz w:val="24"/>
              </w:rPr>
              <w:t>表</w:t>
            </w:r>
            <w:r>
              <w:rPr>
                <w:rFonts w:ascii="Times New Roman" w:hAnsi="Times New Roman" w:eastAsia="宋体"/>
                <w:b/>
                <w:bCs/>
                <w:sz w:val="24"/>
              </w:rPr>
              <w:t xml:space="preserve">2-8  </w:t>
            </w:r>
            <w:r>
              <w:rPr>
                <w:rFonts w:hint="eastAsia" w:ascii="Times New Roman" w:hAnsi="Times New Roman" w:eastAsia="宋体"/>
                <w:b/>
                <w:bCs/>
                <w:sz w:val="24"/>
              </w:rPr>
              <w:t>油性底漆、固化剂分析表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1928"/>
              <w:gridCol w:w="1103"/>
              <w:gridCol w:w="1484"/>
              <w:gridCol w:w="1199"/>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7" w:type="pct"/>
                  <w:vAlign w:val="center"/>
                </w:tcPr>
                <w:p>
                  <w:pPr>
                    <w:pStyle w:val="57"/>
                    <w:jc w:val="center"/>
                    <w:rPr>
                      <w:b/>
                      <w:bCs/>
                    </w:rPr>
                  </w:pPr>
                  <w:r>
                    <w:rPr>
                      <w:rFonts w:hint="eastAsia"/>
                      <w:b/>
                      <w:bCs/>
                    </w:rPr>
                    <w:t>名称</w:t>
                  </w:r>
                </w:p>
              </w:tc>
              <w:tc>
                <w:tcPr>
                  <w:tcW w:w="1211" w:type="pct"/>
                  <w:vAlign w:val="center"/>
                </w:tcPr>
                <w:p>
                  <w:pPr>
                    <w:pStyle w:val="57"/>
                    <w:jc w:val="center"/>
                    <w:rPr>
                      <w:b/>
                      <w:bCs/>
                    </w:rPr>
                  </w:pPr>
                  <w:r>
                    <w:rPr>
                      <w:rFonts w:hint="eastAsia"/>
                      <w:b/>
                      <w:bCs/>
                    </w:rPr>
                    <w:t>成分</w:t>
                  </w:r>
                </w:p>
              </w:tc>
              <w:tc>
                <w:tcPr>
                  <w:tcW w:w="693" w:type="pct"/>
                  <w:vAlign w:val="center"/>
                </w:tcPr>
                <w:p>
                  <w:pPr>
                    <w:pStyle w:val="57"/>
                    <w:jc w:val="center"/>
                    <w:rPr>
                      <w:b/>
                      <w:bCs/>
                    </w:rPr>
                  </w:pPr>
                  <w:r>
                    <w:rPr>
                      <w:rFonts w:hint="eastAsia"/>
                      <w:b/>
                      <w:bCs/>
                    </w:rPr>
                    <w:t>配比</w:t>
                  </w:r>
                </w:p>
              </w:tc>
              <w:tc>
                <w:tcPr>
                  <w:tcW w:w="932" w:type="pct"/>
                  <w:vAlign w:val="center"/>
                </w:tcPr>
                <w:p>
                  <w:pPr>
                    <w:pStyle w:val="57"/>
                    <w:jc w:val="center"/>
                    <w:rPr>
                      <w:b/>
                      <w:bCs/>
                    </w:rPr>
                  </w:pPr>
                  <w:r>
                    <w:rPr>
                      <w:rFonts w:hint="eastAsia"/>
                      <w:b/>
                      <w:bCs/>
                    </w:rPr>
                    <w:t>混合后V</w:t>
                  </w:r>
                  <w:r>
                    <w:rPr>
                      <w:b/>
                      <w:bCs/>
                    </w:rPr>
                    <w:t>OCs</w:t>
                  </w:r>
                </w:p>
                <w:p>
                  <w:pPr>
                    <w:pStyle w:val="57"/>
                    <w:jc w:val="center"/>
                    <w:rPr>
                      <w:b/>
                      <w:bCs/>
                    </w:rPr>
                  </w:pPr>
                  <w:r>
                    <w:rPr>
                      <w:rFonts w:hint="eastAsia"/>
                      <w:b/>
                      <w:bCs/>
                    </w:rPr>
                    <w:t>挥发量</w:t>
                  </w:r>
                </w:p>
              </w:tc>
              <w:tc>
                <w:tcPr>
                  <w:tcW w:w="753" w:type="pct"/>
                  <w:vAlign w:val="center"/>
                </w:tcPr>
                <w:p>
                  <w:pPr>
                    <w:pStyle w:val="57"/>
                    <w:jc w:val="center"/>
                    <w:rPr>
                      <w:b/>
                      <w:bCs/>
                    </w:rPr>
                  </w:pPr>
                  <w:r>
                    <w:rPr>
                      <w:rFonts w:hint="eastAsia"/>
                      <w:b/>
                      <w:bCs/>
                    </w:rPr>
                    <w:t>其中二甲苯挥发量</w:t>
                  </w:r>
                </w:p>
              </w:tc>
              <w:tc>
                <w:tcPr>
                  <w:tcW w:w="824" w:type="pct"/>
                  <w:vAlign w:val="center"/>
                </w:tcPr>
                <w:p>
                  <w:pPr>
                    <w:pStyle w:val="57"/>
                    <w:jc w:val="center"/>
                    <w:rPr>
                      <w:b/>
                      <w:bCs/>
                    </w:rPr>
                  </w:pPr>
                  <w:r>
                    <w:rPr>
                      <w:rFonts w:hint="eastAsia"/>
                      <w:b/>
                      <w:bCs/>
                    </w:rPr>
                    <w:t>G</w:t>
                  </w:r>
                  <w:r>
                    <w:rPr>
                      <w:b/>
                      <w:bCs/>
                    </w:rPr>
                    <w:t>B/T38597</w:t>
                  </w:r>
                </w:p>
                <w:p>
                  <w:pPr>
                    <w:pStyle w:val="57"/>
                    <w:jc w:val="center"/>
                    <w:rPr>
                      <w:b/>
                      <w:bCs/>
                    </w:rPr>
                  </w:pPr>
                  <w:r>
                    <w:rPr>
                      <w:b/>
                      <w:bCs/>
                    </w:rPr>
                    <w:t>-2020</w:t>
                  </w:r>
                  <w:r>
                    <w:rPr>
                      <w:rFonts w:hint="eastAsia"/>
                      <w:b/>
                      <w:bCs/>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7" w:type="pct"/>
                  <w:vAlign w:val="center"/>
                </w:tcPr>
                <w:p>
                  <w:pPr>
                    <w:adjustRightInd w:val="0"/>
                    <w:snapToGrid w:val="0"/>
                    <w:jc w:val="center"/>
                    <w:rPr>
                      <w:rFonts w:ascii="Times New Roman" w:hAnsi="Times New Roman" w:eastAsia="宋体"/>
                    </w:rPr>
                  </w:pPr>
                  <w:r>
                    <w:rPr>
                      <w:rFonts w:hint="eastAsia"/>
                    </w:rPr>
                    <w:t>油性底漆（环氧富锌底漆A组分）</w:t>
                  </w:r>
                </w:p>
              </w:tc>
              <w:tc>
                <w:tcPr>
                  <w:tcW w:w="1211" w:type="pct"/>
                  <w:vAlign w:val="center"/>
                </w:tcPr>
                <w:p>
                  <w:pPr>
                    <w:pStyle w:val="57"/>
                  </w:pPr>
                  <w:r>
                    <w:rPr>
                      <w:rFonts w:hint="eastAsia"/>
                    </w:rPr>
                    <w:t>环氧树脂1</w:t>
                  </w:r>
                  <w:r>
                    <w:t>5</w:t>
                  </w:r>
                  <w:r>
                    <w:rPr>
                      <w:rFonts w:hint="eastAsia"/>
                    </w:rPr>
                    <w:t>%、锌粉6</w:t>
                  </w:r>
                  <w:r>
                    <w:t>0</w:t>
                  </w:r>
                  <w:r>
                    <w:rPr>
                      <w:rFonts w:hint="eastAsia"/>
                    </w:rPr>
                    <w:t>%、填料1</w:t>
                  </w:r>
                  <w:r>
                    <w:t>0</w:t>
                  </w:r>
                  <w:r>
                    <w:rPr>
                      <w:rFonts w:hint="eastAsia"/>
                    </w:rPr>
                    <w:t>%、二甲苯1</w:t>
                  </w:r>
                  <w:r>
                    <w:t>0</w:t>
                  </w:r>
                  <w:r>
                    <w:rPr>
                      <w:rFonts w:hint="eastAsia"/>
                    </w:rPr>
                    <w:t>%、丁醇5%</w:t>
                  </w:r>
                </w:p>
              </w:tc>
              <w:tc>
                <w:tcPr>
                  <w:tcW w:w="693" w:type="pct"/>
                  <w:vMerge w:val="restart"/>
                  <w:vAlign w:val="center"/>
                </w:tcPr>
                <w:p>
                  <w:pPr>
                    <w:pStyle w:val="57"/>
                    <w:jc w:val="center"/>
                    <w:rPr>
                      <w:b/>
                    </w:rPr>
                  </w:pPr>
                  <w:r>
                    <w:rPr>
                      <w:rFonts w:hint="eastAsia"/>
                    </w:rPr>
                    <w:t>油性底漆：固化剂=</w:t>
                  </w:r>
                  <w:r>
                    <w:t>3</w:t>
                  </w:r>
                  <w:r>
                    <w:rPr>
                      <w:rFonts w:hint="eastAsia"/>
                    </w:rPr>
                    <w:t>:</w:t>
                  </w:r>
                  <w:r>
                    <w:t>6</w:t>
                  </w:r>
                </w:p>
              </w:tc>
              <w:tc>
                <w:tcPr>
                  <w:tcW w:w="932" w:type="pct"/>
                  <w:vMerge w:val="restart"/>
                  <w:vAlign w:val="center"/>
                </w:tcPr>
                <w:p>
                  <w:pPr>
                    <w:pStyle w:val="57"/>
                    <w:jc w:val="center"/>
                    <w:rPr>
                      <w:b/>
                    </w:rPr>
                  </w:pPr>
                  <w:r>
                    <w:t>321g/L</w:t>
                  </w:r>
                  <w:r>
                    <w:rPr>
                      <w:rFonts w:hint="eastAsia"/>
                    </w:rPr>
                    <w:t>（附件9，混合后检测）</w:t>
                  </w:r>
                </w:p>
              </w:tc>
              <w:tc>
                <w:tcPr>
                  <w:tcW w:w="753" w:type="pct"/>
                  <w:vMerge w:val="restart"/>
                  <w:vAlign w:val="center"/>
                </w:tcPr>
                <w:p>
                  <w:pPr>
                    <w:pStyle w:val="57"/>
                    <w:jc w:val="center"/>
                  </w:pPr>
                  <w:r>
                    <w:t>280</w:t>
                  </w:r>
                  <w:r>
                    <w:rPr>
                      <w:rFonts w:hint="eastAsia"/>
                    </w:rPr>
                    <w:t>g</w:t>
                  </w:r>
                  <w:r>
                    <w:t>/L</w:t>
                  </w:r>
                  <w:r>
                    <w:rPr>
                      <w:rFonts w:hint="eastAsia"/>
                    </w:rPr>
                    <w:t>（见附件9，根据成分分析报告计算）</w:t>
                  </w:r>
                </w:p>
              </w:tc>
              <w:tc>
                <w:tcPr>
                  <w:tcW w:w="824" w:type="pct"/>
                  <w:vMerge w:val="restart"/>
                  <w:vAlign w:val="center"/>
                </w:tcPr>
                <w:p>
                  <w:pPr>
                    <w:pStyle w:val="57"/>
                    <w:jc w:val="center"/>
                  </w:pPr>
                  <w: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7" w:type="pct"/>
                  <w:vAlign w:val="center"/>
                </w:tcPr>
                <w:p>
                  <w:pPr>
                    <w:pStyle w:val="57"/>
                    <w:jc w:val="center"/>
                  </w:pPr>
                  <w:r>
                    <w:rPr>
                      <w:rFonts w:hint="eastAsia"/>
                    </w:rPr>
                    <w:t>固化剂（环氧富锌底漆B组分）</w:t>
                  </w:r>
                </w:p>
              </w:tc>
              <w:tc>
                <w:tcPr>
                  <w:tcW w:w="1211" w:type="pct"/>
                  <w:vAlign w:val="center"/>
                </w:tcPr>
                <w:p>
                  <w:pPr>
                    <w:pStyle w:val="57"/>
                  </w:pPr>
                  <w:r>
                    <w:rPr>
                      <w:rFonts w:hint="eastAsia"/>
                    </w:rPr>
                    <w:t>聚酰胺7</w:t>
                  </w:r>
                  <w:r>
                    <w:t>0</w:t>
                  </w:r>
                  <w:r>
                    <w:rPr>
                      <w:rFonts w:hint="eastAsia"/>
                    </w:rPr>
                    <w:t>%、二甲苯3</w:t>
                  </w:r>
                  <w:r>
                    <w:t>0</w:t>
                  </w:r>
                  <w:r>
                    <w:rPr>
                      <w:rFonts w:hint="eastAsia"/>
                    </w:rPr>
                    <w:t>%</w:t>
                  </w:r>
                </w:p>
              </w:tc>
              <w:tc>
                <w:tcPr>
                  <w:tcW w:w="693" w:type="pct"/>
                  <w:vMerge w:val="continue"/>
                </w:tcPr>
                <w:p>
                  <w:pPr>
                    <w:pStyle w:val="57"/>
                  </w:pPr>
                </w:p>
              </w:tc>
              <w:tc>
                <w:tcPr>
                  <w:tcW w:w="932" w:type="pct"/>
                  <w:vMerge w:val="continue"/>
                </w:tcPr>
                <w:p>
                  <w:pPr>
                    <w:pStyle w:val="57"/>
                  </w:pPr>
                </w:p>
              </w:tc>
              <w:tc>
                <w:tcPr>
                  <w:tcW w:w="753" w:type="pct"/>
                  <w:vMerge w:val="continue"/>
                </w:tcPr>
                <w:p>
                  <w:pPr>
                    <w:pStyle w:val="57"/>
                  </w:pPr>
                </w:p>
              </w:tc>
              <w:tc>
                <w:tcPr>
                  <w:tcW w:w="824" w:type="pct"/>
                  <w:vMerge w:val="continue"/>
                </w:tcPr>
                <w:p>
                  <w:pPr>
                    <w:pStyle w:val="57"/>
                  </w:pPr>
                </w:p>
              </w:tc>
            </w:tr>
            <w:bookmarkEnd w:id="5"/>
          </w:tbl>
          <w:p>
            <w:pPr>
              <w:tabs>
                <w:tab w:val="left" w:pos="0"/>
                <w:tab w:val="right" w:leader="dot" w:pos="8302"/>
              </w:tabs>
              <w:spacing w:line="360" w:lineRule="auto"/>
              <w:ind w:firstLine="480" w:firstLineChars="200"/>
              <w:rPr>
                <w:rFonts w:ascii="Times New Roman" w:hAnsi="Times New Roman" w:eastAsia="宋体"/>
                <w:sz w:val="24"/>
              </w:rPr>
            </w:pPr>
            <w:r>
              <w:rPr>
                <w:rFonts w:hint="eastAsia" w:ascii="Times New Roman" w:hAnsi="Times New Roman" w:eastAsia="宋体"/>
                <w:sz w:val="24"/>
              </w:rPr>
              <w:t>d、油性面漆、固化剂、稀释剂</w:t>
            </w:r>
          </w:p>
          <w:p>
            <w:pPr>
              <w:tabs>
                <w:tab w:val="left" w:pos="0"/>
                <w:tab w:val="right" w:leader="dot" w:pos="8302"/>
              </w:tabs>
              <w:spacing w:line="360" w:lineRule="auto"/>
              <w:ind w:firstLine="480" w:firstLineChars="200"/>
              <w:rPr>
                <w:rFonts w:ascii="Times New Roman" w:hAnsi="Times New Roman" w:eastAsia="宋体"/>
                <w:sz w:val="24"/>
              </w:rPr>
            </w:pPr>
            <w:r>
              <w:rPr>
                <w:rFonts w:hint="eastAsia" w:ascii="Times New Roman" w:hAnsi="Times New Roman" w:eastAsia="宋体"/>
                <w:sz w:val="24"/>
              </w:rPr>
              <w:t>根据检测报告可知，面漆及固化剂、稀释剂分析</w:t>
            </w:r>
            <w:r>
              <w:rPr>
                <w:rFonts w:ascii="Times New Roman" w:hAnsi="Times New Roman" w:eastAsia="宋体"/>
                <w:sz w:val="24"/>
              </w:rPr>
              <w:t>见表2-9</w:t>
            </w:r>
            <w:r>
              <w:rPr>
                <w:rFonts w:hint="eastAsia" w:ascii="Times New Roman" w:hAnsi="Times New Roman" w:eastAsia="宋体"/>
                <w:sz w:val="24"/>
              </w:rPr>
              <w:t>，其中V</w:t>
            </w:r>
            <w:r>
              <w:rPr>
                <w:rFonts w:ascii="Times New Roman" w:hAnsi="Times New Roman" w:eastAsia="宋体"/>
                <w:sz w:val="24"/>
              </w:rPr>
              <w:t>OC</w:t>
            </w:r>
            <w:r>
              <w:rPr>
                <w:rFonts w:hint="eastAsia" w:ascii="Times New Roman" w:hAnsi="Times New Roman" w:eastAsia="宋体"/>
                <w:sz w:val="24"/>
              </w:rPr>
              <w:t>s挥发检测报告数据为油性面漆、固化剂、稀释剂混合后的检测数据，详见附件8。</w:t>
            </w:r>
          </w:p>
          <w:p>
            <w:pPr>
              <w:tabs>
                <w:tab w:val="left" w:pos="0"/>
                <w:tab w:val="right" w:leader="dot" w:pos="8302"/>
              </w:tabs>
              <w:adjustRightInd w:val="0"/>
              <w:snapToGrid w:val="0"/>
              <w:jc w:val="center"/>
              <w:rPr>
                <w:rFonts w:ascii="Times New Roman" w:hAnsi="Times New Roman" w:eastAsia="宋体"/>
                <w:b/>
                <w:bCs/>
                <w:sz w:val="24"/>
              </w:rPr>
            </w:pPr>
          </w:p>
          <w:p>
            <w:pPr>
              <w:tabs>
                <w:tab w:val="left" w:pos="0"/>
                <w:tab w:val="right" w:leader="dot" w:pos="8302"/>
              </w:tabs>
              <w:adjustRightInd w:val="0"/>
              <w:snapToGrid w:val="0"/>
              <w:jc w:val="center"/>
              <w:rPr>
                <w:rFonts w:ascii="Times New Roman" w:hAnsi="Times New Roman" w:eastAsia="宋体"/>
                <w:b/>
                <w:bCs/>
                <w:sz w:val="24"/>
              </w:rPr>
            </w:pPr>
          </w:p>
          <w:p>
            <w:pPr>
              <w:tabs>
                <w:tab w:val="left" w:pos="0"/>
                <w:tab w:val="right" w:leader="dot" w:pos="8302"/>
              </w:tabs>
              <w:adjustRightInd w:val="0"/>
              <w:snapToGrid w:val="0"/>
              <w:jc w:val="center"/>
              <w:rPr>
                <w:rFonts w:ascii="Times New Roman" w:hAnsi="Times New Roman" w:eastAsia="宋体"/>
                <w:b/>
                <w:bCs/>
                <w:sz w:val="24"/>
              </w:rPr>
            </w:pPr>
            <w:r>
              <w:rPr>
                <w:rFonts w:hint="eastAsia" w:ascii="Times New Roman" w:hAnsi="Times New Roman" w:eastAsia="宋体"/>
                <w:b/>
                <w:bCs/>
                <w:sz w:val="24"/>
              </w:rPr>
              <w:t>表</w:t>
            </w:r>
            <w:r>
              <w:rPr>
                <w:rFonts w:ascii="Times New Roman" w:hAnsi="Times New Roman" w:eastAsia="宋体"/>
                <w:b/>
                <w:bCs/>
                <w:sz w:val="24"/>
              </w:rPr>
              <w:t xml:space="preserve">2-9  </w:t>
            </w:r>
            <w:r>
              <w:rPr>
                <w:rFonts w:hint="eastAsia" w:ascii="Times New Roman" w:hAnsi="Times New Roman" w:eastAsia="宋体"/>
                <w:b/>
                <w:bCs/>
                <w:sz w:val="24"/>
              </w:rPr>
              <w:t>油性面漆、固化剂、稀释剂分析表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1540"/>
              <w:gridCol w:w="1570"/>
              <w:gridCol w:w="1508"/>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5" w:type="pct"/>
                  <w:vAlign w:val="center"/>
                </w:tcPr>
                <w:p>
                  <w:pPr>
                    <w:pStyle w:val="57"/>
                    <w:jc w:val="center"/>
                    <w:rPr>
                      <w:b/>
                      <w:bCs/>
                    </w:rPr>
                  </w:pPr>
                  <w:r>
                    <w:rPr>
                      <w:rFonts w:hint="eastAsia"/>
                      <w:b/>
                      <w:bCs/>
                    </w:rPr>
                    <w:t>名称</w:t>
                  </w:r>
                </w:p>
              </w:tc>
              <w:tc>
                <w:tcPr>
                  <w:tcW w:w="967" w:type="pct"/>
                  <w:vAlign w:val="center"/>
                </w:tcPr>
                <w:p>
                  <w:pPr>
                    <w:pStyle w:val="57"/>
                    <w:jc w:val="center"/>
                    <w:rPr>
                      <w:b/>
                      <w:bCs/>
                    </w:rPr>
                  </w:pPr>
                  <w:r>
                    <w:rPr>
                      <w:rFonts w:hint="eastAsia"/>
                      <w:b/>
                      <w:bCs/>
                    </w:rPr>
                    <w:t>配比</w:t>
                  </w:r>
                </w:p>
              </w:tc>
              <w:tc>
                <w:tcPr>
                  <w:tcW w:w="986" w:type="pct"/>
                  <w:vAlign w:val="center"/>
                </w:tcPr>
                <w:p>
                  <w:pPr>
                    <w:pStyle w:val="57"/>
                    <w:jc w:val="center"/>
                    <w:rPr>
                      <w:b/>
                      <w:bCs/>
                    </w:rPr>
                  </w:pPr>
                  <w:r>
                    <w:rPr>
                      <w:rFonts w:hint="eastAsia"/>
                      <w:b/>
                      <w:bCs/>
                    </w:rPr>
                    <w:t>混合后V</w:t>
                  </w:r>
                  <w:r>
                    <w:rPr>
                      <w:b/>
                      <w:bCs/>
                    </w:rPr>
                    <w:t>OCs</w:t>
                  </w:r>
                </w:p>
                <w:p>
                  <w:pPr>
                    <w:pStyle w:val="57"/>
                    <w:jc w:val="center"/>
                    <w:rPr>
                      <w:b/>
                      <w:bCs/>
                    </w:rPr>
                  </w:pPr>
                  <w:r>
                    <w:rPr>
                      <w:rFonts w:hint="eastAsia"/>
                      <w:b/>
                      <w:bCs/>
                    </w:rPr>
                    <w:t>挥发量</w:t>
                  </w:r>
                </w:p>
              </w:tc>
              <w:tc>
                <w:tcPr>
                  <w:tcW w:w="947" w:type="pct"/>
                  <w:vAlign w:val="center"/>
                </w:tcPr>
                <w:p>
                  <w:pPr>
                    <w:pStyle w:val="57"/>
                    <w:jc w:val="center"/>
                    <w:rPr>
                      <w:b/>
                      <w:bCs/>
                    </w:rPr>
                  </w:pPr>
                  <w:r>
                    <w:rPr>
                      <w:rFonts w:hint="eastAsia"/>
                      <w:b/>
                      <w:bCs/>
                    </w:rPr>
                    <w:t>二甲苯占成分比例</w:t>
                  </w:r>
                </w:p>
              </w:tc>
              <w:tc>
                <w:tcPr>
                  <w:tcW w:w="1205" w:type="pct"/>
                </w:tcPr>
                <w:p>
                  <w:pPr>
                    <w:pStyle w:val="57"/>
                    <w:jc w:val="center"/>
                    <w:rPr>
                      <w:b/>
                      <w:bCs/>
                    </w:rPr>
                  </w:pPr>
                  <w:r>
                    <w:rPr>
                      <w:rFonts w:hint="eastAsia"/>
                      <w:b/>
                      <w:bCs/>
                    </w:rPr>
                    <w:t>G</w:t>
                  </w:r>
                  <w:r>
                    <w:rPr>
                      <w:b/>
                      <w:bCs/>
                    </w:rPr>
                    <w:t>B/T38597</w:t>
                  </w:r>
                </w:p>
                <w:p>
                  <w:pPr>
                    <w:pStyle w:val="57"/>
                    <w:jc w:val="center"/>
                    <w:rPr>
                      <w:b/>
                      <w:bCs/>
                    </w:rPr>
                  </w:pPr>
                  <w:r>
                    <w:rPr>
                      <w:b/>
                      <w:bCs/>
                    </w:rPr>
                    <w:t>-2020</w:t>
                  </w:r>
                  <w:r>
                    <w:rPr>
                      <w:rFonts w:hint="eastAsia"/>
                      <w:b/>
                      <w:bCs/>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5" w:type="pct"/>
                  <w:vAlign w:val="center"/>
                </w:tcPr>
                <w:p>
                  <w:pPr>
                    <w:adjustRightInd w:val="0"/>
                    <w:snapToGrid w:val="0"/>
                    <w:jc w:val="center"/>
                    <w:rPr>
                      <w:rFonts w:ascii="Times New Roman" w:hAnsi="Times New Roman" w:eastAsia="宋体"/>
                    </w:rPr>
                  </w:pPr>
                  <w:r>
                    <w:rPr>
                      <w:rFonts w:hint="eastAsia"/>
                    </w:rPr>
                    <w:t>耐黄变亮光超白面漆</w:t>
                  </w:r>
                </w:p>
              </w:tc>
              <w:tc>
                <w:tcPr>
                  <w:tcW w:w="967" w:type="pct"/>
                  <w:vMerge w:val="restart"/>
                  <w:vAlign w:val="center"/>
                </w:tcPr>
                <w:p>
                  <w:pPr>
                    <w:pStyle w:val="57"/>
                    <w:jc w:val="center"/>
                    <w:rPr>
                      <w:b/>
                    </w:rPr>
                  </w:pPr>
                  <w:r>
                    <w:rPr>
                      <w:rFonts w:hint="eastAsia"/>
                    </w:rPr>
                    <w:t>油性面漆：固化剂：稀释剂=</w:t>
                  </w:r>
                  <w:r>
                    <w:t>1</w:t>
                  </w:r>
                  <w:r>
                    <w:rPr>
                      <w:rFonts w:hint="eastAsia"/>
                    </w:rPr>
                    <w:t>:</w:t>
                  </w:r>
                  <w:r>
                    <w:t>0.8</w:t>
                  </w:r>
                  <w:r>
                    <w:rPr>
                      <w:rFonts w:hint="eastAsia"/>
                    </w:rPr>
                    <w:t>:</w:t>
                  </w:r>
                  <w:r>
                    <w:t>0.5</w:t>
                  </w:r>
                </w:p>
              </w:tc>
              <w:tc>
                <w:tcPr>
                  <w:tcW w:w="986" w:type="pct"/>
                  <w:vMerge w:val="restart"/>
                  <w:vAlign w:val="center"/>
                </w:tcPr>
                <w:p>
                  <w:pPr>
                    <w:pStyle w:val="57"/>
                    <w:jc w:val="center"/>
                    <w:rPr>
                      <w:b/>
                    </w:rPr>
                  </w:pPr>
                  <w:r>
                    <w:t>332g/L</w:t>
                  </w:r>
                  <w:r>
                    <w:rPr>
                      <w:rFonts w:hint="eastAsia"/>
                    </w:rPr>
                    <w:t>（附件8，混合后检测）</w:t>
                  </w:r>
                </w:p>
              </w:tc>
              <w:tc>
                <w:tcPr>
                  <w:tcW w:w="947" w:type="pct"/>
                  <w:vMerge w:val="restart"/>
                  <w:vAlign w:val="center"/>
                </w:tcPr>
                <w:p>
                  <w:pPr>
                    <w:pStyle w:val="57"/>
                    <w:jc w:val="center"/>
                  </w:pPr>
                  <w:r>
                    <w:t>3</w:t>
                  </w:r>
                  <w:r>
                    <w:rPr>
                      <w:rFonts w:hint="eastAsia"/>
                    </w:rPr>
                    <w:t>%（附件8，混合后检测）</w:t>
                  </w:r>
                </w:p>
              </w:tc>
              <w:tc>
                <w:tcPr>
                  <w:tcW w:w="1205" w:type="pct"/>
                  <w:vMerge w:val="restart"/>
                  <w:vAlign w:val="center"/>
                </w:tcPr>
                <w:p>
                  <w:pPr>
                    <w:pStyle w:val="57"/>
                    <w:jc w:val="center"/>
                  </w:pPr>
                  <w: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5" w:type="pct"/>
                  <w:vAlign w:val="center"/>
                </w:tcPr>
                <w:p>
                  <w:pPr>
                    <w:pStyle w:val="57"/>
                    <w:jc w:val="center"/>
                  </w:pPr>
                  <w:r>
                    <w:rPr>
                      <w:rFonts w:hint="eastAsia"/>
                    </w:rPr>
                    <w:t>面漆稀释剂</w:t>
                  </w:r>
                </w:p>
              </w:tc>
              <w:tc>
                <w:tcPr>
                  <w:tcW w:w="967" w:type="pct"/>
                  <w:vMerge w:val="continue"/>
                </w:tcPr>
                <w:p>
                  <w:pPr>
                    <w:pStyle w:val="57"/>
                  </w:pPr>
                </w:p>
              </w:tc>
              <w:tc>
                <w:tcPr>
                  <w:tcW w:w="986" w:type="pct"/>
                  <w:vMerge w:val="continue"/>
                </w:tcPr>
                <w:p>
                  <w:pPr>
                    <w:pStyle w:val="57"/>
                  </w:pPr>
                </w:p>
              </w:tc>
              <w:tc>
                <w:tcPr>
                  <w:tcW w:w="947" w:type="pct"/>
                  <w:vMerge w:val="continue"/>
                </w:tcPr>
                <w:p>
                  <w:pPr>
                    <w:pStyle w:val="57"/>
                  </w:pPr>
                </w:p>
              </w:tc>
              <w:tc>
                <w:tcPr>
                  <w:tcW w:w="1205" w:type="pct"/>
                  <w:vMerge w:val="continue"/>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5" w:type="pct"/>
                  <w:vAlign w:val="center"/>
                </w:tcPr>
                <w:p>
                  <w:pPr>
                    <w:pStyle w:val="57"/>
                    <w:jc w:val="center"/>
                  </w:pPr>
                  <w:r>
                    <w:rPr>
                      <w:rFonts w:hint="eastAsia"/>
                    </w:rPr>
                    <w:t>面漆固化剂</w:t>
                  </w:r>
                </w:p>
              </w:tc>
              <w:tc>
                <w:tcPr>
                  <w:tcW w:w="967" w:type="pct"/>
                  <w:vMerge w:val="continue"/>
                </w:tcPr>
                <w:p>
                  <w:pPr>
                    <w:pStyle w:val="57"/>
                  </w:pPr>
                </w:p>
              </w:tc>
              <w:tc>
                <w:tcPr>
                  <w:tcW w:w="986" w:type="pct"/>
                  <w:vMerge w:val="continue"/>
                </w:tcPr>
                <w:p>
                  <w:pPr>
                    <w:pStyle w:val="57"/>
                  </w:pPr>
                </w:p>
              </w:tc>
              <w:tc>
                <w:tcPr>
                  <w:tcW w:w="947" w:type="pct"/>
                  <w:vMerge w:val="continue"/>
                </w:tcPr>
                <w:p>
                  <w:pPr>
                    <w:pStyle w:val="57"/>
                  </w:pPr>
                </w:p>
              </w:tc>
              <w:tc>
                <w:tcPr>
                  <w:tcW w:w="1205" w:type="pct"/>
                  <w:vMerge w:val="continue"/>
                </w:tcPr>
                <w:p>
                  <w:pPr>
                    <w:pStyle w:val="57"/>
                  </w:pPr>
                </w:p>
              </w:tc>
            </w:tr>
          </w:tbl>
          <w:p>
            <w:pPr>
              <w:tabs>
                <w:tab w:val="left" w:pos="0"/>
                <w:tab w:val="right" w:leader="dot" w:pos="8302"/>
              </w:tabs>
              <w:spacing w:line="360" w:lineRule="auto"/>
              <w:ind w:firstLine="480" w:firstLineChars="200"/>
              <w:rPr>
                <w:rFonts w:ascii="Times New Roman" w:hAnsi="Times New Roman" w:eastAsia="宋体"/>
                <w:sz w:val="24"/>
              </w:rPr>
            </w:pPr>
            <w:r>
              <w:rPr>
                <w:rFonts w:hint="eastAsia" w:ascii="Times New Roman" w:hAnsi="Times New Roman" w:eastAsia="宋体"/>
                <w:sz w:val="24"/>
              </w:rPr>
              <w:t>e、清洗剂</w:t>
            </w:r>
          </w:p>
          <w:p>
            <w:pPr>
              <w:tabs>
                <w:tab w:val="left" w:pos="0"/>
                <w:tab w:val="right" w:leader="dot" w:pos="8302"/>
              </w:tabs>
              <w:spacing w:line="360" w:lineRule="auto"/>
              <w:ind w:firstLine="480" w:firstLineChars="200"/>
              <w:rPr>
                <w:rFonts w:ascii="Times New Roman" w:hAnsi="Times New Roman" w:eastAsia="宋体"/>
                <w:sz w:val="24"/>
              </w:rPr>
            </w:pPr>
            <w:r>
              <w:rPr>
                <w:rFonts w:hint="eastAsia" w:ascii="Times New Roman" w:hAnsi="Times New Roman" w:eastAsia="宋体"/>
                <w:sz w:val="24"/>
              </w:rPr>
              <w:t>根据厂家提供的资料，清洗剂成分分析</w:t>
            </w:r>
            <w:r>
              <w:rPr>
                <w:rFonts w:ascii="Times New Roman" w:hAnsi="Times New Roman" w:eastAsia="宋体"/>
                <w:sz w:val="24"/>
              </w:rPr>
              <w:t>见表2-10</w:t>
            </w:r>
            <w:r>
              <w:rPr>
                <w:rFonts w:hint="eastAsia" w:ascii="Times New Roman" w:hAnsi="Times New Roman" w:eastAsia="宋体"/>
                <w:sz w:val="24"/>
              </w:rPr>
              <w:t>。</w:t>
            </w:r>
          </w:p>
          <w:p>
            <w:pPr>
              <w:tabs>
                <w:tab w:val="left" w:pos="0"/>
                <w:tab w:val="right" w:leader="dot" w:pos="8302"/>
              </w:tabs>
              <w:adjustRightInd w:val="0"/>
              <w:snapToGrid w:val="0"/>
              <w:jc w:val="center"/>
              <w:rPr>
                <w:rFonts w:ascii="Times New Roman" w:hAnsi="Times New Roman" w:eastAsia="宋体"/>
                <w:b/>
                <w:bCs/>
                <w:sz w:val="24"/>
              </w:rPr>
            </w:pPr>
            <w:r>
              <w:rPr>
                <w:rFonts w:hint="eastAsia" w:ascii="Times New Roman" w:hAnsi="Times New Roman" w:eastAsia="宋体"/>
                <w:b/>
                <w:bCs/>
                <w:sz w:val="24"/>
              </w:rPr>
              <w:t>表</w:t>
            </w:r>
            <w:r>
              <w:rPr>
                <w:rFonts w:ascii="Times New Roman" w:hAnsi="Times New Roman" w:eastAsia="宋体"/>
                <w:b/>
                <w:bCs/>
                <w:sz w:val="24"/>
              </w:rPr>
              <w:t xml:space="preserve">2-10  </w:t>
            </w:r>
            <w:r>
              <w:rPr>
                <w:rFonts w:hint="eastAsia" w:ascii="Times New Roman" w:hAnsi="Times New Roman" w:eastAsia="宋体"/>
                <w:b/>
                <w:bCs/>
                <w:sz w:val="24"/>
              </w:rPr>
              <w:t>清洗剂成分分析表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3759"/>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pct"/>
                  <w:vAlign w:val="center"/>
                </w:tcPr>
                <w:p>
                  <w:pPr>
                    <w:pStyle w:val="57"/>
                    <w:jc w:val="center"/>
                    <w:rPr>
                      <w:b/>
                      <w:bCs/>
                    </w:rPr>
                  </w:pPr>
                  <w:r>
                    <w:rPr>
                      <w:rFonts w:hint="eastAsia"/>
                      <w:b/>
                      <w:bCs/>
                    </w:rPr>
                    <w:t>名称</w:t>
                  </w:r>
                </w:p>
              </w:tc>
              <w:tc>
                <w:tcPr>
                  <w:tcW w:w="2361" w:type="pct"/>
                  <w:vAlign w:val="center"/>
                </w:tcPr>
                <w:p>
                  <w:pPr>
                    <w:pStyle w:val="57"/>
                    <w:jc w:val="center"/>
                    <w:rPr>
                      <w:b/>
                      <w:bCs/>
                    </w:rPr>
                  </w:pPr>
                  <w:r>
                    <w:rPr>
                      <w:rFonts w:hint="eastAsia"/>
                      <w:b/>
                      <w:bCs/>
                    </w:rPr>
                    <w:t>成分</w:t>
                  </w:r>
                </w:p>
              </w:tc>
              <w:tc>
                <w:tcPr>
                  <w:tcW w:w="1220" w:type="pct"/>
                  <w:vAlign w:val="center"/>
                </w:tcPr>
                <w:p>
                  <w:pPr>
                    <w:pStyle w:val="57"/>
                    <w:jc w:val="center"/>
                    <w:rPr>
                      <w:b/>
                      <w:bCs/>
                    </w:rPr>
                  </w:pPr>
                  <w:r>
                    <w:rPr>
                      <w:rFonts w:hint="eastAsia"/>
                      <w:b/>
                      <w:bCs/>
                    </w:rPr>
                    <w:t>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pct"/>
                  <w:vMerge w:val="restart"/>
                  <w:vAlign w:val="center"/>
                </w:tcPr>
                <w:p>
                  <w:pPr>
                    <w:adjustRightInd w:val="0"/>
                    <w:snapToGrid w:val="0"/>
                    <w:jc w:val="center"/>
                    <w:rPr>
                      <w:rFonts w:ascii="Times New Roman" w:hAnsi="Times New Roman" w:eastAsia="宋体"/>
                    </w:rPr>
                  </w:pPr>
                  <w:r>
                    <w:rPr>
                      <w:rFonts w:hint="eastAsia" w:ascii="Times New Roman" w:hAnsi="Times New Roman" w:eastAsia="宋体"/>
                    </w:rPr>
                    <w:t>清洗剂</w:t>
                  </w:r>
                </w:p>
              </w:tc>
              <w:tc>
                <w:tcPr>
                  <w:tcW w:w="2361" w:type="pct"/>
                  <w:vAlign w:val="center"/>
                </w:tcPr>
                <w:p>
                  <w:pPr>
                    <w:pStyle w:val="57"/>
                    <w:jc w:val="center"/>
                  </w:pPr>
                  <w:r>
                    <w:rPr>
                      <w:rFonts w:hint="eastAsia"/>
                    </w:rPr>
                    <w:t>120#汽油</w:t>
                  </w:r>
                </w:p>
              </w:tc>
              <w:tc>
                <w:tcPr>
                  <w:tcW w:w="1220" w:type="pct"/>
                  <w:vAlign w:val="center"/>
                </w:tcPr>
                <w:p>
                  <w:pPr>
                    <w:adjustRightInd w:val="0"/>
                    <w:snapToGrid w:val="0"/>
                    <w:jc w:val="center"/>
                    <w:rPr>
                      <w:rFonts w:ascii="Times New Roman" w:hAnsi="Times New Roman" w:eastAsia="宋体"/>
                      <w:kern w:val="44"/>
                    </w:rPr>
                  </w:pPr>
                  <w:r>
                    <w:rPr>
                      <w:rFonts w:ascii="Times New Roman" w:hAnsi="Times New Roman" w:eastAsia="宋体"/>
                      <w:kern w:val="4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pct"/>
                  <w:vMerge w:val="continue"/>
                  <w:vAlign w:val="center"/>
                </w:tcPr>
                <w:p>
                  <w:pPr>
                    <w:pStyle w:val="57"/>
                  </w:pPr>
                </w:p>
              </w:tc>
              <w:tc>
                <w:tcPr>
                  <w:tcW w:w="2361" w:type="pct"/>
                  <w:vAlign w:val="center"/>
                </w:tcPr>
                <w:p>
                  <w:pPr>
                    <w:pStyle w:val="57"/>
                    <w:jc w:val="center"/>
                  </w:pPr>
                  <w:r>
                    <w:rPr>
                      <w:rFonts w:hint="eastAsia"/>
                    </w:rPr>
                    <w:t>丙酮</w:t>
                  </w:r>
                </w:p>
              </w:tc>
              <w:tc>
                <w:tcPr>
                  <w:tcW w:w="1220" w:type="pct"/>
                  <w:vAlign w:val="center"/>
                </w:tcPr>
                <w:p>
                  <w:pPr>
                    <w:adjustRightInd w:val="0"/>
                    <w:snapToGrid w:val="0"/>
                    <w:jc w:val="center"/>
                    <w:rPr>
                      <w:rFonts w:ascii="Times New Roman" w:hAnsi="Times New Roman" w:eastAsia="宋体"/>
                      <w:kern w:val="44"/>
                    </w:rPr>
                  </w:pPr>
                  <w:r>
                    <w:rPr>
                      <w:rFonts w:ascii="Times New Roman" w:hAnsi="Times New Roman" w:eastAsia="宋体"/>
                      <w:kern w:val="44"/>
                    </w:rPr>
                    <w:t>40%</w:t>
                  </w:r>
                </w:p>
              </w:tc>
            </w:tr>
          </w:tbl>
          <w:p>
            <w:pPr>
              <w:pStyle w:val="47"/>
              <w:adjustRightInd w:val="0"/>
              <w:snapToGrid w:val="0"/>
              <w:spacing w:line="360" w:lineRule="auto"/>
              <w:ind w:firstLine="472" w:firstLineChars="196"/>
              <w:rPr>
                <w:rFonts w:ascii="Times New Roman" w:hAnsi="Times New Roman" w:eastAsia="宋体" w:cs="Times New Roman"/>
                <w:b/>
                <w:kern w:val="0"/>
                <w:sz w:val="24"/>
                <w:szCs w:val="28"/>
              </w:rPr>
            </w:pPr>
            <w:r>
              <w:rPr>
                <w:rFonts w:hint="eastAsia" w:ascii="Times New Roman" w:hAnsi="Times New Roman" w:eastAsia="宋体" w:cs="Times New Roman"/>
                <w:b/>
                <w:kern w:val="0"/>
                <w:sz w:val="24"/>
                <w:szCs w:val="28"/>
              </w:rPr>
              <w:t>5</w:t>
            </w:r>
            <w:r>
              <w:rPr>
                <w:rFonts w:ascii="Times New Roman" w:hAnsi="Times New Roman" w:eastAsia="宋体" w:cs="Times New Roman"/>
                <w:b/>
                <w:kern w:val="0"/>
                <w:sz w:val="24"/>
                <w:szCs w:val="28"/>
              </w:rPr>
              <w:t>、主要设备</w:t>
            </w:r>
          </w:p>
          <w:p>
            <w:pPr>
              <w:pStyle w:val="47"/>
              <w:adjustRightInd w:val="0"/>
              <w:snapToGrid w:val="0"/>
              <w:spacing w:line="360" w:lineRule="auto"/>
              <w:ind w:firstLine="480"/>
              <w:rPr>
                <w:rFonts w:ascii="Times New Roman" w:hAnsi="Times New Roman" w:eastAsia="宋体" w:cs="宋体"/>
                <w:b/>
                <w:bCs/>
              </w:rPr>
            </w:pPr>
            <w:r>
              <w:rPr>
                <w:rFonts w:ascii="Times New Roman" w:hAnsi="Times New Roman" w:eastAsia="宋体" w:cs="Times New Roman"/>
                <w:sz w:val="24"/>
                <w:szCs w:val="24"/>
                <w:shd w:val="clear" w:color="auto" w:fill="FFFFFF"/>
              </w:rPr>
              <w:t>本项目</w:t>
            </w:r>
            <w:r>
              <w:rPr>
                <w:rFonts w:hint="eastAsia" w:ascii="Times New Roman" w:hAnsi="Times New Roman" w:eastAsia="宋体" w:cs="Times New Roman"/>
                <w:sz w:val="24"/>
                <w:szCs w:val="24"/>
                <w:shd w:val="clear" w:color="auto" w:fill="FFFFFF"/>
              </w:rPr>
              <w:t>所使用的</w:t>
            </w:r>
            <w:r>
              <w:rPr>
                <w:rFonts w:ascii="Times New Roman" w:hAnsi="Times New Roman" w:eastAsia="宋体" w:cs="Times New Roman"/>
                <w:sz w:val="24"/>
                <w:szCs w:val="24"/>
                <w:shd w:val="clear" w:color="auto" w:fill="FFFFFF"/>
              </w:rPr>
              <w:t>设备无国家明令禁止、淘汰、落后、限制的工艺设备</w:t>
            </w:r>
            <w:r>
              <w:rPr>
                <w:rFonts w:hint="eastAsia" w:ascii="Times New Roman" w:hAnsi="Times New Roman" w:eastAsia="宋体" w:cs="Times New Roman"/>
                <w:sz w:val="24"/>
                <w:szCs w:val="24"/>
                <w:shd w:val="clear" w:color="auto" w:fill="FFFFFF"/>
              </w:rPr>
              <w:t>，具体情况</w:t>
            </w:r>
            <w:r>
              <w:rPr>
                <w:rFonts w:ascii="Times New Roman" w:hAnsi="Times New Roman" w:eastAsia="宋体" w:cs="Times New Roman"/>
                <w:kern w:val="0"/>
                <w:sz w:val="24"/>
                <w:szCs w:val="24"/>
              </w:rPr>
              <w:t>见表</w:t>
            </w: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-11。</w:t>
            </w:r>
          </w:p>
          <w:p>
            <w:pPr>
              <w:pStyle w:val="71"/>
              <w:rPr>
                <w:color w:val="auto"/>
              </w:rPr>
            </w:pPr>
            <w:r>
              <w:rPr>
                <w:rFonts w:hint="eastAsia"/>
                <w:color w:val="auto"/>
              </w:rPr>
              <w:t>表</w:t>
            </w:r>
            <w:r>
              <w:rPr>
                <w:rFonts w:cs="Times New Roman"/>
                <w:color w:val="auto"/>
              </w:rPr>
              <w:t>2-11</w:t>
            </w:r>
            <w:r>
              <w:rPr>
                <w:rFonts w:hint="eastAsia"/>
                <w:color w:val="auto"/>
              </w:rPr>
              <w:t xml:space="preserve">  主要设备清单</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734"/>
              <w:gridCol w:w="1847"/>
              <w:gridCol w:w="187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b/>
                      <w:bCs/>
                    </w:rPr>
                  </w:pPr>
                  <w:r>
                    <w:rPr>
                      <w:rFonts w:ascii="Times New Roman" w:hAnsi="Times New Roman" w:eastAsia="宋体"/>
                      <w:b/>
                      <w:bCs/>
                    </w:rPr>
                    <w:t>序号</w:t>
                  </w:r>
                </w:p>
              </w:tc>
              <w:tc>
                <w:tcPr>
                  <w:tcW w:w="1089" w:type="pct"/>
                  <w:vAlign w:val="center"/>
                </w:tcPr>
                <w:p>
                  <w:pPr>
                    <w:adjustRightInd w:val="0"/>
                    <w:snapToGrid w:val="0"/>
                    <w:jc w:val="center"/>
                    <w:rPr>
                      <w:rFonts w:ascii="Times New Roman" w:hAnsi="Times New Roman" w:eastAsia="宋体"/>
                      <w:b/>
                      <w:bCs/>
                      <w:lang w:val="zh-CN"/>
                    </w:rPr>
                  </w:pPr>
                  <w:r>
                    <w:rPr>
                      <w:rFonts w:ascii="Times New Roman" w:hAnsi="Times New Roman" w:eastAsia="宋体"/>
                      <w:b/>
                      <w:bCs/>
                      <w:lang w:val="zh-CN"/>
                    </w:rPr>
                    <w:t>名称</w:t>
                  </w:r>
                </w:p>
              </w:tc>
              <w:tc>
                <w:tcPr>
                  <w:tcW w:w="1160" w:type="pct"/>
                  <w:vAlign w:val="center"/>
                </w:tcPr>
                <w:p>
                  <w:pPr>
                    <w:adjustRightInd w:val="0"/>
                    <w:snapToGrid w:val="0"/>
                    <w:jc w:val="center"/>
                    <w:rPr>
                      <w:rFonts w:ascii="Times New Roman" w:hAnsi="Times New Roman" w:eastAsia="宋体"/>
                      <w:b/>
                      <w:bCs/>
                      <w:lang w:val="zh-CN"/>
                    </w:rPr>
                  </w:pPr>
                  <w:r>
                    <w:rPr>
                      <w:rFonts w:ascii="Times New Roman" w:hAnsi="Times New Roman" w:eastAsia="宋体"/>
                      <w:b/>
                      <w:bCs/>
                      <w:lang w:val="zh-CN"/>
                    </w:rPr>
                    <w:t>型号</w:t>
                  </w:r>
                </w:p>
              </w:tc>
              <w:tc>
                <w:tcPr>
                  <w:tcW w:w="1179" w:type="pct"/>
                  <w:vAlign w:val="center"/>
                </w:tcPr>
                <w:p>
                  <w:pPr>
                    <w:adjustRightInd w:val="0"/>
                    <w:snapToGrid w:val="0"/>
                    <w:jc w:val="center"/>
                    <w:rPr>
                      <w:rFonts w:ascii="Times New Roman" w:hAnsi="Times New Roman" w:eastAsia="宋体"/>
                      <w:b/>
                      <w:bCs/>
                      <w:lang w:val="zh-CN"/>
                    </w:rPr>
                  </w:pPr>
                  <w:r>
                    <w:rPr>
                      <w:rFonts w:hint="eastAsia" w:ascii="Times New Roman" w:hAnsi="Times New Roman" w:eastAsia="宋体"/>
                      <w:b/>
                      <w:bCs/>
                    </w:rPr>
                    <w:t>数量</w:t>
                  </w:r>
                </w:p>
              </w:tc>
              <w:tc>
                <w:tcPr>
                  <w:tcW w:w="1158" w:type="pc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1</w:t>
                  </w:r>
                </w:p>
              </w:tc>
              <w:tc>
                <w:tcPr>
                  <w:tcW w:w="108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数控车床</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1</w:t>
                  </w:r>
                </w:p>
              </w:tc>
              <w:tc>
                <w:tcPr>
                  <w:tcW w:w="1158" w:type="pct"/>
                  <w:vAlign w:val="center"/>
                </w:tcPr>
                <w:p>
                  <w:pPr>
                    <w:adjustRightInd w:val="0"/>
                    <w:snapToGrid w:val="0"/>
                    <w:jc w:val="center"/>
                    <w:rPr>
                      <w:rFonts w:ascii="Times New Roman" w:hAnsi="Times New Roman" w:eastAsia="宋体"/>
                      <w:bCs/>
                    </w:rPr>
                  </w:pPr>
                  <w:r>
                    <w:rPr>
                      <w:rFonts w:hint="eastAsia" w:ascii="Times New Roman" w:hAnsi="Times New Roman" w:eastAsia="宋体" w:cs="Times New Roman"/>
                    </w:rPr>
                    <w:t>机械加工间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2</w:t>
                  </w:r>
                </w:p>
              </w:tc>
              <w:tc>
                <w:tcPr>
                  <w:tcW w:w="108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气动搅拌机</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2</w:t>
                  </w:r>
                </w:p>
              </w:tc>
              <w:tc>
                <w:tcPr>
                  <w:tcW w:w="1158"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配料间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3</w:t>
                  </w:r>
                </w:p>
              </w:tc>
              <w:tc>
                <w:tcPr>
                  <w:tcW w:w="1089" w:type="pct"/>
                  <w:vAlign w:val="center"/>
                </w:tcPr>
                <w:p>
                  <w:pPr>
                    <w:adjustRightInd w:val="0"/>
                    <w:snapToGrid w:val="0"/>
                    <w:jc w:val="center"/>
                    <w:rPr>
                      <w:rFonts w:ascii="Times New Roman" w:hAnsi="Times New Roman" w:eastAsia="宋体"/>
                      <w:bCs/>
                    </w:rPr>
                  </w:pPr>
                  <w:r>
                    <w:rPr>
                      <w:rFonts w:ascii="Times New Roman" w:hAnsi="Times New Roman" w:eastAsia="宋体"/>
                      <w:bCs/>
                    </w:rPr>
                    <w:t>自动喷涂设备</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HNZDPTSB010</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1</w:t>
                  </w:r>
                </w:p>
              </w:tc>
              <w:tc>
                <w:tcPr>
                  <w:tcW w:w="1158" w:type="pct"/>
                  <w:vAlign w:val="center"/>
                </w:tcPr>
                <w:p>
                  <w:pPr>
                    <w:adjustRightInd w:val="0"/>
                    <w:snapToGrid w:val="0"/>
                    <w:jc w:val="center"/>
                    <w:rPr>
                      <w:rFonts w:ascii="Times New Roman" w:hAnsi="Times New Roman" w:eastAsia="宋体"/>
                      <w:bCs/>
                    </w:rPr>
                  </w:pPr>
                  <w:r>
                    <w:rPr>
                      <w:rFonts w:ascii="Times New Roman" w:hAnsi="Times New Roman" w:eastAsia="宋体"/>
                      <w:bCs/>
                    </w:rPr>
                    <w:t>喷漆间</w:t>
                  </w:r>
                  <w:r>
                    <w:rPr>
                      <w:rFonts w:hint="eastAsia" w:ascii="Times New Roman" w:hAnsi="Times New Roman" w:eastAsia="宋体"/>
                      <w:bCs/>
                    </w:rPr>
                    <w:t>B</w:t>
                  </w:r>
                  <w:r>
                    <w:rPr>
                      <w:rFonts w:ascii="Times New Roman" w:hAnsi="Times New Roman" w:eastAsia="宋体"/>
                      <w:bC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4</w:t>
                  </w:r>
                </w:p>
              </w:tc>
              <w:tc>
                <w:tcPr>
                  <w:tcW w:w="108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手动喷枪</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2</w:t>
                  </w:r>
                </w:p>
              </w:tc>
              <w:tc>
                <w:tcPr>
                  <w:tcW w:w="1158" w:type="pct"/>
                  <w:vAlign w:val="center"/>
                </w:tcPr>
                <w:p>
                  <w:pPr>
                    <w:adjustRightInd w:val="0"/>
                    <w:snapToGrid w:val="0"/>
                    <w:jc w:val="center"/>
                    <w:rPr>
                      <w:rFonts w:ascii="Times New Roman" w:hAnsi="Times New Roman" w:eastAsia="宋体"/>
                      <w:bCs/>
                    </w:rPr>
                  </w:pPr>
                  <w:r>
                    <w:rPr>
                      <w:rFonts w:ascii="Times New Roman" w:hAnsi="Times New Roman" w:eastAsia="宋体"/>
                      <w:bCs/>
                    </w:rPr>
                    <w:t>喷漆间</w:t>
                  </w:r>
                  <w:r>
                    <w:rPr>
                      <w:rFonts w:hint="eastAsia" w:ascii="Times New Roman" w:hAnsi="Times New Roman" w:eastAsia="宋体"/>
                      <w:bCs/>
                    </w:rPr>
                    <w:t>B</w:t>
                  </w:r>
                  <w:r>
                    <w:rPr>
                      <w:rFonts w:ascii="Times New Roman" w:hAnsi="Times New Roman" w:eastAsia="宋体"/>
                      <w:bCs/>
                    </w:rPr>
                    <w:t>5</w:t>
                  </w:r>
                  <w:r>
                    <w:rPr>
                      <w:rFonts w:hint="eastAsia" w:ascii="Times New Roman" w:hAnsi="Times New Roman" w:eastAsia="宋体"/>
                      <w:bCs/>
                    </w:rPr>
                    <w:t>、B</w:t>
                  </w:r>
                  <w:r>
                    <w:rPr>
                      <w:rFonts w:ascii="Times New Roman" w:hAnsi="Times New Roman" w:eastAsia="宋体"/>
                      <w:bC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5</w:t>
                  </w:r>
                </w:p>
              </w:tc>
              <w:tc>
                <w:tcPr>
                  <w:tcW w:w="1089" w:type="pct"/>
                  <w:vAlign w:val="center"/>
                </w:tcPr>
                <w:p>
                  <w:pPr>
                    <w:adjustRightInd w:val="0"/>
                    <w:snapToGrid w:val="0"/>
                    <w:jc w:val="center"/>
                    <w:rPr>
                      <w:rFonts w:ascii="Times New Roman" w:hAnsi="Times New Roman" w:eastAsia="宋体"/>
                      <w:bCs/>
                    </w:rPr>
                  </w:pPr>
                  <w:r>
                    <w:rPr>
                      <w:rFonts w:ascii="Times New Roman" w:hAnsi="Times New Roman" w:eastAsia="宋体"/>
                      <w:bCs/>
                    </w:rPr>
                    <w:t>喷砂机</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1</w:t>
                  </w:r>
                </w:p>
              </w:tc>
              <w:tc>
                <w:tcPr>
                  <w:tcW w:w="1158" w:type="pct"/>
                  <w:vAlign w:val="center"/>
                </w:tcPr>
                <w:p>
                  <w:pPr>
                    <w:adjustRightInd w:val="0"/>
                    <w:snapToGrid w:val="0"/>
                    <w:jc w:val="center"/>
                    <w:rPr>
                      <w:rFonts w:ascii="Times New Roman" w:hAnsi="Times New Roman" w:eastAsia="宋体"/>
                      <w:bCs/>
                    </w:rPr>
                  </w:pPr>
                  <w:r>
                    <w:rPr>
                      <w:rFonts w:ascii="Times New Roman" w:hAnsi="Times New Roman" w:eastAsia="宋体"/>
                      <w:bCs/>
                    </w:rPr>
                    <w:t>喷砂间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6</w:t>
                  </w:r>
                </w:p>
              </w:tc>
              <w:tc>
                <w:tcPr>
                  <w:tcW w:w="108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台车自转式抛丸毛化设备</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QCZ1200</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1</w:t>
                  </w:r>
                </w:p>
              </w:tc>
              <w:tc>
                <w:tcPr>
                  <w:tcW w:w="1158" w:type="pct"/>
                  <w:vAlign w:val="center"/>
                </w:tcPr>
                <w:p>
                  <w:pPr>
                    <w:adjustRightInd w:val="0"/>
                    <w:snapToGrid w:val="0"/>
                    <w:jc w:val="center"/>
                    <w:rPr>
                      <w:rFonts w:ascii="Times New Roman" w:hAnsi="Times New Roman" w:eastAsia="宋体"/>
                      <w:bCs/>
                    </w:rPr>
                  </w:pPr>
                  <w:r>
                    <w:rPr>
                      <w:rFonts w:ascii="Times New Roman" w:hAnsi="Times New Roman" w:eastAsia="宋体"/>
                      <w:bCs/>
                    </w:rPr>
                    <w:t>抛</w:t>
                  </w:r>
                  <w:r>
                    <w:rPr>
                      <w:rFonts w:hint="eastAsia" w:ascii="Times New Roman" w:hAnsi="Times New Roman" w:eastAsia="宋体"/>
                      <w:bCs/>
                    </w:rPr>
                    <w:t>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rPr>
                  </w:pPr>
                  <w:r>
                    <w:rPr>
                      <w:rFonts w:hint="eastAsia" w:ascii="Times New Roman" w:hAnsi="Times New Roman" w:eastAsia="宋体"/>
                      <w:bCs/>
                    </w:rPr>
                    <w:t>7</w:t>
                  </w:r>
                </w:p>
              </w:tc>
              <w:tc>
                <w:tcPr>
                  <w:tcW w:w="1089" w:type="pct"/>
                  <w:vAlign w:val="center"/>
                </w:tcPr>
                <w:p>
                  <w:pPr>
                    <w:adjustRightInd w:val="0"/>
                    <w:snapToGrid w:val="0"/>
                    <w:jc w:val="center"/>
                    <w:rPr>
                      <w:rFonts w:ascii="Times New Roman" w:hAnsi="Times New Roman" w:eastAsia="宋体"/>
                      <w:lang w:val="zh-CN"/>
                    </w:rPr>
                  </w:pPr>
                  <w:r>
                    <w:rPr>
                      <w:rFonts w:ascii="Times New Roman" w:hAnsi="Times New Roman" w:eastAsia="宋体"/>
                      <w:bCs/>
                    </w:rPr>
                    <w:t>打磨机</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3</w:t>
                  </w:r>
                </w:p>
              </w:tc>
              <w:tc>
                <w:tcPr>
                  <w:tcW w:w="1158" w:type="pct"/>
                  <w:vAlign w:val="center"/>
                </w:tcPr>
                <w:p>
                  <w:pPr>
                    <w:adjustRightInd w:val="0"/>
                    <w:snapToGrid w:val="0"/>
                    <w:jc w:val="center"/>
                    <w:rPr>
                      <w:rFonts w:ascii="Times New Roman" w:hAnsi="Times New Roman" w:eastAsia="宋体"/>
                    </w:rPr>
                  </w:pPr>
                  <w:r>
                    <w:rPr>
                      <w:rFonts w:ascii="Times New Roman" w:hAnsi="Times New Roman" w:eastAsia="宋体"/>
                      <w:bCs/>
                    </w:rPr>
                    <w:t>打磨间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8</w:t>
                  </w:r>
                </w:p>
              </w:tc>
              <w:tc>
                <w:tcPr>
                  <w:tcW w:w="1089" w:type="pct"/>
                  <w:vAlign w:val="center"/>
                </w:tcPr>
                <w:p>
                  <w:pPr>
                    <w:adjustRightInd w:val="0"/>
                    <w:snapToGrid w:val="0"/>
                    <w:jc w:val="center"/>
                    <w:rPr>
                      <w:rFonts w:ascii="Times New Roman" w:hAnsi="Times New Roman" w:eastAsia="宋体"/>
                      <w:bCs/>
                    </w:rPr>
                  </w:pPr>
                  <w:r>
                    <w:rPr>
                      <w:rFonts w:ascii="Times New Roman" w:hAnsi="Times New Roman" w:eastAsia="宋体"/>
                      <w:bCs/>
                    </w:rPr>
                    <w:t>高温加热箱</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1</w:t>
                  </w:r>
                </w:p>
              </w:tc>
              <w:tc>
                <w:tcPr>
                  <w:tcW w:w="1158" w:type="pct"/>
                  <w:vAlign w:val="center"/>
                </w:tcPr>
                <w:p>
                  <w:pPr>
                    <w:adjustRightInd w:val="0"/>
                    <w:snapToGrid w:val="0"/>
                    <w:jc w:val="center"/>
                    <w:rPr>
                      <w:rFonts w:ascii="Times New Roman" w:hAnsi="Times New Roman" w:eastAsia="宋体"/>
                    </w:rPr>
                  </w:pPr>
                  <w:r>
                    <w:rPr>
                      <w:rFonts w:hint="eastAsia" w:ascii="Times New Roman" w:hAnsi="Times New Roman" w:eastAsia="宋体"/>
                      <w:bCs/>
                    </w:rPr>
                    <w:t>厂区</w:t>
                  </w:r>
                  <w:r>
                    <w:rPr>
                      <w:rFonts w:ascii="Times New Roman" w:hAnsi="Times New Roman" w:eastAsia="宋体"/>
                      <w:bCs/>
                    </w:rPr>
                    <w:t>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bCs/>
                    </w:rPr>
                  </w:pPr>
                  <w:r>
                    <w:rPr>
                      <w:rFonts w:hint="eastAsia" w:ascii="Times New Roman" w:hAnsi="Times New Roman" w:eastAsia="宋体"/>
                    </w:rPr>
                    <w:t>9</w:t>
                  </w:r>
                </w:p>
              </w:tc>
              <w:tc>
                <w:tcPr>
                  <w:tcW w:w="1089" w:type="pct"/>
                  <w:vAlign w:val="center"/>
                </w:tcPr>
                <w:p>
                  <w:pPr>
                    <w:adjustRightInd w:val="0"/>
                    <w:snapToGrid w:val="0"/>
                    <w:jc w:val="center"/>
                    <w:rPr>
                      <w:rFonts w:ascii="Times New Roman" w:hAnsi="Times New Roman" w:eastAsia="宋体"/>
                      <w:bCs/>
                    </w:rPr>
                  </w:pPr>
                  <w:r>
                    <w:rPr>
                      <w:rFonts w:ascii="Times New Roman" w:hAnsi="Times New Roman" w:eastAsia="宋体"/>
                      <w:lang w:val="zh-CN"/>
                    </w:rPr>
                    <w:t>烘干机</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1</w:t>
                  </w:r>
                </w:p>
              </w:tc>
              <w:tc>
                <w:tcPr>
                  <w:tcW w:w="1158" w:type="pct"/>
                  <w:vAlign w:val="center"/>
                </w:tcPr>
                <w:p>
                  <w:pPr>
                    <w:adjustRightInd w:val="0"/>
                    <w:snapToGrid w:val="0"/>
                    <w:jc w:val="center"/>
                    <w:rPr>
                      <w:rFonts w:ascii="Times New Roman" w:hAnsi="Times New Roman" w:eastAsia="宋体"/>
                    </w:rPr>
                  </w:pPr>
                  <w:r>
                    <w:rPr>
                      <w:rFonts w:ascii="Times New Roman" w:hAnsi="Times New Roman" w:eastAsia="宋体"/>
                    </w:rPr>
                    <w:t>烘干间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0</w:t>
                  </w:r>
                </w:p>
              </w:tc>
              <w:tc>
                <w:tcPr>
                  <w:tcW w:w="1089" w:type="pct"/>
                  <w:vAlign w:val="center"/>
                </w:tcPr>
                <w:p>
                  <w:pPr>
                    <w:adjustRightInd w:val="0"/>
                    <w:snapToGrid w:val="0"/>
                    <w:jc w:val="center"/>
                    <w:rPr>
                      <w:rFonts w:ascii="Times New Roman" w:hAnsi="Times New Roman" w:eastAsia="宋体"/>
                      <w:lang w:val="zh-CN"/>
                    </w:rPr>
                  </w:pPr>
                  <w:r>
                    <w:rPr>
                      <w:rFonts w:ascii="Times New Roman" w:hAnsi="Times New Roman" w:eastAsia="宋体"/>
                      <w:bCs/>
                    </w:rPr>
                    <w:t>空压机</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1</w:t>
                  </w:r>
                </w:p>
              </w:tc>
              <w:tc>
                <w:tcPr>
                  <w:tcW w:w="1158" w:type="pct"/>
                </w:tcPr>
                <w:p>
                  <w:pPr>
                    <w:adjustRightInd w:val="0"/>
                    <w:snapToGrid w:val="0"/>
                    <w:jc w:val="center"/>
                    <w:rPr>
                      <w:rFonts w:ascii="Times New Roman" w:hAnsi="Times New Roman" w:eastAsia="宋体"/>
                    </w:rPr>
                  </w:pPr>
                  <w:r>
                    <w:rPr>
                      <w:rFonts w:ascii="Times New Roman" w:hAnsi="Times New Roman" w:eastAsia="宋体"/>
                    </w:rPr>
                    <w:t>厂房南侧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检测设备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rPr>
                  </w:pPr>
                  <w:r>
                    <w:rPr>
                      <w:rFonts w:hint="eastAsia" w:ascii="Times New Roman" w:hAnsi="Times New Roman" w:eastAsia="宋体"/>
                    </w:rPr>
                    <w:t>1</w:t>
                  </w:r>
                </w:p>
              </w:tc>
              <w:tc>
                <w:tcPr>
                  <w:tcW w:w="108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数显游标卡尺</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3</w:t>
                  </w:r>
                </w:p>
              </w:tc>
              <w:tc>
                <w:tcPr>
                  <w:tcW w:w="1158" w:type="pct"/>
                  <w:vAlign w:val="center"/>
                </w:tcPr>
                <w:p>
                  <w:pPr>
                    <w:adjustRightInd w:val="0"/>
                    <w:snapToGrid w:val="0"/>
                    <w:jc w:val="center"/>
                    <w:rPr>
                      <w:rFonts w:ascii="Times New Roman" w:hAnsi="Times New Roman" w:eastAsia="宋体"/>
                    </w:rPr>
                  </w:pPr>
                  <w:r>
                    <w:rPr>
                      <w:rFonts w:hint="eastAsia" w:ascii="Times New Roman" w:hAnsi="Times New Roman" w:eastAsia="宋体"/>
                    </w:rPr>
                    <w:t>检验间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rPr>
                  </w:pPr>
                  <w:r>
                    <w:rPr>
                      <w:rFonts w:hint="eastAsia" w:ascii="Times New Roman" w:hAnsi="Times New Roman" w:eastAsia="宋体"/>
                    </w:rPr>
                    <w:t>2</w:t>
                  </w:r>
                </w:p>
              </w:tc>
              <w:tc>
                <w:tcPr>
                  <w:tcW w:w="108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三坐标测量仪</w:t>
                  </w:r>
                </w:p>
              </w:tc>
              <w:tc>
                <w:tcPr>
                  <w:tcW w:w="1160"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2</w:t>
                  </w:r>
                </w:p>
              </w:tc>
              <w:tc>
                <w:tcPr>
                  <w:tcW w:w="1158" w:type="pct"/>
                  <w:vAlign w:val="center"/>
                </w:tcPr>
                <w:p>
                  <w:pPr>
                    <w:adjustRightInd w:val="0"/>
                    <w:snapToGrid w:val="0"/>
                    <w:jc w:val="center"/>
                    <w:rPr>
                      <w:rFonts w:ascii="Times New Roman" w:hAnsi="Times New Roman" w:eastAsia="宋体"/>
                    </w:rPr>
                  </w:pPr>
                  <w:r>
                    <w:rPr>
                      <w:rFonts w:hint="eastAsia" w:ascii="Times New Roman" w:hAnsi="Times New Roman" w:eastAsia="宋体"/>
                    </w:rPr>
                    <w:t>检验间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vAlign w:val="center"/>
                </w:tcPr>
                <w:p>
                  <w:pPr>
                    <w:adjustRightInd w:val="0"/>
                    <w:snapToGrid w:val="0"/>
                    <w:jc w:val="center"/>
                    <w:rPr>
                      <w:rFonts w:ascii="Times New Roman" w:hAnsi="Times New Roman" w:eastAsia="宋体"/>
                      <w:bCs/>
                    </w:rPr>
                  </w:pPr>
                  <w:r>
                    <w:rPr>
                      <w:rFonts w:hint="eastAsia" w:ascii="Times New Roman" w:hAnsi="Times New Roman" w:eastAsia="宋体"/>
                      <w:b/>
                      <w:bCs/>
                    </w:rPr>
                    <w:t>环保设备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rPr>
                  </w:pPr>
                  <w:r>
                    <w:rPr>
                      <w:rFonts w:ascii="Times New Roman" w:hAnsi="Times New Roman" w:eastAsia="宋体"/>
                    </w:rPr>
                    <w:t>1</w:t>
                  </w:r>
                </w:p>
              </w:tc>
              <w:tc>
                <w:tcPr>
                  <w:tcW w:w="1089" w:type="pct"/>
                  <w:vAlign w:val="center"/>
                </w:tcPr>
                <w:p>
                  <w:pPr>
                    <w:adjustRightInd w:val="0"/>
                    <w:snapToGrid w:val="0"/>
                    <w:jc w:val="center"/>
                    <w:rPr>
                      <w:rFonts w:ascii="Times New Roman" w:hAnsi="Times New Roman" w:eastAsia="宋体"/>
                      <w:lang w:val="zh-CN"/>
                    </w:rPr>
                  </w:pPr>
                  <w:r>
                    <w:rPr>
                      <w:rFonts w:hint="eastAsia" w:ascii="Times New Roman" w:hAnsi="Times New Roman" w:eastAsia="宋体"/>
                      <w:bCs/>
                    </w:rPr>
                    <w:t>脉冲袋式除尘器</w:t>
                  </w:r>
                </w:p>
              </w:tc>
              <w:tc>
                <w:tcPr>
                  <w:tcW w:w="1160" w:type="pct"/>
                  <w:vAlign w:val="center"/>
                </w:tcPr>
                <w:p>
                  <w:pPr>
                    <w:adjustRightInd w:val="0"/>
                    <w:snapToGrid w:val="0"/>
                    <w:jc w:val="center"/>
                    <w:rPr>
                      <w:rFonts w:ascii="Times New Roman" w:hAnsi="Times New Roman" w:eastAsia="宋体"/>
                    </w:rPr>
                  </w:pPr>
                  <w:r>
                    <w:rPr>
                      <w:rFonts w:hint="eastAsia" w:ascii="Times New Roman" w:hAnsi="Times New Roman" w:eastAsia="宋体"/>
                    </w:rPr>
                    <w:t>风机</w:t>
                  </w:r>
                  <w:r>
                    <w:rPr>
                      <w:rFonts w:ascii="Times New Roman" w:hAnsi="Times New Roman" w:eastAsia="宋体"/>
                    </w:rPr>
                    <w:t>1</w:t>
                  </w:r>
                  <w:r>
                    <w:rPr>
                      <w:rFonts w:hint="eastAsia" w:ascii="Times New Roman" w:hAnsi="Times New Roman" w:eastAsia="宋体"/>
                    </w:rPr>
                    <w:t>台（15</w:t>
                  </w:r>
                  <w:r>
                    <w:rPr>
                      <w:rFonts w:ascii="Times New Roman" w:hAnsi="Times New Roman" w:eastAsia="宋体"/>
                    </w:rPr>
                    <w:t>0</w:t>
                  </w:r>
                  <w:r>
                    <w:rPr>
                      <w:rFonts w:hint="eastAsia" w:ascii="Times New Roman" w:hAnsi="Times New Roman" w:eastAsia="宋体"/>
                    </w:rPr>
                    <w:t>00m</w:t>
                  </w:r>
                  <w:r>
                    <w:rPr>
                      <w:rFonts w:hint="eastAsia" w:ascii="Times New Roman" w:hAnsi="Times New Roman" w:eastAsia="宋体"/>
                      <w:vertAlign w:val="superscript"/>
                    </w:rPr>
                    <w:t>3</w:t>
                  </w:r>
                  <w:r>
                    <w:rPr>
                      <w:rFonts w:hint="eastAsia" w:ascii="Times New Roman" w:hAnsi="Times New Roman" w:eastAsia="宋体"/>
                    </w:rPr>
                    <w:t>/h）</w:t>
                  </w:r>
                </w:p>
              </w:tc>
              <w:tc>
                <w:tcPr>
                  <w:tcW w:w="1179" w:type="pct"/>
                  <w:vAlign w:val="center"/>
                </w:tcPr>
                <w:p>
                  <w:pPr>
                    <w:adjustRightInd w:val="0"/>
                    <w:snapToGrid w:val="0"/>
                    <w:jc w:val="center"/>
                    <w:rPr>
                      <w:rFonts w:ascii="Times New Roman" w:hAnsi="Times New Roman" w:eastAsia="宋体"/>
                    </w:rPr>
                  </w:pPr>
                  <w:r>
                    <w:rPr>
                      <w:rFonts w:ascii="Times New Roman" w:hAnsi="Times New Roman" w:eastAsia="宋体"/>
                      <w:bCs/>
                    </w:rPr>
                    <w:t>1</w:t>
                  </w:r>
                  <w:r>
                    <w:rPr>
                      <w:rFonts w:hint="eastAsia" w:ascii="Times New Roman" w:hAnsi="Times New Roman" w:eastAsia="宋体"/>
                      <w:bCs/>
                    </w:rPr>
                    <w:t>台</w:t>
                  </w:r>
                </w:p>
              </w:tc>
              <w:tc>
                <w:tcPr>
                  <w:tcW w:w="1158" w:type="pct"/>
                  <w:vAlign w:val="center"/>
                </w:tcPr>
                <w:p>
                  <w:pPr>
                    <w:adjustRightInd w:val="0"/>
                    <w:snapToGrid w:val="0"/>
                    <w:jc w:val="center"/>
                    <w:rPr>
                      <w:rFonts w:ascii="Times New Roman" w:hAnsi="Times New Roman" w:eastAsia="宋体"/>
                    </w:rPr>
                  </w:pPr>
                  <w:r>
                    <w:rPr>
                      <w:rFonts w:ascii="Times New Roman" w:hAnsi="Times New Roman" w:eastAsia="宋体"/>
                    </w:rPr>
                    <w:t>厂房南侧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pct"/>
                  <w:vAlign w:val="center"/>
                </w:tcPr>
                <w:p>
                  <w:pPr>
                    <w:adjustRightInd w:val="0"/>
                    <w:snapToGrid w:val="0"/>
                    <w:jc w:val="center"/>
                    <w:rPr>
                      <w:rFonts w:ascii="Times New Roman" w:hAnsi="Times New Roman" w:eastAsia="宋体"/>
                    </w:rPr>
                  </w:pPr>
                  <w:r>
                    <w:rPr>
                      <w:rFonts w:hint="eastAsia" w:ascii="Times New Roman" w:hAnsi="Times New Roman" w:eastAsia="宋体"/>
                    </w:rPr>
                    <w:t>2</w:t>
                  </w:r>
                </w:p>
              </w:tc>
              <w:tc>
                <w:tcPr>
                  <w:tcW w:w="1089" w:type="pct"/>
                  <w:vAlign w:val="center"/>
                </w:tcPr>
                <w:p>
                  <w:pPr>
                    <w:adjustRightInd w:val="0"/>
                    <w:snapToGrid w:val="0"/>
                    <w:jc w:val="center"/>
                    <w:rPr>
                      <w:rFonts w:ascii="Times New Roman" w:hAnsi="Times New Roman" w:eastAsia="宋体"/>
                      <w:bCs/>
                    </w:rPr>
                  </w:pPr>
                  <w:r>
                    <w:rPr>
                      <w:rFonts w:hint="eastAsia" w:ascii="Times New Roman" w:hAnsi="Times New Roman" w:eastAsia="宋体"/>
                      <w:lang w:val="zh-CN"/>
                    </w:rPr>
                    <w:t>干式过滤器+吸附</w:t>
                  </w:r>
                  <w:r>
                    <w:rPr>
                      <w:rFonts w:ascii="Times New Roman" w:hAnsi="Times New Roman" w:eastAsia="宋体"/>
                      <w:lang w:val="zh-CN"/>
                    </w:rPr>
                    <w:t>脱附催化燃烧废气处理装置</w:t>
                  </w:r>
                </w:p>
              </w:tc>
              <w:tc>
                <w:tcPr>
                  <w:tcW w:w="1160" w:type="pct"/>
                  <w:vAlign w:val="center"/>
                </w:tcPr>
                <w:p>
                  <w:pPr>
                    <w:adjustRightInd w:val="0"/>
                    <w:snapToGrid w:val="0"/>
                    <w:jc w:val="center"/>
                    <w:rPr>
                      <w:rFonts w:ascii="Times New Roman" w:hAnsi="Times New Roman" w:eastAsia="宋体"/>
                    </w:rPr>
                  </w:pPr>
                  <w:r>
                    <w:rPr>
                      <w:rFonts w:hint="eastAsia" w:ascii="Times New Roman" w:hAnsi="Times New Roman" w:eastAsia="宋体"/>
                    </w:rPr>
                    <w:t>风机</w:t>
                  </w:r>
                  <w:r>
                    <w:rPr>
                      <w:rFonts w:ascii="Times New Roman" w:hAnsi="Times New Roman" w:eastAsia="宋体"/>
                    </w:rPr>
                    <w:t>1</w:t>
                  </w:r>
                  <w:r>
                    <w:rPr>
                      <w:rFonts w:hint="eastAsia" w:ascii="Times New Roman" w:hAnsi="Times New Roman" w:eastAsia="宋体"/>
                    </w:rPr>
                    <w:t>台（</w:t>
                  </w:r>
                  <w:r>
                    <w:rPr>
                      <w:rFonts w:ascii="Times New Roman" w:hAnsi="Times New Roman" w:eastAsia="宋体"/>
                    </w:rPr>
                    <w:t>200</w:t>
                  </w:r>
                  <w:r>
                    <w:rPr>
                      <w:rFonts w:hint="eastAsia" w:ascii="Times New Roman" w:hAnsi="Times New Roman" w:eastAsia="宋体"/>
                    </w:rPr>
                    <w:t>00m</w:t>
                  </w:r>
                  <w:r>
                    <w:rPr>
                      <w:rFonts w:hint="eastAsia" w:ascii="Times New Roman" w:hAnsi="Times New Roman" w:eastAsia="宋体"/>
                      <w:vertAlign w:val="superscript"/>
                    </w:rPr>
                    <w:t>3</w:t>
                  </w:r>
                  <w:r>
                    <w:rPr>
                      <w:rFonts w:hint="eastAsia" w:ascii="Times New Roman" w:hAnsi="Times New Roman" w:eastAsia="宋体"/>
                    </w:rPr>
                    <w:t>/h）</w:t>
                  </w:r>
                </w:p>
              </w:tc>
              <w:tc>
                <w:tcPr>
                  <w:tcW w:w="1179" w:type="pct"/>
                  <w:vAlign w:val="center"/>
                </w:tcPr>
                <w:p>
                  <w:pPr>
                    <w:adjustRightInd w:val="0"/>
                    <w:snapToGrid w:val="0"/>
                    <w:jc w:val="center"/>
                    <w:rPr>
                      <w:rFonts w:ascii="Times New Roman" w:hAnsi="Times New Roman" w:eastAsia="宋体"/>
                      <w:bCs/>
                    </w:rPr>
                  </w:pPr>
                  <w:r>
                    <w:rPr>
                      <w:rFonts w:hint="eastAsia" w:ascii="Times New Roman" w:hAnsi="Times New Roman" w:eastAsia="宋体"/>
                      <w:bCs/>
                    </w:rPr>
                    <w:t>1台</w:t>
                  </w:r>
                </w:p>
              </w:tc>
              <w:tc>
                <w:tcPr>
                  <w:tcW w:w="1158" w:type="pct"/>
                  <w:vAlign w:val="center"/>
                </w:tcPr>
                <w:p>
                  <w:pPr>
                    <w:adjustRightInd w:val="0"/>
                    <w:snapToGrid w:val="0"/>
                    <w:jc w:val="center"/>
                    <w:rPr>
                      <w:rFonts w:ascii="Times New Roman" w:hAnsi="Times New Roman" w:eastAsia="宋体"/>
                      <w:bCs/>
                    </w:rPr>
                  </w:pPr>
                  <w:r>
                    <w:rPr>
                      <w:rFonts w:ascii="Times New Roman" w:hAnsi="Times New Roman" w:eastAsia="宋体"/>
                    </w:rPr>
                    <w:t>厂房南侧</w:t>
                  </w:r>
                </w:p>
              </w:tc>
            </w:tr>
          </w:tbl>
          <w:p>
            <w:pPr>
              <w:pStyle w:val="36"/>
            </w:pPr>
            <w:r>
              <w:rPr>
                <w:rFonts w:hint="eastAsia"/>
              </w:rPr>
              <w:t>6、给排水</w:t>
            </w:r>
          </w:p>
          <w:p>
            <w:pPr>
              <w:pStyle w:val="114"/>
              <w:rPr>
                <w:rFonts w:ascii="Times New Roman" w:hAnsi="Times New Roman" w:eastAsia="宋体"/>
                <w:color w:val="auto"/>
              </w:rPr>
            </w:pPr>
            <w:r>
              <w:rPr>
                <w:rFonts w:ascii="Times New Roman" w:hAnsi="Times New Roman" w:eastAsia="宋体"/>
                <w:color w:val="auto"/>
              </w:rPr>
              <w:t>（1）用排水量计算</w:t>
            </w:r>
          </w:p>
          <w:p>
            <w:pPr>
              <w:pStyle w:val="114"/>
              <w:rPr>
                <w:rFonts w:ascii="Times New Roman" w:hAnsi="Times New Roman" w:eastAsia="宋体"/>
                <w:color w:val="auto"/>
              </w:rPr>
            </w:pPr>
            <w:r>
              <w:rPr>
                <w:rFonts w:ascii="Times New Roman" w:hAnsi="Times New Roman" w:eastAsia="宋体"/>
                <w:color w:val="auto"/>
              </w:rPr>
              <w:t>项目用水主要包括</w:t>
            </w:r>
            <w:r>
              <w:rPr>
                <w:rFonts w:hint="eastAsia" w:ascii="Times New Roman" w:hAnsi="Times New Roman" w:eastAsia="宋体"/>
                <w:color w:val="auto"/>
              </w:rPr>
              <w:t>办公</w:t>
            </w:r>
            <w:r>
              <w:rPr>
                <w:rFonts w:ascii="Times New Roman" w:hAnsi="Times New Roman" w:eastAsia="宋体"/>
                <w:color w:val="auto"/>
              </w:rPr>
              <w:t>生活用水、</w:t>
            </w:r>
            <w:r>
              <w:rPr>
                <w:rFonts w:hint="eastAsia" w:ascii="Times New Roman" w:hAnsi="Times New Roman" w:eastAsia="宋体"/>
                <w:color w:val="auto"/>
              </w:rPr>
              <w:t>生产用水</w:t>
            </w:r>
            <w:r>
              <w:rPr>
                <w:rFonts w:ascii="Times New Roman" w:hAnsi="Times New Roman" w:eastAsia="宋体"/>
                <w:color w:val="auto"/>
              </w:rPr>
              <w:t>。</w:t>
            </w:r>
          </w:p>
          <w:p>
            <w:pPr>
              <w:pStyle w:val="114"/>
              <w:numPr>
                <w:ilvl w:val="0"/>
                <w:numId w:val="1"/>
              </w:numPr>
              <w:ind w:firstLineChars="0"/>
              <w:rPr>
                <w:rFonts w:ascii="Times New Roman" w:hAnsi="Times New Roman" w:eastAsia="宋体"/>
                <w:color w:val="auto"/>
              </w:rPr>
            </w:pPr>
            <w:r>
              <w:rPr>
                <w:rFonts w:ascii="Times New Roman" w:hAnsi="Times New Roman" w:eastAsia="宋体"/>
                <w:color w:val="auto"/>
              </w:rPr>
              <w:t>员工生活用</w:t>
            </w:r>
            <w:r>
              <w:rPr>
                <w:rFonts w:hint="eastAsia" w:ascii="Times New Roman" w:hAnsi="Times New Roman" w:eastAsia="宋体"/>
                <w:color w:val="auto"/>
              </w:rPr>
              <w:t>、排</w:t>
            </w:r>
            <w:r>
              <w:rPr>
                <w:rFonts w:ascii="Times New Roman" w:hAnsi="Times New Roman" w:eastAsia="宋体"/>
                <w:color w:val="auto"/>
              </w:rPr>
              <w:t>水</w:t>
            </w:r>
          </w:p>
          <w:p>
            <w:pPr>
              <w:pStyle w:val="114"/>
              <w:rPr>
                <w:rFonts w:ascii="Times New Roman" w:hAnsi="Times New Roman" w:eastAsia="宋体"/>
                <w:color w:val="auto"/>
              </w:rPr>
            </w:pPr>
            <w:r>
              <w:rPr>
                <w:rFonts w:ascii="Times New Roman" w:hAnsi="Times New Roman" w:eastAsia="宋体"/>
                <w:color w:val="auto"/>
              </w:rPr>
              <w:t>根据企业提供的数据，本项目运营后</w:t>
            </w:r>
            <w:r>
              <w:rPr>
                <w:rFonts w:hint="eastAsia" w:ascii="Times New Roman" w:hAnsi="Times New Roman" w:eastAsia="宋体"/>
                <w:color w:val="auto"/>
              </w:rPr>
              <w:t>计划</w:t>
            </w:r>
            <w:r>
              <w:rPr>
                <w:rFonts w:ascii="Times New Roman" w:hAnsi="Times New Roman" w:eastAsia="宋体"/>
                <w:color w:val="auto"/>
              </w:rPr>
              <w:t>工作人员20人，</w:t>
            </w:r>
            <w:r>
              <w:rPr>
                <w:rFonts w:hint="eastAsia" w:ascii="Times New Roman" w:hAnsi="Times New Roman" w:eastAsia="宋体"/>
                <w:color w:val="auto"/>
              </w:rPr>
              <w:t>提供住宿，本项目位于工业园区，</w:t>
            </w:r>
            <w:r>
              <w:rPr>
                <w:rFonts w:hint="eastAsia" w:ascii="Times New Roman" w:hAnsi="Times New Roman" w:eastAsia="宋体" w:cs="宋体"/>
                <w:color w:val="auto"/>
                <w:spacing w:val="6"/>
              </w:rPr>
              <w:t>参考《行业用水定额》（DB61/T943-2020）中城镇居民生活：小城市关中区域定额</w:t>
            </w:r>
            <w:r>
              <w:rPr>
                <w:rFonts w:ascii="Times New Roman" w:hAnsi="Times New Roman" w:eastAsia="宋体" w:cs="宋体"/>
                <w:color w:val="auto"/>
                <w:spacing w:val="6"/>
              </w:rPr>
              <w:t>100</w:t>
            </w:r>
            <w:r>
              <w:rPr>
                <w:rFonts w:hint="eastAsia" w:ascii="Times New Roman" w:hAnsi="Times New Roman" w:eastAsia="宋体" w:cs="宋体"/>
                <w:color w:val="auto"/>
                <w:spacing w:val="6"/>
              </w:rPr>
              <w:t>L/（人</w:t>
            </w:r>
            <w:r>
              <w:rPr>
                <w:rFonts w:hint="eastAsia" w:ascii="Times New Roman" w:hAnsi="Times New Roman" w:eastAsia="宋体" w:cs="微软雅黑"/>
                <w:color w:val="auto"/>
                <w:spacing w:val="6"/>
              </w:rPr>
              <w:t>•</w:t>
            </w:r>
            <w:r>
              <w:rPr>
                <w:rFonts w:hint="eastAsia" w:ascii="Times New Roman" w:hAnsi="Times New Roman" w:eastAsia="宋体" w:cs="宋体"/>
                <w:color w:val="auto"/>
                <w:spacing w:val="6"/>
              </w:rPr>
              <w:t>d），</w:t>
            </w:r>
            <w:r>
              <w:rPr>
                <w:rFonts w:hint="eastAsia" w:ascii="Times New Roman" w:hAnsi="Times New Roman" w:eastAsia="宋体"/>
                <w:color w:val="auto"/>
              </w:rPr>
              <w:t>本项目</w:t>
            </w:r>
            <w:r>
              <w:rPr>
                <w:rFonts w:ascii="Times New Roman" w:hAnsi="Times New Roman" w:eastAsia="宋体"/>
                <w:color w:val="auto"/>
              </w:rPr>
              <w:t>用水量为2m</w:t>
            </w:r>
            <w:r>
              <w:rPr>
                <w:rFonts w:ascii="Times New Roman" w:hAnsi="Times New Roman" w:eastAsia="宋体"/>
                <w:color w:val="auto"/>
                <w:vertAlign w:val="superscript"/>
              </w:rPr>
              <w:t>3</w:t>
            </w:r>
            <w:r>
              <w:rPr>
                <w:rFonts w:ascii="Times New Roman" w:hAnsi="Times New Roman" w:eastAsia="宋体"/>
                <w:color w:val="auto"/>
              </w:rPr>
              <w:t>/d，560m</w:t>
            </w:r>
            <w:r>
              <w:rPr>
                <w:rFonts w:ascii="Times New Roman" w:hAnsi="Times New Roman" w:eastAsia="宋体"/>
                <w:color w:val="auto"/>
                <w:vertAlign w:val="superscript"/>
              </w:rPr>
              <w:t>3</w:t>
            </w:r>
            <w:r>
              <w:rPr>
                <w:rFonts w:ascii="Times New Roman" w:hAnsi="Times New Roman" w:eastAsia="宋体"/>
                <w:color w:val="auto"/>
              </w:rPr>
              <w:t>/a，废水产生系数按0.8计，则产生废水量为1.6m</w:t>
            </w:r>
            <w:r>
              <w:rPr>
                <w:rFonts w:ascii="Times New Roman" w:hAnsi="Times New Roman" w:eastAsia="宋体"/>
                <w:color w:val="auto"/>
                <w:vertAlign w:val="superscript"/>
              </w:rPr>
              <w:t>3</w:t>
            </w:r>
            <w:r>
              <w:rPr>
                <w:rFonts w:ascii="Times New Roman" w:hAnsi="Times New Roman" w:eastAsia="宋体"/>
                <w:color w:val="auto"/>
              </w:rPr>
              <w:t>/d，448m</w:t>
            </w:r>
            <w:r>
              <w:rPr>
                <w:rFonts w:ascii="Times New Roman" w:hAnsi="Times New Roman" w:eastAsia="宋体"/>
                <w:color w:val="auto"/>
                <w:vertAlign w:val="superscript"/>
              </w:rPr>
              <w:t>3</w:t>
            </w:r>
            <w:r>
              <w:rPr>
                <w:rFonts w:ascii="Times New Roman" w:hAnsi="Times New Roman" w:eastAsia="宋体"/>
                <w:color w:val="auto"/>
              </w:rPr>
              <w:t>/a，生活污水中主要污染物为COD、BOD</w:t>
            </w:r>
            <w:r>
              <w:rPr>
                <w:rFonts w:ascii="Times New Roman" w:hAnsi="Times New Roman" w:eastAsia="宋体"/>
                <w:color w:val="auto"/>
                <w:vertAlign w:val="subscript"/>
              </w:rPr>
              <w:t>5</w:t>
            </w:r>
            <w:r>
              <w:rPr>
                <w:rFonts w:ascii="Times New Roman" w:hAnsi="Times New Roman" w:eastAsia="宋体"/>
                <w:color w:val="auto"/>
              </w:rPr>
              <w:t>、SS、氨氮</w:t>
            </w:r>
            <w:r>
              <w:rPr>
                <w:rFonts w:hint="eastAsia" w:ascii="Times New Roman" w:hAnsi="Times New Roman" w:eastAsia="宋体"/>
                <w:color w:val="auto"/>
              </w:rPr>
              <w:t>、总氮、总磷，经厂内化粪池处理后通过园区污水管网排入蓝田工业园（</w:t>
            </w:r>
            <w:r>
              <w:rPr>
                <w:rFonts w:hint="eastAsia" w:ascii="Times New Roman" w:hAnsi="Times New Roman" w:eastAsia="宋体" w:cs="微软雅黑"/>
                <w:color w:val="auto"/>
              </w:rPr>
              <w:t>洩</w:t>
            </w:r>
            <w:r>
              <w:rPr>
                <w:rFonts w:hint="eastAsia" w:ascii="Times New Roman" w:hAnsi="Times New Roman" w:eastAsia="宋体" w:cs="仿宋_GB2312"/>
                <w:color w:val="auto"/>
              </w:rPr>
              <w:t>湖镇）污水处理站。</w:t>
            </w:r>
          </w:p>
          <w:p>
            <w:pPr>
              <w:pStyle w:val="114"/>
              <w:rPr>
                <w:rFonts w:ascii="Times New Roman" w:hAnsi="Times New Roman" w:eastAsia="宋体"/>
                <w:color w:val="auto"/>
              </w:rPr>
            </w:pPr>
            <w:r>
              <w:rPr>
                <w:rFonts w:hint="eastAsia" w:ascii="Times New Roman" w:hAnsi="Times New Roman" w:eastAsia="宋体"/>
                <w:color w:val="auto"/>
              </w:rPr>
              <w:t>②调漆用水</w:t>
            </w:r>
          </w:p>
          <w:p>
            <w:pPr>
              <w:pStyle w:val="114"/>
              <w:rPr>
                <w:rFonts w:ascii="Times New Roman" w:hAnsi="Times New Roman" w:eastAsia="宋体"/>
                <w:color w:val="auto"/>
                <w:kern w:val="2"/>
              </w:rPr>
            </w:pPr>
            <w:r>
              <w:rPr>
                <w:rFonts w:hint="eastAsia" w:ascii="Times New Roman" w:hAnsi="Times New Roman" w:eastAsia="宋体"/>
                <w:color w:val="auto"/>
              </w:rPr>
              <w:t>根据建设单位提供的原料用量可知，项目涂装中有使用水性</w:t>
            </w:r>
            <w:r>
              <w:rPr>
                <w:rFonts w:ascii="Times New Roman" w:hAnsi="Times New Roman" w:eastAsia="宋体"/>
                <w:color w:val="auto"/>
              </w:rPr>
              <w:t>漆</w:t>
            </w:r>
            <w:r>
              <w:rPr>
                <w:rFonts w:hint="eastAsia" w:ascii="Times New Roman" w:hAnsi="Times New Roman" w:eastAsia="宋体"/>
                <w:color w:val="auto"/>
              </w:rPr>
              <w:t>，水性漆需要用水稀释，漆和水稀释比例为5：1，项目水性漆年用量</w:t>
            </w:r>
            <w:r>
              <w:rPr>
                <w:rFonts w:ascii="Times New Roman" w:hAnsi="Times New Roman" w:eastAsia="宋体"/>
                <w:color w:val="auto"/>
              </w:rPr>
              <w:t>6.5</w:t>
            </w:r>
            <w:r>
              <w:rPr>
                <w:rFonts w:hint="eastAsia" w:ascii="Times New Roman" w:hAnsi="Times New Roman" w:eastAsia="宋体"/>
                <w:color w:val="auto"/>
              </w:rPr>
              <w:t>t，则稀释水年用量为</w:t>
            </w:r>
            <w:r>
              <w:rPr>
                <w:rFonts w:ascii="Times New Roman" w:hAnsi="Times New Roman" w:eastAsia="宋体"/>
                <w:color w:val="auto"/>
              </w:rPr>
              <w:t>1.3</w:t>
            </w:r>
            <w:r>
              <w:rPr>
                <w:rFonts w:hint="eastAsia" w:ascii="Times New Roman" w:hAnsi="Times New Roman" w:eastAsia="宋体"/>
                <w:color w:val="auto"/>
              </w:rPr>
              <w:t>t（</w:t>
            </w:r>
            <w:r>
              <w:rPr>
                <w:rFonts w:ascii="Times New Roman" w:hAnsi="Times New Roman" w:eastAsia="宋体"/>
                <w:color w:val="auto"/>
              </w:rPr>
              <w:t>1.3</w:t>
            </w:r>
            <w:r>
              <w:rPr>
                <w:rFonts w:hint="eastAsia" w:ascii="Times New Roman" w:hAnsi="Times New Roman" w:eastAsia="宋体"/>
                <w:color w:val="auto"/>
              </w:rPr>
              <w:t>m</w:t>
            </w:r>
            <w:r>
              <w:rPr>
                <w:rFonts w:hint="eastAsia" w:ascii="Times New Roman" w:hAnsi="Times New Roman" w:eastAsia="宋体"/>
                <w:color w:val="auto"/>
                <w:vertAlign w:val="superscript"/>
              </w:rPr>
              <w:t>3</w:t>
            </w:r>
            <w:r>
              <w:rPr>
                <w:rFonts w:hint="eastAsia" w:ascii="Times New Roman" w:hAnsi="Times New Roman" w:eastAsia="宋体"/>
                <w:color w:val="auto"/>
              </w:rPr>
              <w:t>）。无废水产生。</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③切削液配制用水</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根据建设单位提供资料，切削液：水=1:</w:t>
            </w:r>
            <w:r>
              <w:rPr>
                <w:rFonts w:ascii="Times New Roman" w:hAnsi="Times New Roman" w:eastAsia="宋体"/>
                <w:sz w:val="24"/>
                <w:szCs w:val="24"/>
              </w:rPr>
              <w:t>15</w:t>
            </w:r>
            <w:r>
              <w:rPr>
                <w:rFonts w:hint="eastAsia" w:ascii="Times New Roman" w:hAnsi="Times New Roman" w:eastAsia="宋体"/>
                <w:sz w:val="24"/>
                <w:szCs w:val="24"/>
              </w:rPr>
              <w:t>，切削液用量</w:t>
            </w:r>
            <w:r>
              <w:rPr>
                <w:rFonts w:ascii="Times New Roman" w:hAnsi="Times New Roman" w:eastAsia="宋体"/>
                <w:sz w:val="24"/>
                <w:szCs w:val="24"/>
              </w:rPr>
              <w:t>0.2</w:t>
            </w:r>
            <w:r>
              <w:rPr>
                <w:rFonts w:hint="eastAsia" w:ascii="Times New Roman" w:hAnsi="Times New Roman" w:eastAsia="宋体"/>
                <w:sz w:val="24"/>
                <w:szCs w:val="24"/>
              </w:rPr>
              <w:t>t/a，计算得切削液稀释用水量为</w:t>
            </w:r>
            <w:r>
              <w:rPr>
                <w:rFonts w:ascii="Times New Roman" w:hAnsi="Times New Roman" w:eastAsia="宋体"/>
                <w:sz w:val="24"/>
                <w:szCs w:val="24"/>
              </w:rPr>
              <w:t>3</w:t>
            </w:r>
            <w:r>
              <w:rPr>
                <w:rFonts w:hint="eastAsia" w:ascii="Times New Roman" w:hAnsi="Times New Roman" w:eastAsia="宋体"/>
                <w:sz w:val="24"/>
                <w:szCs w:val="24"/>
              </w:rPr>
              <w:t>m</w:t>
            </w:r>
            <w:r>
              <w:rPr>
                <w:rFonts w:hint="eastAsia" w:ascii="Times New Roman" w:hAnsi="Times New Roman" w:eastAsia="宋体"/>
                <w:sz w:val="24"/>
                <w:szCs w:val="24"/>
                <w:vertAlign w:val="superscript"/>
              </w:rPr>
              <w:t>3</w:t>
            </w:r>
            <w:r>
              <w:rPr>
                <w:rFonts w:hint="eastAsia" w:ascii="Times New Roman" w:hAnsi="Times New Roman" w:eastAsia="宋体"/>
                <w:sz w:val="24"/>
                <w:szCs w:val="24"/>
              </w:rPr>
              <w:t>/a</w:t>
            </w:r>
            <w:r>
              <w:rPr>
                <w:rFonts w:ascii="Times New Roman" w:hAnsi="Times New Roman" w:eastAsia="宋体"/>
                <w:sz w:val="24"/>
                <w:szCs w:val="24"/>
              </w:rPr>
              <w:t>（0.01m</w:t>
            </w:r>
            <w:r>
              <w:rPr>
                <w:rFonts w:ascii="Times New Roman" w:hAnsi="Times New Roman" w:eastAsia="宋体"/>
                <w:sz w:val="24"/>
                <w:szCs w:val="24"/>
                <w:vertAlign w:val="superscript"/>
              </w:rPr>
              <w:t>3</w:t>
            </w:r>
            <w:r>
              <w:rPr>
                <w:rFonts w:ascii="Times New Roman" w:hAnsi="Times New Roman" w:eastAsia="宋体"/>
                <w:sz w:val="24"/>
                <w:szCs w:val="24"/>
              </w:rPr>
              <w:t>/d）</w:t>
            </w:r>
            <w:r>
              <w:rPr>
                <w:rFonts w:hint="eastAsia" w:ascii="Times New Roman" w:hAnsi="Times New Roman" w:eastAsia="宋体"/>
                <w:sz w:val="24"/>
                <w:szCs w:val="24"/>
              </w:rPr>
              <w:t>。</w:t>
            </w:r>
          </w:p>
          <w:p>
            <w:pPr>
              <w:adjustRightInd w:val="0"/>
              <w:snapToGrid w:val="0"/>
              <w:spacing w:line="360" w:lineRule="auto"/>
              <w:ind w:firstLine="482"/>
              <w:rPr>
                <w:rFonts w:ascii="Times New Roman" w:hAnsi="Times New Roman" w:eastAsia="宋体"/>
                <w:sz w:val="24"/>
                <w:szCs w:val="24"/>
              </w:rPr>
            </w:pPr>
            <w:r>
              <w:rPr>
                <w:rFonts w:ascii="Times New Roman" w:hAnsi="Times New Roman" w:eastAsia="宋体" w:cs="Times New Roman"/>
                <w:bCs/>
                <w:sz w:val="24"/>
                <w:szCs w:val="24"/>
              </w:rPr>
              <w:t>综上所述，项目新鲜水用量</w:t>
            </w:r>
            <w:r>
              <w:rPr>
                <w:rFonts w:hint="eastAsia" w:ascii="Times New Roman" w:hAnsi="Times New Roman" w:eastAsia="宋体" w:cs="Times New Roman"/>
                <w:bCs/>
                <w:sz w:val="24"/>
                <w:szCs w:val="24"/>
              </w:rPr>
              <w:t>共</w:t>
            </w:r>
            <w:r>
              <w:rPr>
                <w:rFonts w:ascii="Times New Roman" w:hAnsi="Times New Roman" w:eastAsia="宋体" w:cs="Times New Roman"/>
                <w:bCs/>
                <w:sz w:val="24"/>
                <w:szCs w:val="24"/>
              </w:rPr>
              <w:t>2.015m</w:t>
            </w:r>
            <w:r>
              <w:rPr>
                <w:rFonts w:ascii="Times New Roman" w:hAnsi="Times New Roman" w:eastAsia="宋体" w:cs="Times New Roman"/>
                <w:kern w:val="0"/>
                <w:sz w:val="24"/>
                <w:vertAlign w:val="superscript"/>
              </w:rPr>
              <w:t>3</w:t>
            </w:r>
            <w:r>
              <w:rPr>
                <w:rFonts w:ascii="Times New Roman" w:hAnsi="Times New Roman" w:eastAsia="宋体" w:cs="Times New Roman"/>
                <w:sz w:val="24"/>
              </w:rPr>
              <w:t>/d</w:t>
            </w:r>
            <w:r>
              <w:rPr>
                <w:rFonts w:ascii="Times New Roman" w:hAnsi="Times New Roman" w:eastAsia="宋体" w:cs="Times New Roman"/>
                <w:bCs/>
                <w:sz w:val="24"/>
                <w:szCs w:val="24"/>
              </w:rPr>
              <w:t>、564.3m</w:t>
            </w:r>
            <w:r>
              <w:rPr>
                <w:rFonts w:ascii="Times New Roman" w:hAnsi="Times New Roman" w:eastAsia="宋体" w:cs="Times New Roman"/>
                <w:bCs/>
                <w:sz w:val="24"/>
                <w:szCs w:val="24"/>
                <w:vertAlign w:val="superscript"/>
              </w:rPr>
              <w:t>3</w:t>
            </w:r>
            <w:r>
              <w:rPr>
                <w:rFonts w:ascii="Times New Roman" w:hAnsi="Times New Roman" w:eastAsia="宋体" w:cs="Times New Roman"/>
                <w:bCs/>
                <w:sz w:val="24"/>
                <w:szCs w:val="24"/>
              </w:rPr>
              <w:t>/a。项目用、排水情况详见下表：</w:t>
            </w:r>
          </w:p>
          <w:p>
            <w:pPr>
              <w:pStyle w:val="71"/>
              <w:rPr>
                <w:color w:val="auto"/>
              </w:rPr>
            </w:pPr>
            <w:r>
              <w:rPr>
                <w:color w:val="auto"/>
              </w:rPr>
              <w:t>表2-12  项目给排水量一览表   （单位：m</w:t>
            </w:r>
            <w:r>
              <w:rPr>
                <w:color w:val="auto"/>
                <w:vertAlign w:val="superscript"/>
              </w:rPr>
              <w:t>3</w:t>
            </w:r>
            <w:r>
              <w:rPr>
                <w:color w:val="auto"/>
              </w:rPr>
              <w:t>/d）</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1735"/>
              <w:gridCol w:w="1158"/>
              <w:gridCol w:w="1446"/>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1" w:type="pct"/>
                  <w:vAlign w:val="center"/>
                </w:tcPr>
                <w:p>
                  <w:pPr>
                    <w:adjustRightInd w:val="0"/>
                    <w:snapToGrid w:val="0"/>
                    <w:jc w:val="center"/>
                    <w:rPr>
                      <w:rFonts w:ascii="Times New Roman" w:hAnsi="Times New Roman" w:eastAsia="宋体"/>
                      <w:b/>
                      <w:bCs/>
                    </w:rPr>
                  </w:pPr>
                  <w:r>
                    <w:rPr>
                      <w:rFonts w:ascii="Times New Roman" w:hAnsi="Times New Roman" w:eastAsia="宋体"/>
                      <w:b/>
                      <w:bCs/>
                    </w:rPr>
                    <w:t>类别</w:t>
                  </w:r>
                </w:p>
              </w:tc>
              <w:tc>
                <w:tcPr>
                  <w:tcW w:w="1090" w:type="pct"/>
                  <w:vAlign w:val="center"/>
                </w:tcPr>
                <w:p>
                  <w:pPr>
                    <w:adjustRightInd w:val="0"/>
                    <w:snapToGrid w:val="0"/>
                    <w:jc w:val="center"/>
                    <w:rPr>
                      <w:rFonts w:ascii="Times New Roman" w:hAnsi="Times New Roman" w:eastAsia="宋体"/>
                      <w:b/>
                      <w:bCs/>
                    </w:rPr>
                  </w:pPr>
                  <w:r>
                    <w:rPr>
                      <w:rFonts w:ascii="Times New Roman" w:hAnsi="Times New Roman" w:eastAsia="宋体"/>
                      <w:b/>
                      <w:bCs/>
                    </w:rPr>
                    <w:t>用水量</w:t>
                  </w:r>
                  <w:r>
                    <w:rPr>
                      <w:rFonts w:hint="eastAsia" w:ascii="Times New Roman" w:hAnsi="Times New Roman" w:eastAsia="宋体"/>
                      <w:b/>
                      <w:bCs/>
                    </w:rPr>
                    <w:t>（</w:t>
                  </w:r>
                  <w:r>
                    <w:rPr>
                      <w:rFonts w:ascii="Times New Roman" w:hAnsi="Times New Roman" w:eastAsia="宋体"/>
                      <w:b/>
                      <w:bCs/>
                      <w:kern w:val="0"/>
                    </w:rPr>
                    <w:t>m</w:t>
                  </w:r>
                  <w:r>
                    <w:rPr>
                      <w:rFonts w:ascii="Times New Roman" w:hAnsi="Times New Roman" w:eastAsia="宋体"/>
                      <w:b/>
                      <w:bCs/>
                      <w:kern w:val="0"/>
                      <w:vertAlign w:val="superscript"/>
                    </w:rPr>
                    <w:t>3</w:t>
                  </w:r>
                  <w:r>
                    <w:rPr>
                      <w:rFonts w:hint="eastAsia" w:ascii="Times New Roman" w:hAnsi="Times New Roman" w:eastAsia="宋体"/>
                      <w:b/>
                      <w:bCs/>
                    </w:rPr>
                    <w:t>/d）</w:t>
                  </w:r>
                </w:p>
              </w:tc>
              <w:tc>
                <w:tcPr>
                  <w:tcW w:w="727" w:type="pct"/>
                  <w:vAlign w:val="center"/>
                </w:tcPr>
                <w:p>
                  <w:pPr>
                    <w:adjustRightInd w:val="0"/>
                    <w:snapToGrid w:val="0"/>
                    <w:jc w:val="center"/>
                    <w:rPr>
                      <w:rFonts w:ascii="Times New Roman" w:hAnsi="Times New Roman" w:eastAsia="宋体"/>
                      <w:b/>
                      <w:bCs/>
                    </w:rPr>
                  </w:pPr>
                  <w:r>
                    <w:rPr>
                      <w:rFonts w:ascii="Times New Roman" w:hAnsi="Times New Roman" w:eastAsia="宋体"/>
                      <w:b/>
                      <w:bCs/>
                    </w:rPr>
                    <w:t>损耗量</w:t>
                  </w:r>
                </w:p>
                <w:p>
                  <w:pPr>
                    <w:adjustRightInd w:val="0"/>
                    <w:snapToGrid w:val="0"/>
                    <w:jc w:val="center"/>
                    <w:rPr>
                      <w:rFonts w:ascii="Times New Roman" w:hAnsi="Times New Roman" w:eastAsia="宋体"/>
                      <w:b/>
                      <w:bCs/>
                    </w:rPr>
                  </w:pPr>
                  <w:r>
                    <w:rPr>
                      <w:rFonts w:hint="eastAsia" w:ascii="Times New Roman" w:hAnsi="Times New Roman" w:eastAsia="宋体"/>
                      <w:b/>
                      <w:bCs/>
                    </w:rPr>
                    <w:t>（</w:t>
                  </w:r>
                  <w:r>
                    <w:rPr>
                      <w:rFonts w:ascii="Times New Roman" w:hAnsi="Times New Roman" w:eastAsia="宋体"/>
                      <w:b/>
                      <w:bCs/>
                      <w:kern w:val="0"/>
                    </w:rPr>
                    <w:t>m</w:t>
                  </w:r>
                  <w:r>
                    <w:rPr>
                      <w:rFonts w:ascii="Times New Roman" w:hAnsi="Times New Roman" w:eastAsia="宋体"/>
                      <w:b/>
                      <w:bCs/>
                      <w:kern w:val="0"/>
                      <w:vertAlign w:val="superscript"/>
                    </w:rPr>
                    <w:t>3</w:t>
                  </w:r>
                  <w:r>
                    <w:rPr>
                      <w:rFonts w:hint="eastAsia" w:ascii="Times New Roman" w:hAnsi="Times New Roman" w:eastAsia="宋体"/>
                      <w:b/>
                      <w:bCs/>
                    </w:rPr>
                    <w:t>/d）</w:t>
                  </w:r>
                </w:p>
              </w:tc>
              <w:tc>
                <w:tcPr>
                  <w:tcW w:w="908" w:type="pct"/>
                  <w:vAlign w:val="center"/>
                </w:tcPr>
                <w:p>
                  <w:pPr>
                    <w:adjustRightInd w:val="0"/>
                    <w:snapToGrid w:val="0"/>
                    <w:jc w:val="center"/>
                    <w:rPr>
                      <w:rFonts w:ascii="Times New Roman" w:hAnsi="Times New Roman" w:eastAsia="宋体"/>
                      <w:b/>
                      <w:bCs/>
                    </w:rPr>
                  </w:pPr>
                  <w:r>
                    <w:rPr>
                      <w:rFonts w:ascii="Times New Roman" w:hAnsi="Times New Roman" w:eastAsia="宋体"/>
                      <w:b/>
                      <w:bCs/>
                    </w:rPr>
                    <w:t>废水排放量</w:t>
                  </w:r>
                  <w:r>
                    <w:rPr>
                      <w:rFonts w:hint="eastAsia" w:ascii="Times New Roman" w:hAnsi="Times New Roman" w:eastAsia="宋体"/>
                      <w:b/>
                      <w:bCs/>
                    </w:rPr>
                    <w:t>（</w:t>
                  </w:r>
                  <w:r>
                    <w:rPr>
                      <w:rFonts w:ascii="Times New Roman" w:hAnsi="Times New Roman" w:eastAsia="宋体"/>
                      <w:b/>
                      <w:bCs/>
                      <w:kern w:val="0"/>
                    </w:rPr>
                    <w:t>m</w:t>
                  </w:r>
                  <w:r>
                    <w:rPr>
                      <w:rFonts w:ascii="Times New Roman" w:hAnsi="Times New Roman" w:eastAsia="宋体"/>
                      <w:b/>
                      <w:bCs/>
                      <w:kern w:val="0"/>
                      <w:vertAlign w:val="superscript"/>
                    </w:rPr>
                    <w:t>3</w:t>
                  </w:r>
                  <w:r>
                    <w:rPr>
                      <w:rFonts w:hint="eastAsia" w:ascii="Times New Roman" w:hAnsi="Times New Roman" w:eastAsia="宋体"/>
                      <w:b/>
                      <w:bCs/>
                    </w:rPr>
                    <w:t>/d）</w:t>
                  </w:r>
                </w:p>
              </w:tc>
              <w:tc>
                <w:tcPr>
                  <w:tcW w:w="1094" w:type="pc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1" w:type="pct"/>
                  <w:vAlign w:val="center"/>
                </w:tcPr>
                <w:p>
                  <w:pPr>
                    <w:adjustRightInd w:val="0"/>
                    <w:snapToGrid w:val="0"/>
                    <w:jc w:val="center"/>
                    <w:rPr>
                      <w:rFonts w:ascii="Times New Roman" w:hAnsi="Times New Roman" w:eastAsia="宋体"/>
                    </w:rPr>
                  </w:pPr>
                  <w:r>
                    <w:rPr>
                      <w:rFonts w:hint="eastAsia" w:ascii="Times New Roman" w:hAnsi="Times New Roman" w:eastAsia="宋体"/>
                    </w:rPr>
                    <w:t>员工生活用水</w:t>
                  </w:r>
                </w:p>
              </w:tc>
              <w:tc>
                <w:tcPr>
                  <w:tcW w:w="109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727"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0.4</w:t>
                  </w:r>
                </w:p>
              </w:tc>
              <w:tc>
                <w:tcPr>
                  <w:tcW w:w="908"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1.6</w:t>
                  </w:r>
                </w:p>
              </w:tc>
              <w:tc>
                <w:tcPr>
                  <w:tcW w:w="1094"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化粪池处理后排入园区管网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1" w:type="pct"/>
                  <w:vAlign w:val="center"/>
                </w:tcPr>
                <w:p>
                  <w:pPr>
                    <w:adjustRightInd w:val="0"/>
                    <w:snapToGrid w:val="0"/>
                    <w:jc w:val="center"/>
                    <w:rPr>
                      <w:rFonts w:ascii="Times New Roman" w:hAnsi="Times New Roman" w:eastAsia="宋体"/>
                    </w:rPr>
                  </w:pPr>
                  <w:r>
                    <w:rPr>
                      <w:rFonts w:hint="eastAsia" w:ascii="Times New Roman" w:hAnsi="Times New Roman" w:eastAsia="宋体"/>
                    </w:rPr>
                    <w:t>调漆用水</w:t>
                  </w:r>
                </w:p>
              </w:tc>
              <w:tc>
                <w:tcPr>
                  <w:tcW w:w="109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0.005</w:t>
                  </w:r>
                </w:p>
              </w:tc>
              <w:tc>
                <w:tcPr>
                  <w:tcW w:w="727"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0.005</w:t>
                  </w:r>
                </w:p>
              </w:tc>
              <w:tc>
                <w:tcPr>
                  <w:tcW w:w="908"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0</w:t>
                  </w:r>
                </w:p>
              </w:tc>
              <w:tc>
                <w:tcPr>
                  <w:tcW w:w="1094" w:type="pct"/>
                  <w:vAlign w:val="center"/>
                </w:tcPr>
                <w:p>
                  <w:pPr>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1" w:type="pct"/>
                  <w:vAlign w:val="center"/>
                </w:tcPr>
                <w:p>
                  <w:pPr>
                    <w:adjustRightInd w:val="0"/>
                    <w:snapToGrid w:val="0"/>
                    <w:jc w:val="center"/>
                    <w:rPr>
                      <w:rFonts w:ascii="Times New Roman" w:hAnsi="Times New Roman" w:eastAsia="宋体"/>
                    </w:rPr>
                  </w:pPr>
                  <w:bookmarkStart w:id="6" w:name="_Hlk155795821"/>
                  <w:r>
                    <w:rPr>
                      <w:rFonts w:hint="eastAsia" w:ascii="Times New Roman" w:hAnsi="Times New Roman" w:eastAsia="宋体"/>
                    </w:rPr>
                    <w:t>切削液配制</w:t>
                  </w:r>
                  <w:bookmarkEnd w:id="6"/>
                  <w:r>
                    <w:rPr>
                      <w:rFonts w:hint="eastAsia" w:ascii="Times New Roman" w:hAnsi="Times New Roman" w:eastAsia="宋体"/>
                    </w:rPr>
                    <w:t>用水</w:t>
                  </w:r>
                </w:p>
              </w:tc>
              <w:tc>
                <w:tcPr>
                  <w:tcW w:w="1090" w:type="pct"/>
                  <w:vAlign w:val="center"/>
                </w:tcPr>
                <w:p>
                  <w:pPr>
                    <w:adjustRightInd w:val="0"/>
                    <w:snapToGrid w:val="0"/>
                    <w:jc w:val="center"/>
                    <w:rPr>
                      <w:rFonts w:ascii="Times New Roman" w:hAnsi="Times New Roman" w:eastAsia="宋体"/>
                    </w:rPr>
                  </w:pPr>
                  <w:r>
                    <w:rPr>
                      <w:rFonts w:hint="eastAsia" w:ascii="Times New Roman" w:hAnsi="Times New Roman" w:eastAsia="宋体"/>
                    </w:rPr>
                    <w:t>0</w:t>
                  </w:r>
                  <w:r>
                    <w:rPr>
                      <w:rFonts w:ascii="Times New Roman" w:hAnsi="Times New Roman" w:eastAsia="宋体"/>
                    </w:rPr>
                    <w:t>.01</w:t>
                  </w:r>
                </w:p>
              </w:tc>
              <w:tc>
                <w:tcPr>
                  <w:tcW w:w="727"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0</w:t>
                  </w:r>
                  <w:r>
                    <w:rPr>
                      <w:rFonts w:ascii="Times New Roman" w:hAnsi="Times New Roman" w:eastAsia="宋体" w:cs="Times New Roman"/>
                    </w:rPr>
                    <w:t>.009</w:t>
                  </w:r>
                </w:p>
              </w:tc>
              <w:tc>
                <w:tcPr>
                  <w:tcW w:w="908"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0.001</w:t>
                  </w:r>
                </w:p>
              </w:tc>
              <w:tc>
                <w:tcPr>
                  <w:tcW w:w="1094"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作为危废处置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1" w:type="pct"/>
                  <w:vAlign w:val="center"/>
                </w:tcPr>
                <w:p>
                  <w:pPr>
                    <w:adjustRightInd w:val="0"/>
                    <w:snapToGrid w:val="0"/>
                    <w:jc w:val="center"/>
                    <w:rPr>
                      <w:rFonts w:ascii="Times New Roman" w:hAnsi="Times New Roman" w:eastAsia="宋体"/>
                    </w:rPr>
                  </w:pPr>
                  <w:r>
                    <w:rPr>
                      <w:rFonts w:ascii="Times New Roman" w:hAnsi="Times New Roman" w:eastAsia="宋体"/>
                    </w:rPr>
                    <w:t>总计</w:t>
                  </w:r>
                </w:p>
              </w:tc>
              <w:tc>
                <w:tcPr>
                  <w:tcW w:w="109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2.015</w:t>
                  </w:r>
                </w:p>
              </w:tc>
              <w:tc>
                <w:tcPr>
                  <w:tcW w:w="727"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0.414</w:t>
                  </w:r>
                </w:p>
              </w:tc>
              <w:tc>
                <w:tcPr>
                  <w:tcW w:w="908"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1.601</w:t>
                  </w:r>
                </w:p>
              </w:tc>
              <w:tc>
                <w:tcPr>
                  <w:tcW w:w="1094" w:type="pct"/>
                  <w:vAlign w:val="center"/>
                </w:tcPr>
                <w:p>
                  <w:pPr>
                    <w:adjustRightInd w:val="0"/>
                    <w:snapToGrid w:val="0"/>
                    <w:jc w:val="center"/>
                    <w:rPr>
                      <w:rFonts w:ascii="Times New Roman" w:hAnsi="Times New Roman" w:eastAsia="宋体" w:cs="Times New Roman"/>
                    </w:rPr>
                  </w:pPr>
                </w:p>
              </w:tc>
            </w:tr>
          </w:tbl>
          <w:p>
            <w:pPr>
              <w:adjustRightInd w:val="0"/>
              <w:spacing w:line="480" w:lineRule="exact"/>
              <w:ind w:firstLine="480" w:firstLineChars="200"/>
              <w:textAlignment w:val="baseline"/>
              <w:rPr>
                <w:rFonts w:ascii="Times New Roman" w:hAnsi="Times New Roman" w:eastAsia="宋体"/>
              </w:rPr>
            </w:pPr>
            <w:bookmarkStart w:id="7" w:name="_Hlk140995177"/>
            <w:r>
              <w:rPr>
                <w:rFonts w:hint="eastAsia" w:ascii="Times New Roman" w:hAnsi="Times New Roman" w:eastAsia="宋体"/>
                <w:bCs/>
                <w:sz w:val="24"/>
                <w:szCs w:val="24"/>
              </w:rPr>
              <w:t>项目水平衡图如下：</w:t>
            </w:r>
          </w:p>
          <w:p>
            <w:pPr>
              <w:pStyle w:val="71"/>
              <w:rPr>
                <w:color w:val="auto"/>
              </w:rPr>
            </w:pPr>
            <w:r>
              <w:rPr>
                <w:color w:val="auto"/>
              </w:rPr>
              <w:drawing>
                <wp:inline distT="0" distB="0" distL="0" distR="0">
                  <wp:extent cx="4921885" cy="1958975"/>
                  <wp:effectExtent l="0" t="0" r="0" b="7620"/>
                  <wp:docPr id="17792422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242281" name="图片 1"/>
                          <pic:cNvPicPr>
                            <a:picLocks noChangeAspect="1"/>
                          </pic:cNvPicPr>
                        </pic:nvPicPr>
                        <pic:blipFill>
                          <a:blip r:embed="rId9"/>
                          <a:stretch>
                            <a:fillRect/>
                          </a:stretch>
                        </pic:blipFill>
                        <pic:spPr>
                          <a:xfrm>
                            <a:off x="0" y="0"/>
                            <a:ext cx="4921959" cy="1959428"/>
                          </a:xfrm>
                          <a:prstGeom prst="rect">
                            <a:avLst/>
                          </a:prstGeom>
                        </pic:spPr>
                      </pic:pic>
                    </a:graphicData>
                  </a:graphic>
                </wp:inline>
              </w:drawing>
            </w:r>
          </w:p>
          <w:p>
            <w:pPr>
              <w:pStyle w:val="71"/>
              <w:rPr>
                <w:color w:val="auto"/>
              </w:rPr>
            </w:pPr>
            <w:r>
              <w:rPr>
                <w:rFonts w:hint="eastAsia"/>
                <w:color w:val="auto"/>
              </w:rPr>
              <w:t xml:space="preserve">图2-1 </w:t>
            </w:r>
            <w:r>
              <w:rPr>
                <w:color w:val="auto"/>
              </w:rPr>
              <w:t xml:space="preserve"> </w:t>
            </w:r>
            <w:r>
              <w:rPr>
                <w:rFonts w:hint="eastAsia"/>
                <w:color w:val="auto"/>
              </w:rPr>
              <w:t>项目新鲜水用排平衡图（</w:t>
            </w:r>
            <w:r>
              <w:rPr>
                <w:color w:val="auto"/>
                <w:szCs w:val="24"/>
              </w:rPr>
              <w:t>m</w:t>
            </w:r>
            <w:r>
              <w:rPr>
                <w:color w:val="auto"/>
                <w:szCs w:val="24"/>
                <w:vertAlign w:val="superscript"/>
              </w:rPr>
              <w:t>3</w:t>
            </w:r>
            <w:r>
              <w:rPr>
                <w:color w:val="auto"/>
                <w:szCs w:val="24"/>
              </w:rPr>
              <w:t>/d</w:t>
            </w:r>
            <w:r>
              <w:rPr>
                <w:rFonts w:hint="eastAsia"/>
                <w:color w:val="auto"/>
              </w:rPr>
              <w:t>）</w:t>
            </w:r>
          </w:p>
          <w:bookmarkEnd w:id="7"/>
          <w:p>
            <w:pPr>
              <w:adjustRightInd w:val="0"/>
              <w:snapToGrid w:val="0"/>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b/>
                <w:bCs/>
                <w:sz w:val="24"/>
                <w:szCs w:val="24"/>
              </w:rPr>
              <w:t>7、</w:t>
            </w:r>
            <w:r>
              <w:rPr>
                <w:rFonts w:ascii="Times New Roman" w:hAnsi="Times New Roman" w:eastAsia="宋体" w:cs="Times New Roman"/>
                <w:b/>
                <w:bCs/>
                <w:sz w:val="24"/>
                <w:szCs w:val="24"/>
              </w:rPr>
              <w:t>供电</w:t>
            </w:r>
          </w:p>
          <w:p>
            <w:pPr>
              <w:adjustRightInd w:val="0"/>
              <w:snapToGrid w:val="0"/>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本项目供电电源</w:t>
            </w:r>
            <w:r>
              <w:rPr>
                <w:rFonts w:hint="eastAsia" w:ascii="Times New Roman" w:hAnsi="Times New Roman" w:eastAsia="宋体" w:cs="Times New Roman"/>
                <w:bCs/>
                <w:sz w:val="24"/>
                <w:szCs w:val="24"/>
              </w:rPr>
              <w:t>来自市政电网。</w:t>
            </w:r>
          </w:p>
          <w:p>
            <w:pPr>
              <w:pStyle w:val="7"/>
              <w:adjustRightInd w:val="0"/>
              <w:snapToGrid w:val="0"/>
              <w:spacing w:line="360" w:lineRule="auto"/>
              <w:ind w:firstLine="482"/>
              <w:rPr>
                <w:rFonts w:ascii="Times New Roman" w:hAnsi="Times New Roman" w:eastAsia="宋体" w:cs="Times New Roman"/>
                <w:b/>
                <w:sz w:val="24"/>
                <w:szCs w:val="24"/>
              </w:rPr>
            </w:pPr>
            <w:r>
              <w:rPr>
                <w:rFonts w:hint="eastAsia" w:ascii="Times New Roman" w:hAnsi="Times New Roman" w:eastAsia="宋体" w:cs="Times New Roman"/>
                <w:b/>
                <w:sz w:val="24"/>
                <w:szCs w:val="24"/>
              </w:rPr>
              <w:t>8、采</w:t>
            </w:r>
            <w:r>
              <w:rPr>
                <w:rFonts w:ascii="Times New Roman" w:hAnsi="Times New Roman" w:eastAsia="宋体" w:cs="Times New Roman"/>
                <w:b/>
                <w:sz w:val="24"/>
                <w:szCs w:val="24"/>
              </w:rPr>
              <w:t>暖制冷</w:t>
            </w:r>
          </w:p>
          <w:p>
            <w:pPr>
              <w:pStyle w:val="7"/>
              <w:adjustRightInd w:val="0"/>
              <w:snapToGrid w:val="0"/>
              <w:spacing w:line="360" w:lineRule="auto"/>
              <w:ind w:firstLine="480"/>
              <w:rPr>
                <w:rFonts w:ascii="Times New Roman" w:hAnsi="Times New Roman" w:eastAsia="宋体" w:cs="Times New Roman"/>
                <w:bCs/>
                <w:sz w:val="24"/>
                <w:szCs w:val="24"/>
              </w:rPr>
            </w:pPr>
            <w:r>
              <w:rPr>
                <w:rFonts w:hint="eastAsia" w:ascii="Times New Roman" w:hAnsi="Times New Roman" w:eastAsia="宋体" w:cs="Times New Roman"/>
                <w:bCs/>
                <w:sz w:val="24"/>
                <w:szCs w:val="24"/>
              </w:rPr>
              <w:t>生产车间不采暖和制冷，办公区</w:t>
            </w:r>
            <w:r>
              <w:rPr>
                <w:rFonts w:ascii="Times New Roman" w:hAnsi="Times New Roman" w:eastAsia="宋体" w:cs="Times New Roman"/>
                <w:bCs/>
                <w:sz w:val="24"/>
                <w:szCs w:val="24"/>
              </w:rPr>
              <w:t>采用分体式空调</w:t>
            </w:r>
            <w:r>
              <w:rPr>
                <w:rFonts w:hint="eastAsia" w:ascii="Times New Roman" w:hAnsi="Times New Roman" w:eastAsia="宋体" w:cs="Times New Roman"/>
                <w:bCs/>
                <w:sz w:val="24"/>
                <w:szCs w:val="24"/>
              </w:rPr>
              <w:t>制冷、采暖，生产中烘干供热及环保设备催化燃烧装置点火均采用电能。</w:t>
            </w:r>
          </w:p>
          <w:p>
            <w:pPr>
              <w:pStyle w:val="36"/>
            </w:pPr>
            <w:r>
              <w:rPr>
                <w:rFonts w:hint="eastAsia"/>
              </w:rPr>
              <w:t>9、劳动定员及工作制度</w:t>
            </w:r>
          </w:p>
          <w:p>
            <w:pPr>
              <w:adjustRightInd w:val="0"/>
              <w:snapToGrid w:val="0"/>
              <w:spacing w:line="360" w:lineRule="auto"/>
              <w:ind w:firstLine="480" w:firstLineChars="200"/>
              <w:rPr>
                <w:rFonts w:ascii="Times New Roman" w:hAnsi="Times New Roman" w:eastAsia="宋体"/>
                <w:b/>
              </w:rPr>
            </w:pPr>
            <w:r>
              <w:rPr>
                <w:rFonts w:ascii="Times New Roman" w:hAnsi="Times New Roman" w:eastAsia="宋体" w:cs="Times New Roman"/>
                <w:bCs/>
                <w:sz w:val="24"/>
              </w:rPr>
              <w:t>本项目劳动</w:t>
            </w:r>
            <w:r>
              <w:rPr>
                <w:rFonts w:hint="eastAsia" w:ascii="Times New Roman" w:hAnsi="Times New Roman" w:eastAsia="宋体" w:cs="Times New Roman"/>
                <w:bCs/>
                <w:sz w:val="24"/>
              </w:rPr>
              <w:t>人</w:t>
            </w:r>
            <w:r>
              <w:rPr>
                <w:rFonts w:ascii="Times New Roman" w:hAnsi="Times New Roman" w:eastAsia="宋体" w:cs="Times New Roman"/>
                <w:bCs/>
                <w:sz w:val="24"/>
              </w:rPr>
              <w:t>员20人，</w:t>
            </w:r>
            <w:r>
              <w:rPr>
                <w:rFonts w:hint="eastAsia" w:ascii="Times New Roman" w:hAnsi="Times New Roman" w:eastAsia="宋体" w:cs="Times New Roman"/>
                <w:bCs/>
                <w:sz w:val="24"/>
              </w:rPr>
              <w:t>提供住宿，</w:t>
            </w:r>
            <w:r>
              <w:rPr>
                <w:rFonts w:ascii="Times New Roman" w:hAnsi="Times New Roman" w:eastAsia="宋体" w:cs="Times New Roman"/>
                <w:bCs/>
                <w:sz w:val="24"/>
              </w:rPr>
              <w:t>年运行约280天，每天一班</w:t>
            </w:r>
            <w:r>
              <w:rPr>
                <w:rFonts w:hint="eastAsia" w:ascii="Times New Roman" w:hAnsi="Times New Roman" w:eastAsia="宋体" w:cs="Times New Roman"/>
                <w:bCs/>
                <w:sz w:val="24"/>
              </w:rPr>
              <w:t>，</w:t>
            </w:r>
            <w:r>
              <w:rPr>
                <w:rFonts w:ascii="Times New Roman" w:hAnsi="Times New Roman" w:eastAsia="宋体" w:cs="Times New Roman"/>
                <w:bCs/>
                <w:sz w:val="24"/>
              </w:rPr>
              <w:t>8</w:t>
            </w:r>
            <w:r>
              <w:rPr>
                <w:rFonts w:hint="eastAsia" w:ascii="Times New Roman" w:hAnsi="Times New Roman" w:eastAsia="宋体" w:cs="Times New Roman"/>
                <w:bCs/>
                <w:sz w:val="24"/>
              </w:rPr>
              <w:t>h，夜间不生产。</w:t>
            </w:r>
          </w:p>
          <w:p>
            <w:pPr>
              <w:pStyle w:val="36"/>
            </w:pPr>
            <w:r>
              <w:rPr>
                <w:rFonts w:hint="eastAsia"/>
              </w:rPr>
              <w:t>1</w:t>
            </w:r>
            <w:r>
              <w:t>0、总平面布置</w:t>
            </w:r>
          </w:p>
          <w:p>
            <w:pPr>
              <w:pStyle w:val="36"/>
              <w:ind w:firstLine="480"/>
              <w:rPr>
                <w:b w:val="0"/>
                <w:bCs/>
              </w:rPr>
            </w:pPr>
            <w:r>
              <w:rPr>
                <w:b w:val="0"/>
                <w:bCs/>
              </w:rPr>
              <w:t>本</w:t>
            </w:r>
            <w:r>
              <w:rPr>
                <w:rFonts w:hint="eastAsia"/>
                <w:b w:val="0"/>
                <w:bCs/>
              </w:rPr>
              <w:t>项目位于陕西省西安市蓝田县规划一路1号三元科技创新园B29栋。厂区成距形，大门位于西侧，由西往东依次布置办公区、生产区，其中办公楼位于厂区西北侧，门卫室、卫生间位于厂区西南侧，生产车间内由西往东依次布置</w:t>
            </w:r>
            <w:r>
              <w:rPr>
                <w:rFonts w:hint="eastAsia" w:cs="Times New Roman"/>
                <w:b w:val="0"/>
                <w:bCs/>
              </w:rPr>
              <w:t>机械加工间、</w:t>
            </w:r>
            <w:r>
              <w:rPr>
                <w:rFonts w:hint="eastAsia"/>
                <w:b w:val="0"/>
                <w:bCs/>
              </w:rPr>
              <w:t>周转区、</w:t>
            </w:r>
            <w:r>
              <w:rPr>
                <w:rFonts w:hint="eastAsia" w:cs="Times New Roman"/>
                <w:b w:val="0"/>
                <w:bCs/>
              </w:rPr>
              <w:t>材料间、配料间、库房、</w:t>
            </w:r>
            <w:r>
              <w:rPr>
                <w:rFonts w:hint="eastAsia"/>
                <w:b w:val="0"/>
                <w:bCs/>
              </w:rPr>
              <w:t>石英砂间、铸钢砂间</w:t>
            </w:r>
            <w:r>
              <w:rPr>
                <w:rFonts w:hint="eastAsia" w:cs="Times New Roman"/>
                <w:b w:val="0"/>
                <w:bCs/>
              </w:rPr>
              <w:t>、</w:t>
            </w:r>
            <w:r>
              <w:rPr>
                <w:rFonts w:hint="eastAsia"/>
                <w:b w:val="0"/>
                <w:bCs/>
              </w:rPr>
              <w:t>喷砂间、抛丸区、打磨间、烘干间、自流平间、喷漆间等，危废间位于生产车间东北角。</w:t>
            </w:r>
            <w:r>
              <w:rPr>
                <w:b w:val="0"/>
                <w:bCs/>
              </w:rPr>
              <w:t>项目生产区、办公区分区设置，可做到生产、办公分离。项目总图布置功能区清楚，各功能区间衔接适当，物流顺畅</w:t>
            </w:r>
            <w:r>
              <w:rPr>
                <w:rFonts w:hint="eastAsia"/>
                <w:b w:val="0"/>
                <w:bCs/>
              </w:rPr>
              <w:t>，空间分布合理</w:t>
            </w:r>
            <w:r>
              <w:rPr>
                <w:b w:val="0"/>
                <w:bCs/>
              </w:rPr>
              <w:t>。平面布置图见附图</w:t>
            </w:r>
            <w:r>
              <w:rPr>
                <w:rFonts w:hint="eastAsia"/>
                <w:b w:val="0"/>
                <w:bCs/>
              </w:rPr>
              <w:t>3</w:t>
            </w:r>
            <w:r>
              <w:rPr>
                <w:b w:val="0"/>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020" w:hRule="atLeast"/>
        </w:trPr>
        <w:tc>
          <w:tcPr>
            <w:tcW w:w="188" w:type="pct"/>
            <w:vAlign w:val="center"/>
          </w:tcPr>
          <w:p>
            <w:pPr>
              <w:jc w:val="center"/>
              <w:rPr>
                <w:rFonts w:ascii="Times New Roman" w:hAnsi="Times New Roman" w:eastAsia="宋体"/>
                <w:sz w:val="24"/>
                <w:szCs w:val="24"/>
              </w:rPr>
            </w:pPr>
            <w:r>
              <w:rPr>
                <w:rFonts w:hint="eastAsia" w:ascii="Times New Roman" w:hAnsi="Times New Roman" w:eastAsia="宋体"/>
                <w:sz w:val="24"/>
                <w:szCs w:val="24"/>
              </w:rPr>
              <w:t>工艺流程和产排污环节</w:t>
            </w:r>
          </w:p>
        </w:tc>
        <w:tc>
          <w:tcPr>
            <w:tcW w:w="4811" w:type="pct"/>
          </w:tcPr>
          <w:p>
            <w:pPr>
              <w:adjustRightInd w:val="0"/>
              <w:snapToGrid w:val="0"/>
              <w:spacing w:line="360" w:lineRule="auto"/>
              <w:rPr>
                <w:rFonts w:ascii="Times New Roman" w:hAnsi="Times New Roman" w:eastAsia="宋体"/>
                <w:b/>
                <w:sz w:val="28"/>
              </w:rPr>
            </w:pPr>
            <w:r>
              <w:rPr>
                <w:rFonts w:hint="eastAsia" w:ascii="Times New Roman" w:hAnsi="Times New Roman" w:eastAsia="宋体"/>
                <w:b/>
                <w:sz w:val="28"/>
              </w:rPr>
              <w:t>工艺流程简述（图示）：</w:t>
            </w:r>
          </w:p>
          <w:p>
            <w:pPr>
              <w:adjustRightInd w:val="0"/>
              <w:snapToGrid w:val="0"/>
              <w:spacing w:line="360" w:lineRule="auto"/>
              <w:ind w:firstLine="482" w:firstLineChars="200"/>
              <w:jc w:val="left"/>
              <w:rPr>
                <w:rFonts w:ascii="Times New Roman" w:hAnsi="Times New Roman" w:eastAsia="宋体" w:cs="Times New Roman"/>
                <w:b/>
                <w:sz w:val="24"/>
              </w:rPr>
            </w:pPr>
            <w:r>
              <w:rPr>
                <w:rFonts w:ascii="Times New Roman" w:hAnsi="Times New Roman" w:eastAsia="宋体" w:cs="Times New Roman"/>
                <w:b/>
                <w:sz w:val="24"/>
              </w:rPr>
              <w:t>一、施工期工艺流程及产污环节</w:t>
            </w:r>
          </w:p>
          <w:p>
            <w:pPr>
              <w:adjustRightInd w:val="0"/>
              <w:snapToGrid w:val="0"/>
              <w:spacing w:line="360" w:lineRule="auto"/>
              <w:ind w:firstLine="480" w:firstLineChars="200"/>
              <w:rPr>
                <w:rFonts w:ascii="Times New Roman" w:hAnsi="Times New Roman" w:eastAsia="宋体" w:cs="Times New Roman"/>
                <w:sz w:val="24"/>
                <w:shd w:val="clear" w:color="auto" w:fill="FFFFFF"/>
              </w:rPr>
            </w:pPr>
            <w:r>
              <w:rPr>
                <w:rFonts w:ascii="Times New Roman" w:hAnsi="Times New Roman" w:eastAsia="宋体" w:cs="Times New Roman"/>
                <w:sz w:val="24"/>
                <w:shd w:val="clear" w:color="auto" w:fill="FFFFFF"/>
              </w:rPr>
              <w:t>项目</w:t>
            </w:r>
            <w:r>
              <w:rPr>
                <w:rFonts w:hint="eastAsia" w:ascii="Times New Roman" w:hAnsi="Times New Roman" w:eastAsia="宋体" w:cs="Times New Roman"/>
                <w:sz w:val="24"/>
                <w:shd w:val="clear" w:color="auto" w:fill="FFFFFF"/>
              </w:rPr>
              <w:t>租赁园区</w:t>
            </w:r>
            <w:r>
              <w:rPr>
                <w:rFonts w:ascii="Times New Roman" w:hAnsi="Times New Roman" w:eastAsia="宋体" w:cs="Times New Roman"/>
                <w:sz w:val="24"/>
                <w:shd w:val="clear" w:color="auto" w:fill="FFFFFF"/>
              </w:rPr>
              <w:t>已建成厂房及办公楼，施工期主要工程内容为室内装修及设备安装，主要污染物为施工扬尘、噪声、施工人员生活污水和固体废物。施工期工艺流程及产污情况如图2-2所示。</w:t>
            </w:r>
          </w:p>
          <w:p>
            <w:pPr>
              <w:widowControl/>
              <w:spacing w:line="360" w:lineRule="auto"/>
              <w:ind w:firstLine="420" w:firstLineChars="200"/>
              <w:jc w:val="left"/>
              <w:rPr>
                <w:rFonts w:ascii="Times New Roman" w:hAnsi="Times New Roman" w:eastAsia="宋体" w:cs="Times New Roman"/>
                <w:snapToGrid w:val="0"/>
                <w:kern w:val="0"/>
                <w:sz w:val="24"/>
              </w:rPr>
            </w:pPr>
            <w:r>
              <w:rPr>
                <w:rFonts w:ascii="Times New Roman" w:hAnsi="Times New Roman" w:eastAsia="宋体" w:cs="Times New Roman"/>
              </w:rPr>
              <mc:AlternateContent>
                <mc:Choice Requires="wpc">
                  <w:drawing>
                    <wp:inline distT="0" distB="0" distL="0" distR="0">
                      <wp:extent cx="5087620" cy="1067435"/>
                      <wp:effectExtent l="0" t="0" r="0" b="0"/>
                      <wp:docPr id="193809885"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1485955" name="Text Box 112"/>
                              <wps:cNvSpPr txBox="1">
                                <a:spLocks noChangeArrowheads="1"/>
                              </wps:cNvSpPr>
                              <wps:spPr bwMode="auto">
                                <a:xfrm>
                                  <a:off x="1344770" y="681990"/>
                                  <a:ext cx="737235" cy="288290"/>
                                </a:xfrm>
                                <a:prstGeom prst="rect">
                                  <a:avLst/>
                                </a:prstGeom>
                                <a:solidFill>
                                  <a:srgbClr val="FFFFFF"/>
                                </a:solidFill>
                                <a:ln w="9525" cmpd="sng">
                                  <a:solidFill>
                                    <a:srgbClr val="000000"/>
                                  </a:solidFill>
                                  <a:miter lim="800000"/>
                                </a:ln>
                              </wps:spPr>
                              <wps:txbx>
                                <w:txbxContent>
                                  <w:p>
                                    <w:pPr>
                                      <w:jc w:val="center"/>
                                      <w:rPr>
                                        <w:rFonts w:ascii="宋体" w:hAnsi="宋体"/>
                                      </w:rPr>
                                    </w:pPr>
                                    <w:r>
                                      <w:rPr>
                                        <w:rFonts w:hint="eastAsia" w:ascii="宋体" w:hAnsi="宋体"/>
                                      </w:rPr>
                                      <w:t>设备进场</w:t>
                                    </w:r>
                                  </w:p>
                                </w:txbxContent>
                              </wps:txbx>
                              <wps:bodyPr rot="0" vert="horz" wrap="square" lIns="91440" tIns="45720" rIns="91440" bIns="45720" anchor="t" anchorCtr="0" upright="1">
                                <a:noAutofit/>
                              </wps:bodyPr>
                            </wps:wsp>
                            <wps:wsp>
                              <wps:cNvPr id="1075365533" name="AutoShape 113"/>
                              <wps:cNvCnPr>
                                <a:cxnSpLocks noChangeShapeType="1"/>
                              </wps:cNvCnPr>
                              <wps:spPr bwMode="auto">
                                <a:xfrm>
                                  <a:off x="2082005" y="809625"/>
                                  <a:ext cx="504190" cy="635"/>
                                </a:xfrm>
                                <a:prstGeom prst="straightConnector1">
                                  <a:avLst/>
                                </a:prstGeom>
                                <a:noFill/>
                                <a:ln w="6350" cmpd="sng">
                                  <a:solidFill>
                                    <a:srgbClr val="000000"/>
                                  </a:solidFill>
                                  <a:round/>
                                  <a:tailEnd type="triangle" w="med" len="med"/>
                                </a:ln>
                              </wps:spPr>
                              <wps:bodyPr/>
                            </wps:wsp>
                            <wps:wsp>
                              <wps:cNvPr id="1911402534" name="Text Box 114"/>
                              <wps:cNvSpPr txBox="1">
                                <a:spLocks noChangeArrowheads="1"/>
                              </wps:cNvSpPr>
                              <wps:spPr bwMode="auto">
                                <a:xfrm>
                                  <a:off x="2581115" y="677545"/>
                                  <a:ext cx="756285" cy="288290"/>
                                </a:xfrm>
                                <a:prstGeom prst="rect">
                                  <a:avLst/>
                                </a:prstGeom>
                                <a:solidFill>
                                  <a:srgbClr val="FFFFFF"/>
                                </a:solidFill>
                                <a:ln w="9525" cmpd="sng">
                                  <a:solidFill>
                                    <a:srgbClr val="000000"/>
                                  </a:solidFill>
                                  <a:miter lim="800000"/>
                                </a:ln>
                              </wps:spPr>
                              <wps:txbx>
                                <w:txbxContent>
                                  <w:p>
                                    <w:pPr>
                                      <w:jc w:val="center"/>
                                      <w:rPr>
                                        <w:rFonts w:ascii="宋体" w:hAnsi="宋体"/>
                                      </w:rPr>
                                    </w:pPr>
                                    <w:r>
                                      <w:rPr>
                                        <w:rFonts w:hint="eastAsia" w:ascii="宋体" w:hAnsi="宋体"/>
                                      </w:rPr>
                                      <w:t>设备安装</w:t>
                                    </w:r>
                                  </w:p>
                                </w:txbxContent>
                              </wps:txbx>
                              <wps:bodyPr rot="0" vert="horz" wrap="square" lIns="91440" tIns="45720" rIns="91440" bIns="45720" anchor="t" anchorCtr="0" upright="1">
                                <a:noAutofit/>
                              </wps:bodyPr>
                            </wps:wsp>
                            <wps:wsp>
                              <wps:cNvPr id="2073279137" name="AutoShape 115"/>
                              <wps:cNvCnPr>
                                <a:cxnSpLocks noChangeShapeType="1"/>
                              </wps:cNvCnPr>
                              <wps:spPr bwMode="auto">
                                <a:xfrm>
                                  <a:off x="3337400" y="809625"/>
                                  <a:ext cx="504190" cy="635"/>
                                </a:xfrm>
                                <a:prstGeom prst="straightConnector1">
                                  <a:avLst/>
                                </a:prstGeom>
                                <a:noFill/>
                                <a:ln w="9525" cmpd="sng">
                                  <a:solidFill>
                                    <a:srgbClr val="000000"/>
                                  </a:solidFill>
                                  <a:round/>
                                  <a:tailEnd type="triangle" w="med" len="med"/>
                                </a:ln>
                              </wps:spPr>
                              <wps:bodyPr/>
                            </wps:wsp>
                            <wps:wsp>
                              <wps:cNvPr id="1744225097" name="Text Box 116"/>
                              <wps:cNvSpPr txBox="1">
                                <a:spLocks noChangeArrowheads="1"/>
                              </wps:cNvSpPr>
                              <wps:spPr bwMode="auto">
                                <a:xfrm>
                                  <a:off x="3841590" y="674370"/>
                                  <a:ext cx="737235" cy="288290"/>
                                </a:xfrm>
                                <a:prstGeom prst="rect">
                                  <a:avLst/>
                                </a:prstGeom>
                                <a:solidFill>
                                  <a:srgbClr val="FFFFFF"/>
                                </a:solidFill>
                                <a:ln w="6350" cmpd="sng">
                                  <a:solidFill>
                                    <a:srgbClr val="000000"/>
                                  </a:solidFill>
                                  <a:miter lim="800000"/>
                                </a:ln>
                              </wps:spPr>
                              <wps:txbx>
                                <w:txbxContent>
                                  <w:p>
                                    <w:pPr>
                                      <w:rPr>
                                        <w:rFonts w:ascii="宋体" w:hAnsi="宋体"/>
                                      </w:rPr>
                                    </w:pPr>
                                    <w:r>
                                      <w:rPr>
                                        <w:rFonts w:hint="eastAsia" w:ascii="宋体" w:hAnsi="宋体"/>
                                      </w:rPr>
                                      <w:t>工程验收</w:t>
                                    </w:r>
                                  </w:p>
                                </w:txbxContent>
                              </wps:txbx>
                              <wps:bodyPr rot="0" vert="horz" wrap="square" lIns="91440" tIns="45720" rIns="91440" bIns="45720" anchor="t" anchorCtr="0" upright="1">
                                <a:noAutofit/>
                              </wps:bodyPr>
                            </wps:wsp>
                            <wps:wsp>
                              <wps:cNvPr id="377530534" name="Text Box 121"/>
                              <wps:cNvSpPr txBox="1">
                                <a:spLocks noChangeArrowheads="1"/>
                              </wps:cNvSpPr>
                              <wps:spPr bwMode="auto">
                                <a:xfrm>
                                  <a:off x="2518885" y="38100"/>
                                  <a:ext cx="857250" cy="288290"/>
                                </a:xfrm>
                                <a:prstGeom prst="rect">
                                  <a:avLst/>
                                </a:prstGeom>
                                <a:solidFill>
                                  <a:srgbClr val="FFFFFF"/>
                                </a:solidFill>
                                <a:ln w="9525" cmpd="sng">
                                  <a:solidFill>
                                    <a:srgbClr val="000000"/>
                                  </a:solidFill>
                                  <a:prstDash val="dash"/>
                                  <a:miter lim="800000"/>
                                </a:ln>
                              </wps:spPr>
                              <wps:txbx>
                                <w:txbxContent>
                                  <w:p>
                                    <w:pPr>
                                      <w:rPr>
                                        <w:rFonts w:ascii="宋体" w:hAnsi="宋体"/>
                                      </w:rPr>
                                    </w:pPr>
                                    <w:r>
                                      <w:rPr>
                                        <w:rFonts w:ascii="宋体" w:hAnsi="宋体"/>
                                      </w:rPr>
                                      <w:t>固废、噪声</w:t>
                                    </w:r>
                                  </w:p>
                                </w:txbxContent>
                              </wps:txbx>
                              <wps:bodyPr rot="0" vert="horz" wrap="square" lIns="91440" tIns="45720" rIns="91440" bIns="45720" anchor="t" anchorCtr="0" upright="1">
                                <a:noAutofit/>
                              </wps:bodyPr>
                            </wps:wsp>
                            <wps:wsp>
                              <wps:cNvPr id="676898229" name="AutoShape 122"/>
                              <wps:cNvCnPr>
                                <a:cxnSpLocks noChangeShapeType="1"/>
                              </wps:cNvCnPr>
                              <wps:spPr bwMode="auto">
                                <a:xfrm flipV="1">
                                  <a:off x="2950685" y="313055"/>
                                  <a:ext cx="635" cy="360045"/>
                                </a:xfrm>
                                <a:prstGeom prst="straightConnector1">
                                  <a:avLst/>
                                </a:prstGeom>
                                <a:noFill/>
                                <a:ln w="9525" cmpd="sng">
                                  <a:solidFill>
                                    <a:srgbClr val="000000"/>
                                  </a:solidFill>
                                  <a:round/>
                                  <a:tailEnd type="triangle" w="med" len="med"/>
                                </a:ln>
                              </wps:spPr>
                              <wps:bodyPr/>
                            </wps:wsp>
                            <wps:wsp>
                              <wps:cNvPr id="484429380" name="Text Box 112"/>
                              <wps:cNvSpPr txBox="1">
                                <a:spLocks noChangeArrowheads="1"/>
                              </wps:cNvSpPr>
                              <wps:spPr bwMode="auto">
                                <a:xfrm>
                                  <a:off x="105885" y="673100"/>
                                  <a:ext cx="737235" cy="288290"/>
                                </a:xfrm>
                                <a:prstGeom prst="rect">
                                  <a:avLst/>
                                </a:prstGeom>
                                <a:solidFill>
                                  <a:srgbClr val="FFFFFF"/>
                                </a:solidFill>
                                <a:ln w="9525" cmpd="sng">
                                  <a:solidFill>
                                    <a:srgbClr val="000000"/>
                                  </a:solidFill>
                                  <a:miter lim="800000"/>
                                </a:ln>
                              </wps:spPr>
                              <wps:txbx>
                                <w:txbxContent>
                                  <w:p>
                                    <w:pPr>
                                      <w:jc w:val="center"/>
                                      <w:rPr>
                                        <w:rFonts w:ascii="宋体" w:hAnsi="宋体"/>
                                      </w:rPr>
                                    </w:pPr>
                                    <w:r>
                                      <w:rPr>
                                        <w:rFonts w:hint="eastAsia" w:ascii="宋体" w:hAnsi="宋体"/>
                                      </w:rPr>
                                      <w:t>室内装修</w:t>
                                    </w:r>
                                  </w:p>
                                </w:txbxContent>
                              </wps:txbx>
                              <wps:bodyPr rot="0" vert="horz" wrap="square" lIns="91440" tIns="45720" rIns="91440" bIns="45720" anchor="t" anchorCtr="0" upright="1">
                                <a:noAutofit/>
                              </wps:bodyPr>
                            </wps:wsp>
                            <wps:wsp>
                              <wps:cNvPr id="1145738306" name="AutoShape 113"/>
                              <wps:cNvCnPr>
                                <a:cxnSpLocks noChangeShapeType="1"/>
                              </wps:cNvCnPr>
                              <wps:spPr bwMode="auto">
                                <a:xfrm>
                                  <a:off x="843120" y="800735"/>
                                  <a:ext cx="504190" cy="635"/>
                                </a:xfrm>
                                <a:prstGeom prst="straightConnector1">
                                  <a:avLst/>
                                </a:prstGeom>
                                <a:noFill/>
                                <a:ln w="6350" cmpd="sng">
                                  <a:solidFill>
                                    <a:srgbClr val="000000"/>
                                  </a:solidFill>
                                  <a:round/>
                                  <a:tailEnd type="triangle" w="med" len="med"/>
                                </a:ln>
                              </wps:spPr>
                              <wps:bodyPr/>
                            </wps:wsp>
                            <wps:wsp>
                              <wps:cNvPr id="1720381364" name="Text Box 121"/>
                              <wps:cNvSpPr txBox="1">
                                <a:spLocks noChangeArrowheads="1"/>
                              </wps:cNvSpPr>
                              <wps:spPr bwMode="auto">
                                <a:xfrm>
                                  <a:off x="20160" y="38100"/>
                                  <a:ext cx="2061845" cy="288290"/>
                                </a:xfrm>
                                <a:prstGeom prst="rect">
                                  <a:avLst/>
                                </a:prstGeom>
                                <a:solidFill>
                                  <a:srgbClr val="FFFFFF"/>
                                </a:solidFill>
                                <a:ln w="9525" cmpd="sng">
                                  <a:solidFill>
                                    <a:srgbClr val="000000"/>
                                  </a:solidFill>
                                  <a:prstDash val="dash"/>
                                  <a:miter lim="800000"/>
                                </a:ln>
                              </wps:spPr>
                              <wps:txbx>
                                <w:txbxContent>
                                  <w:p>
                                    <w:pPr>
                                      <w:rPr>
                                        <w:rFonts w:ascii="宋体" w:hAnsi="宋体"/>
                                      </w:rPr>
                                    </w:pPr>
                                    <w:r>
                                      <w:rPr>
                                        <w:rFonts w:hint="eastAsia" w:ascii="宋体" w:hAnsi="宋体"/>
                                      </w:rPr>
                                      <w:t>施工扬尘、生活污水</w:t>
                                    </w:r>
                                    <w:r>
                                      <w:rPr>
                                        <w:rFonts w:ascii="宋体" w:hAnsi="宋体"/>
                                      </w:rPr>
                                      <w:t>固废、噪声</w:t>
                                    </w:r>
                                  </w:p>
                                </w:txbxContent>
                              </wps:txbx>
                              <wps:bodyPr rot="0" vert="horz" wrap="square" lIns="91440" tIns="45720" rIns="91440" bIns="45720" anchor="t" anchorCtr="0" upright="1">
                                <a:noAutofit/>
                              </wps:bodyPr>
                            </wps:wsp>
                            <wps:wsp>
                              <wps:cNvPr id="612845687" name="AutoShape 122"/>
                              <wps:cNvCnPr>
                                <a:cxnSpLocks noChangeShapeType="1"/>
                              </wps:cNvCnPr>
                              <wps:spPr bwMode="auto">
                                <a:xfrm flipV="1">
                                  <a:off x="451960" y="313055"/>
                                  <a:ext cx="635" cy="360045"/>
                                </a:xfrm>
                                <a:prstGeom prst="straightConnector1">
                                  <a:avLst/>
                                </a:prstGeom>
                                <a:noFill/>
                                <a:ln w="9525" cmpd="sng">
                                  <a:solidFill>
                                    <a:srgbClr val="000000"/>
                                  </a:solidFill>
                                  <a:round/>
                                  <a:tailEnd type="triangle" w="med" len="med"/>
                                </a:ln>
                              </wps:spPr>
                              <wps:bodyPr/>
                            </wps:wsp>
                          </wpc:wpc>
                        </a:graphicData>
                      </a:graphic>
                    </wp:inline>
                  </w:drawing>
                </mc:Choice>
                <mc:Fallback>
                  <w:pict>
                    <v:group id="画布 1" o:spid="_x0000_s1026" o:spt="203" style="height:84.05pt;width:400.6pt;" coordsize="5087620,1067435" editas="canvas" o:gfxdata="UEsDBAoAAAAAAIdO4kAAAAAAAAAAAAAAAAAEAAAAZHJzL1BLAwQUAAAACACHTuJA54ispdYAAAAF&#10;AQAADwAAAGRycy9kb3ducmV2LnhtbE2PwWrDMBBE74X+g9hCL6GRnEMwruUcAqUhBEKdNmfF2tqm&#10;1sqxFDv9+257SS8Dywwzb/PV1XVixCG0njQkcwUCqfK2pVrD++HlKQURoiFrOk+o4RsDrIr7u9xk&#10;1k/0hmMZa8ElFDKjoYmxz6QMVYPOhLnvkdj79IMzkc+hlnYwE5e7Ti6UWkpnWuKFxvS4brD6Ki9O&#10;w1Ttx+Nh9yr3s+PG03lzXpcfW60fHxL1DCLiNd7C8IvP6FAw08lfyAbRaeBH4p+yl6pkAeLEoWWa&#10;gCxy+Z+++AFQSwMEFAAAAAgAh07iQAzxUaTzBAAAtB4AAA4AAABkcnMvZTJvRG9jLnhtbO1Zy27j&#10;NhTdF+g/CNo35kMPyogzmCaToMC0DZC0e1qSLaESqZJ07HTbX+jHFJjvGfQ3eklajuI4mGnzRGAv&#10;bMmkLsnDo3MfPHy3apvgqlS6lmIS4gMUBqXIZVGL+ST85fL0OxYG2nBR8EaKchJelzp8d/TtN4fL&#10;blwSWcmmKFUARoQeL7tJWBnTjUcjnVdly/WB7EoBjTOpWm7gVs1HheJLsN42I4JQMlpKVXRK5qXW&#10;8O+JbwzXFtXXGJSzWZ2XJzJftKUw3qoqG25gSbqqOx0eudnOZmVufp7NdGmCZhLCSo37hkHgemq/&#10;R0eHfDxXvKvqfD0F/jVT2FpTy2sBg25MnXDDg4Wq75hq61xJLWfmIJftyC/EIQKrwGgLmzMlF51b&#10;y3y8nHcb0GGjtlD/32bzn67OVVAXwISMMpQxFoeB4C1s/D9/ffr8958Bthgtu/kYup6p7qI7V+s/&#10;5v7OLns1U639hQUFK4fu9QbdcmWCHP6MEUsTAsDn0IZRkkY09vjnFWzSnefy6sMXnhz1A4/s/DbT&#10;WXbATH0Dl34YXBcV70q3C9pisIYrSXHE4izewHVp1/m9XAUYEw+Z627xCswKGmDRjiK6+yjz33Qg&#10;5HHFxbx8r5RcViUvYJ4ObFjN5lELvR5ra2S6/FEWsC98YaQztAU6plGUpoAvwJswnGVrdvf4pzQl&#10;gLiDnzBGfPsGQz7ulDZnpWwDezEJFbw8bhx+9VEb2HPo2nexe61lUxenddO4GzWfHjcquOLwop26&#10;jwUBHrnVrRHBchJmMbHzaDugnRZzj8q91pD77LLW1gakqKnbSciGnRoBI/e4eQTNarpytNXjqSyu&#10;AU4lvRiAFMJFJdUfYbAEIYAp/b7gqgyD5gcBW5LhKLLK4W6iOLUMVsOW6bCFixxMTUITBv7y2Hi1&#10;WXSqnlcwkieBkO9hG2e1w9VO1c9qPW9gr5/2k9MYozSmSRxT2r/2dl6O8kBkOiDysThXdqfzlbjY&#10;YrDrfnndATlvEdg/0m/EFwlMEAMHAcwAAoMUJUAS2DI+7gkcowgDaR2BE68d97NXG8Ut4MdSCCCy&#10;VB73e7gspCWyG81TFOzbkR5MUVBwUTi7htfNB1EExuFkVA3vfgMsg/ehLQtgWwnu2F5Bb1jWDg57&#10;ithmC+kzciTDOEIkplHPkYHWRQOKPJ/WkZhhjD1VkjSNoy2qpHFCrCezrmavdXutcxEOQSklaYZp&#10;2vN4qHWOQfbFAh//9FpHKU0jBBLzCrTusdzxm9C6NIoIiVG24chA65IX0TrKIhxbv2fjOgiaIcRz&#10;DqV3i68nrnssp7mP6/5Dkrg7PaHgFCna6bLJOqPb5BjPk56QGDOXXQKNKcOgfbdYzCCydiHXm/HY&#10;Nlc64bryOVEBV37Fe3Y/mN1JmrCMEZLtcORkmH0/kSMPZk3d/drncuuiB8lilNig0xIcw8u3FZPa&#10;lMUFpDRByAesT5a+7F36TaUmYuDSbXGrJ8vAow+58nzZC0Zxr4RJSu9I4etx6I9Fo73kPVjyIAWP&#10;U8ooSnoaD5OX5y3UsIhiWwYDoYO6W9qXcfuAdF+nsQXGF6jTQG0SIiua7KjTvFTQh3DiibIj5CMo&#10;wQwc4Ruq0uxjPnso+DQHLpgAWRK2ScwH+vdiMV8U46wn+D7ku3PqsqNi7Y7q4DDTFbnXB6/2tHR4&#10;7+zcHDYf/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DniKyl1gAAAAUBAAAPAAAAAAAAAAEAIAAA&#10;ACIAAABkcnMvZG93bnJldi54bWxQSwECFAAUAAAACACHTuJADPFRpPMEAAC0HgAADgAAAAAAAAAB&#10;ACAAAAAlAQAAZHJzL2Uyb0RvYy54bWxQSwUGAAAAAAYABgBZAQAAiggAAAAA&#10;">
                      <o:lock v:ext="edit" aspectratio="f"/>
                      <v:shape id="画布 1" o:spid="_x0000_s1026" style="position:absolute;left:0;top:0;height:1067435;width:5087620;" filled="f" stroked="f" coordsize="21600,21600" o:gfxdata="UEsDBAoAAAAAAIdO4kAAAAAAAAAAAAAAAAAEAAAAZHJzL1BLAwQUAAAACACHTuJA54ispdYAAAAF&#10;AQAADwAAAGRycy9kb3ducmV2LnhtbE2PwWrDMBBE74X+g9hCL6GRnEMwruUcAqUhBEKdNmfF2tqm&#10;1sqxFDv9+257SS8Dywwzb/PV1XVixCG0njQkcwUCqfK2pVrD++HlKQURoiFrOk+o4RsDrIr7u9xk&#10;1k/0hmMZa8ElFDKjoYmxz6QMVYPOhLnvkdj79IMzkc+hlnYwE5e7Ti6UWkpnWuKFxvS4brD6Ki9O&#10;w1Ttx+Nh9yr3s+PG03lzXpcfW60fHxL1DCLiNd7C8IvP6FAw08lfyAbRaeBH4p+yl6pkAeLEoWWa&#10;gCxy+Z+++AFQSwMEFAAAAAgAh07iQG0ERxKfBAAAKR4AAA4AAABkcnMvZTJvRG9jLnhtbO2ZWW/j&#10;NhCA3wv0Pwh6byySOigjzmLrNEWB7QEku++0RFlCJVIl6djpr++QtLyK4wApnAuB/WBLJjUcDj/O&#10;QZ1/2nRtcMuVbqSYhegsCgMuClk2YjkLv95c/UTDQBsmStZKwWfhHdfhp4sffzhf91OOZS3bkqsA&#10;hAg9XfezsDamn04muqh5x/SZ7LmAxkqqjhm4VctJqdgapHftBEdROllLVfZKFlxr+PfSN4Zbieop&#10;AmVVNQW/lMWq48J4qYq3zMCUdN30Orxw2lYVL8yfVaW5CdpZCDM17hsGgeuF/Z5cnLPpUrG+boqt&#10;CuwpKuzNqWONgEF3oi6ZYcFKNQ9EdU2hpJaVOStkN/ETcRaBWaBozzZzJm6Zn0wBth4UhKtnlLtY&#10;Wr2FvGraFqwxAelT+5/9XcNqc9vcivud/D+u77bPugccdL8DQx+n4nXNeu6WUU+LP27/UkFTzsI0&#10;QzFN8iQJA8E6gPOGb0zws9wECGG7llYL6H7dwwNmAw1AuFsX3X+Rxd86EHJeM7Hkn5WS65qzEvRE&#10;9kmYy+5RL0dbIYv177KEgdjKSCdoU6nO2gKWLrDSSRxnGdB0B9pRlOdbpKxeBbRnJMME1C2gHVOK&#10;ffuETQc5vdLmVy67wF7MQgXEunHY7RdtrF5sOnSxw2rZNqVdKnejlot5q4JbBnRfuY+byl63VgTr&#10;WZgn2OrR9WBHLZbeKo9Ki9znkLSuMbD/26abhXTcySLijGjt5i1oNovNdlEWsrwDcyrpdyD4H7io&#10;pfo3DNaw+0Clf1ZM8TBofxOwJDmKY7td3U2cZBhu1LhlMW5hogBRs9CEgb+cG7/FV71qljWM5CEQ&#10;8jMsY9U4u9r19lpt9QZ6vdovjjGKsoSkSULIwLHVyyEPIJMRyHNhbcmmxUZc7xHsut/c9QDnPYD9&#10;I3Z2TwIYRxS8MpABgNIoTwESWDI2HQBOohgBtA7gFEj2SD5CrzaKWYPPpRAAslTe7o+wvPM51ptY&#10;REG+HeloRJVcidLNwrCm/UWUgXF2MqqBvd8CZTBYx0ugjUMMtFd+WgcY9ojYZmvSV2QkRyiOcELi&#10;gZGRr4tHiLyer8MJRQh5VNIsS+I9VLIkxRSaT77u5Ot2IRtHGcFZjkg2cDz2dY6gbeR9eV9HCMni&#10;CFzMO/B1zxWOP4Svy+IY4yTKd4yMfF36Jr6O0BglNu7ZvC6LCaR4LqAMYfH95HXPFTRPed3/qMwO&#10;lycEgiKJDoZs7HK0rad7zZCNKLUxGTAmFIHvu0cxhczapVzQ/DGqE1srXTJd+5qohCs/4xPdR9Od&#10;ZinNKcb5gUCOx9X3CwXyoGqb/ttQy23rb5wnUToAjmDz7eWktmRxCSlJo8gnrI8X30eWL6eQ/v2k&#10;JqYQ0nNCIYK+l5OaKBk8YZqRB67w/QT058Lo5PKOdnlQgicZoSRKB4zHxcvrHtTQmCB7DOZqFyiq&#10;9hzd6ZzGFt1vcE4DZ5OQWZH0wDnNWyV9EUo9KAdSPhyliEIg/ECnNKecDw4m+5d54YIwwJLSXWE+&#10;8n9vlvPFCcoHwE8p34O3LgdOrP2Lur6AvvdeUY7vnZzvb3g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OBwAAW0NvbnRlbnRfVHlwZXNdLnht&#10;bFBLAQIUAAoAAAAAAIdO4kAAAAAAAAAAAAAAAAAGAAAAAAAAAAAAEAAAAPAFAABfcmVscy9QSwEC&#10;FAAUAAAACACHTuJAihRmPNEAAACUAQAACwAAAAAAAAABACAAAAAUBgAAX3JlbHMvLnJlbHNQSwEC&#10;FAAKAAAAAACHTuJAAAAAAAAAAAAAAAAABAAAAAAAAAAAABAAAAAAAAAAZHJzL1BLAQIUABQAAAAI&#10;AIdO4kDniKyl1gAAAAUBAAAPAAAAAAAAAAEAIAAAACIAAABkcnMvZG93bnJldi54bWxQSwECFAAU&#10;AAAACACHTuJAbQRHEp8EAAApHgAADgAAAAAAAAABACAAAAAlAQAAZHJzL2Uyb0RvYy54bWxQSwUG&#10;AAAAAAYABgBZAQAANggAAAAA&#10;">
                        <v:fill on="f" focussize="0,0"/>
                        <v:stroke on="f"/>
                        <v:imagedata o:title=""/>
                        <o:lock v:ext="edit" aspectratio="t"/>
                      </v:shape>
                      <v:shape id="Text Box 112" o:spid="_x0000_s1026" o:spt="202" type="#_x0000_t202" style="position:absolute;left:1344770;top:681990;height:288290;width:737235;" fillcolor="#FFFFFF" filled="t" stroked="t" coordsize="21600,21600" o:gfxdata="UEsDBAoAAAAAAIdO4kAAAAAAAAAAAAAAAAAEAAAAZHJzL1BLAwQUAAAACACHTuJAuGSJ2tQAAAAF&#10;AQAADwAAAGRycy9kb3ducmV2LnhtbE2PwU7DMBBE70j8g7VIXBC1U1AIIU4PSCC4QUFwdeNtEmGv&#10;g+2m5e9ZuMBlpNWMZt42q4N3YsaYxkAaioUCgdQFO1Kv4fXl7rwCkbIha1wg1PCFCVbt8VFjahv2&#10;9IzzOveCSyjVRsOQ81RLmboBvUmLMCGxtw3Rm8xn7KWNZs/l3smlUqX0ZiReGMyEtwN2H+ud11Bd&#10;Pszv6fHi6a0rt+46n13N959R69OTQt2AyHjIf2H4wWd0aJlpE3Zkk3Aa+JH8q+xVqliC2HCorAqQ&#10;bSP/07ffUEsDBBQAAAAIAIdO4kBKYJAERwIAAKUEAAAOAAAAZHJzL2Uyb0RvYy54bWytVNtu2zAM&#10;fR+wfxD0vjp2kyYx6hRdgg4DugvQ7gMUWbaFSaImKbG7rx8lu12QbUAf5gdDNKnDw0PS1zeDVuQo&#10;nJdgKppfzCgRhkMtTVvRb49371aU+MBMzRQYUdEn4enN5u2b696WooAOVC0cQRDjy95WtAvBllnm&#10;eSc08xdghUFnA06zgKZrs9qxHtG1yorZ7CrrwdXWARfe49fd6KQTonsNIDSN5GIH/KCFCSOqE4oF&#10;LMl30nq6SWybRvDwpWm8CERVFCsN6Y1J8LyP72xzzcrWMdtJPlFgr6FwVpNm0mDSF6gdC4wcnPwD&#10;SkvuwEMTLjjobCwkKYJV5LMzbR46ZkWqBaX29kV0//9g+efjV0dkXdGrZT5fLdaLBSWGaWz8oxgC&#10;eQ8DyfMi6tRbX2L4g8ULYUAHTk+q2dt74N89MbDtmGnFrXPQd4LVyDOPN7OTqyOOjyD7/hPUmIgd&#10;AiSgoXE6ioiykIh+OZ8vl9ipJ2S3ytfrqV2RF0f/8nJZXCJdjv5itSpGf8bKZxzrfPggQJN4qKjD&#10;aUh52PHeh8iLlc8hMa0HJes7qVQyXLvfKkeODCfnLj2plLMwZUhf0fWiiDy0RR29aUdV/ok2S8/f&#10;0LQMuFtK6oquToOUmUSMuo0KhmE/TE3ZQ/2EcjoYpxt3Gw8duJ+U9DjZSOnHgTlBifposCXrfD6P&#10;q5CM+WJZoOFOPftTDzMcoSoaKBmP2zCuz8E62XaYaRwCA7fYxkYmXWO/R1YTb5zeJPe0aXE9Tu0U&#10;9fvvsv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GSJ2tQAAAAFAQAADwAAAAAAAAABACAAAAAi&#10;AAAAZHJzL2Rvd25yZXYueG1sUEsBAhQAFAAAAAgAh07iQEpgkARHAgAApQQAAA4AAAAAAAAAAQAg&#10;AAAAIwEAAGRycy9lMm9Eb2MueG1sUEsFBgAAAAAGAAYAWQEAANwFAAAAAA==&#10;">
                        <v:fill on="t" focussize="0,0"/>
                        <v:stroke color="#000000" miterlimit="8" joinstyle="miter"/>
                        <v:imagedata o:title=""/>
                        <o:lock v:ext="edit" aspectratio="f"/>
                        <v:textbox>
                          <w:txbxContent>
                            <w:p>
                              <w:pPr>
                                <w:jc w:val="center"/>
                                <w:rPr>
                                  <w:rFonts w:ascii="宋体" w:hAnsi="宋体"/>
                                </w:rPr>
                              </w:pPr>
                              <w:r>
                                <w:rPr>
                                  <w:rFonts w:hint="eastAsia" w:ascii="宋体" w:hAnsi="宋体"/>
                                </w:rPr>
                                <w:t>设备进场</w:t>
                              </w:r>
                            </w:p>
                          </w:txbxContent>
                        </v:textbox>
                      </v:shape>
                      <v:shape id="AutoShape 113" o:spid="_x0000_s1026" o:spt="32" type="#_x0000_t32" style="position:absolute;left:2082005;top:809625;height:635;width:504190;" filled="f" stroked="t" coordsize="21600,21600" o:gfxdata="UEsDBAoAAAAAAIdO4kAAAAAAAAAAAAAAAAAEAAAAZHJzL1BLAwQUAAAACACHTuJA0wgaMtQAAAAF&#10;AQAADwAAAGRycy9kb3ducmV2LnhtbE2PzUrEQBCE74LvMLTgRdyZ5LDEmMkeBAXBi1kXPPZmxiSY&#10;6QmZzv749LZe9FLQVFH1dbU5hVEd/JyGSBaylQHlqY1uoM7C2/bxtgCVGMnhGMlbOPsEm/ryosLS&#10;xSO9+kPDnZISSiVa6JmnUuvU9j5gWsXJk3gfcQ7Ics6ddjMepTyMOjdmrQMOJAs9Tv6h9+1nswQL&#10;bGjbDMv7Mz+d777MSz4avNlZe32VmXtQ7E/8F4YffEGHWpj2cSGX1GhBHuFfFa8wWQ5qL6F1kYGu&#10;K/2fvv4GUEsDBBQAAAAIAIdO4kBkxkCACwIAAAIEAAAOAAAAZHJzL2Uyb0RvYy54bWytU8GO2yAQ&#10;vVfqPyDuje2kTrNWnFWVdHvZtpF2+wEEsI0KDAISJ3/fAWe32+1lD/UBgWfmzbzHY317NpqcpA8K&#10;bEurWUmJtByEsn1Lfz7efVhREiKzgmmwsqUXGejt5v279egaOYcBtJCeIIgNzehaOsTomqIIfJCG&#10;hRk4aTHYgTcs4tH3hfBsRHSji3lZLosRvHAeuAwB/+6mIL0i+rcAQtcpLnfAj0baOKF6qVlESmFQ&#10;LtBNnrbrJI8/ui7ISHRLkWnMKzbB/SGtxWbNmt4zNyh+HYG9ZYRXnAxTFps+Q+1YZOTo1T9QRnEP&#10;Abo442CKiUhWBFlU5SttHgbmZOaCUgf3LHr4f7D8+2nviRLohPJTvVjW9WJBiWUGb/7zMUIegVTV&#10;Iik1utBgwdbufeLKz/bB3QP/FYiF7cBsL3P648VhdZUqir9K0iE47HcYv4HAHIYdsmznzpsEiYKQ&#10;c0vn5QqtUlNyaemqvFnO6+mi5DkSjvG6/Fjd4BVyjC8XOViw5gnE+RC/SjAkbVoaomeqH+IWrEU/&#10;gK9yS3a6DzGNyJqngjSBhTuldbaFtmTM+KmTcahRsH2uDaCVSHmpIvj+sNWenFjyWP4ydYy8TPNw&#10;tCLjRqb0FytIzDpFr1A5LWlqZqSgREt8mGk3TaftVcck3XQJBxCXvU/hJClaI9O42jh57+U5Z/15&#10;up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wgaMtQAAAAFAQAADwAAAAAAAAABACAAAAAiAAAA&#10;ZHJzL2Rvd25yZXYueG1sUEsBAhQAFAAAAAgAh07iQGTGQIALAgAAAgQAAA4AAAAAAAAAAQAgAAAA&#10;IwEAAGRycy9lMm9Eb2MueG1sUEsFBgAAAAAGAAYAWQEAAKAFAAAAAA==&#10;">
                        <v:fill on="f" focussize="0,0"/>
                        <v:stroke weight="0.5pt" color="#000000" joinstyle="round" endarrow="block"/>
                        <v:imagedata o:title=""/>
                        <o:lock v:ext="edit" aspectratio="f"/>
                      </v:shape>
                      <v:shape id="Text Box 114" o:spid="_x0000_s1026" o:spt="202" type="#_x0000_t202" style="position:absolute;left:2581115;top:677545;height:288290;width:756285;" fillcolor="#FFFFFF" filled="t" stroked="t" coordsize="21600,21600" o:gfxdata="UEsDBAoAAAAAAIdO4kAAAAAAAAAAAAAAAAAEAAAAZHJzL1BLAwQUAAAACACHTuJAuGSJ2tQAAAAF&#10;AQAADwAAAGRycy9kb3ducmV2LnhtbE2PwU7DMBBE70j8g7VIXBC1U1AIIU4PSCC4QUFwdeNtEmGv&#10;g+2m5e9ZuMBlpNWMZt42q4N3YsaYxkAaioUCgdQFO1Kv4fXl7rwCkbIha1wg1PCFCVbt8VFjahv2&#10;9IzzOveCSyjVRsOQ81RLmboBvUmLMCGxtw3Rm8xn7KWNZs/l3smlUqX0ZiReGMyEtwN2H+ud11Bd&#10;Pszv6fHi6a0rt+46n13N959R69OTQt2AyHjIf2H4wWd0aJlpE3Zkk3Aa+JH8q+xVqliC2HCorAqQ&#10;bSP/07ffUEsDBBQAAAAIAIdO4kClRdXOSQIAAKYEAAAOAAAAZHJzL2Uyb0RvYy54bWytVMFu2zAM&#10;vQ/YPwi6r469uEmMOEWXosOArhvQ7gMUWbaFSaImKbG7rx8lp12QbUAP88EQTerx8ZH0+mrUihyE&#10;8xJMTfOLGSXCcGik6Wr67fH23ZISH5hpmAIjavokPL3avH2zHmwlCuhBNcIRBDG+GmxN+xBslWWe&#10;90IzfwFWGHS24DQLaLouaxwbEF2rrJjNLrMBXGMdcOE9fr2ZnPSI6F4DCG0rubgBvtfChAnVCcUC&#10;luR7aT3dJLZtK3j40rZeBKJqipWG9MYkeN7Fd7ZZs6pzzPaSHymw11A4q0kzaTDpC9QNC4zsnfwD&#10;SkvuwEMbLjjobCokKYJV5LMzbR56ZkWqBaX29kV0//9g+f3hqyOywUlY5fl8VpTv55QYprHzj2IM&#10;5AOMBB1RqMH6CuMfLN4IIzrwUira2zvg3z0xsO2Z6cS1czD0gjVINI83s5OrE46PILvhMzSYiO0D&#10;JKCxdTqqiLoQRC/KZZ7nJSVPNb1cLMp5OfUr8uLoX5SXxRLdHP3FclmsUj8zVj3jWOfDRwGaxENN&#10;HY5DysMOdz5EXqx6DolpPSjZ3EqlkuG63VY5cmA4OrfpSaWchSlDhpquyiLy0BaF9KabVPkn2iw9&#10;f0PTMuByKalrujwNUuYoYtRtUjCMu/HYlB00Tying2m8cbnx0IP7ScmAo42UfuyZE5SoTwZbssrn&#10;87gLyZiXiwINd+rZnXqY4QhV00DJdNyGaX/21smux0zTEBi4xja2Muka+z2xOvLG8U1yH1ct7sep&#10;naJ+/142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4ZIna1AAAAAUBAAAPAAAAAAAAAAEAIAAA&#10;ACIAAABkcnMvZG93bnJldi54bWxQSwECFAAUAAAACACHTuJApUXVzkkCAACmBAAADgAAAAAAAAAB&#10;ACAAAAAjAQAAZHJzL2Uyb0RvYy54bWxQSwUGAAAAAAYABgBZAQAA3gUAAAAA&#10;">
                        <v:fill on="t" focussize="0,0"/>
                        <v:stroke color="#000000" miterlimit="8" joinstyle="miter"/>
                        <v:imagedata o:title=""/>
                        <o:lock v:ext="edit" aspectratio="f"/>
                        <v:textbox>
                          <w:txbxContent>
                            <w:p>
                              <w:pPr>
                                <w:jc w:val="center"/>
                                <w:rPr>
                                  <w:rFonts w:ascii="宋体" w:hAnsi="宋体"/>
                                </w:rPr>
                              </w:pPr>
                              <w:r>
                                <w:rPr>
                                  <w:rFonts w:hint="eastAsia" w:ascii="宋体" w:hAnsi="宋体"/>
                                </w:rPr>
                                <w:t>设备安装</w:t>
                              </w:r>
                            </w:p>
                          </w:txbxContent>
                        </v:textbox>
                      </v:shape>
                      <v:shape id="AutoShape 115" o:spid="_x0000_s1026" o:spt="32" type="#_x0000_t32" style="position:absolute;left:3337400;top:809625;height:635;width:504190;" filled="f" stroked="t" coordsize="21600,21600" o:gfxdata="UEsDBAoAAAAAAIdO4kAAAAAAAAAAAAAAAAAEAAAAZHJzL1BLAwQUAAAACACHTuJAkJRLwNYAAAAF&#10;AQAADwAAAGRycy9kb3ducmV2LnhtbE2PzU7DMBCE70i8g7VI3KiTHqIQ4lSCCpELSLQIcXTjbWw1&#10;Xkex+8fTs3Chl5FWM5r5tl6c/CAOOEUXSEE+y0AgdcE46hV8rJ/vShAxaTJ6CIQKzhhh0Vxf1boy&#10;4UjveFilXnAJxUorsCmNlZSxs+h1nIURib1tmLxOfE69NJM+crkf5DzLCum1I16wesQni91utfcK&#10;0vLrbIvP7vHeva1fXgv33bbtUqnbmzx7AJHwlP7D8IvP6NAw0ybsyUQxKOBH0p+yV2b5HMSGQ0WZ&#10;g2xqeUnf/ABQSwMEFAAAAAgAh07iQLNzi8EOAgAAAgQAAA4AAABkcnMvZTJvRG9jLnhtbK1TwXLb&#10;IBC9d6b/wHCvJVmxHWssZzp200vaeibpB2BAElNgGcCW/fddsJOm6SWH6sCAdve9fY9ldXcymhyl&#10;DwpsS6tJSYm0HISyfUt/Pt1/uqUkRGYF02BlS88y0Lv1xw+r0TVyCgNoIT1BEBua0bV0iNE1RRH4&#10;IA0LE3DSYrADb1jEo+8L4dmI6EYX07KcFyN44TxwGQL+3V6C9Iro3wMIXae43AI/GGnjBdVLzSJK&#10;CoNyga5zt10nefzRdUFGoluKSmNekQT3+7QW6xVres/coPi1BfaeFt5oMkxZJH2B2rLIyMGrf6CM&#10;4h4CdHHCwRQXIdkRVFGVb7x5HJiTWQtaHdyL6eH/wfLvx50nSrR0Wi7q6WJZ1QtKLDN4858PEXIL&#10;pKpmyanRhQYLNnbnk1Z+so/uAfivQCxsBmZ7mdOfzg6rq1RR/FWSDsEh3378BgJzGDJk206dNwkS&#10;DSGnltZ1vbgp8Y7OLb0tl/NppmeNPEXCMT4rb6olhjnG53UOFqx5BnE+xK8SDEmblobomeqHuAFr&#10;cR7AV5mSHR9CTC2y5rkgdWDhXmmdx0JbMrZ0OUN2wo1Dj4Ltc20ArUTKSxXB9/uN9uTI0ozlL0vH&#10;yOs0DwcrMm5kSn+xgsTsU/QKndOSJjIjBSVa4sNMu0t32l59TNZdLmEP4rzzKZwsxdHIMq5jnGbv&#10;9Tln/Xm6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lEvA1gAAAAUBAAAPAAAAAAAAAAEAIAAA&#10;ACIAAABkcnMvZG93bnJldi54bWxQSwECFAAUAAAACACHTuJAs3OLwQ4CAAACBAAADgAAAAAAAAAB&#10;ACAAAAAlAQAAZHJzL2Uyb0RvYy54bWxQSwUGAAAAAAYABgBZAQAApQUAAAAA&#10;">
                        <v:fill on="f" focussize="0,0"/>
                        <v:stroke color="#000000" joinstyle="round" endarrow="block"/>
                        <v:imagedata o:title=""/>
                        <o:lock v:ext="edit" aspectratio="f"/>
                      </v:shape>
                      <v:shape id="Text Box 116" o:spid="_x0000_s1026" o:spt="202" type="#_x0000_t202" style="position:absolute;left:3841590;top:674370;height:288290;width:737235;" fillcolor="#FFFFFF" filled="t" stroked="t" coordsize="21600,21600" o:gfxdata="UEsDBAoAAAAAAIdO4kAAAAAAAAAAAAAAAAAEAAAAZHJzL1BLAwQUAAAACACHTuJAkzCAPdIAAAAF&#10;AQAADwAAAGRycy9kb3ducmV2LnhtbE2PQUvEMBCF74L/IYzgzU3ahVK6TRcUBPHm2ou3bDPbFpNJ&#10;SbLb9d87etHLg+E93vum3V+9ExeMaQ6kodgoEEhDsDONGvr354caRMqGrHGBUMMXJth3tzetaWxY&#10;6Q0vhzwKLqHUGA1TzksjZRom9CZtwoLE3ilEbzKfcZQ2mpXLvZOlUpX0ZiZemMyCTxMOn4ez1/BS&#10;PeYP7O2r3ZbbsPZyiCeXtL6/K9QORMZr/gvDDz6jQ8dMx3Amm4TTwI/kX2WvVkUJ4sihqi5Adq38&#10;T999A1BLAwQUAAAACACHTuJACM33/kkCAACmBAAADgAAAGRycy9lMm9Eb2MueG1srVTBbtswDL0P&#10;2D8Iuq+OHadOgzpF16LDgK4b0O4DFFm2hUmiJimxu68fJbtd1m1AD/PBEE3q8fGR9PnFqBU5COcl&#10;mJrmJwtKhOHQSNPV9OvDzbs1JT4w0zAFRtT0UXh6sX375nywG1FAD6oRjiCI8ZvB1rQPwW6yzPNe&#10;aOZPwAqDzhacZgFN12WNYwOia5UVi8VpNoBrrAMuvMev15OTzojuNYDQtpKLa+B7LUyYUJ1QLGBJ&#10;vpfW021i27aCh89t60UgqqZYaUhvTILnXXxn23O26RyzveQzBfYaCi9q0kwaTPoMdc0CI3sn/4DS&#10;kjvw0IYTDjqbCkmKYBX54oU29z2zItWCUnv7LLr/f7D87vDFEdngJFRlWRSrxVlFiWEaO/8gxkDe&#10;w0jy/DQKNVi/wfh7izfCiA68lIr29hb4N08MXPXMdOLSORh6wRokmseb2dHVCcdHkN3wCRpMxPYB&#10;EtDYOh1VRF0Ioi/XZb46w1Y91vS0KpfV3K/Ii6O/WlbFckUJR3+xXhcYGpOxzROOdT58EKBJPNTU&#10;4TikPOxw68MU+hQS03pQsrmRSiXDdbsr5ciB4ejcpGdG/y1MGTIgu+UKaXJtUUhvukmVf6It0vM3&#10;NC0DLpeSuqbr4yBlZhGjbpOCYdyNc1N20DyinA6m8cblxkMP7gclA442Uvq+Z05Qoj4abMlZXpZx&#10;F5JRrqoCDXfs2R17mOEIVdNAyXS8CtP+7K2TXY+ZpiEwcIltbGXSNfZ7YjXzxvFNnZlXLe7HsZ2i&#10;fv1et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zCAPdIAAAAFAQAADwAAAAAAAAABACAAAAAi&#10;AAAAZHJzL2Rvd25yZXYueG1sUEsBAhQAFAAAAAgAh07iQAjN9/5JAgAApgQAAA4AAAAAAAAAAQAg&#10;AAAAIQEAAGRycy9lMm9Eb2MueG1sUEsFBgAAAAAGAAYAWQEAANwFAAAAAA==&#10;">
                        <v:fill on="t" focussize="0,0"/>
                        <v:stroke weight="0.5pt" color="#000000" miterlimit="8" joinstyle="miter"/>
                        <v:imagedata o:title=""/>
                        <o:lock v:ext="edit" aspectratio="f"/>
                        <v:textbox>
                          <w:txbxContent>
                            <w:p>
                              <w:pPr>
                                <w:rPr>
                                  <w:rFonts w:ascii="宋体" w:hAnsi="宋体"/>
                                </w:rPr>
                              </w:pPr>
                              <w:r>
                                <w:rPr>
                                  <w:rFonts w:hint="eastAsia" w:ascii="宋体" w:hAnsi="宋体"/>
                                </w:rPr>
                                <w:t>工程验收</w:t>
                              </w:r>
                            </w:p>
                          </w:txbxContent>
                        </v:textbox>
                      </v:shape>
                      <v:shape id="Text Box 121" o:spid="_x0000_s1026" o:spt="202" type="#_x0000_t202" style="position:absolute;left:2518885;top:38100;height:288290;width:857250;" fillcolor="#FFFFFF" filled="t" stroked="t" coordsize="21600,21600" o:gfxdata="UEsDBAoAAAAAAIdO4kAAAAAAAAAAAAAAAAAEAAAAZHJzL1BLAwQUAAAACACHTuJAJD8kMdQAAAAF&#10;AQAADwAAAGRycy9kb3ducmV2LnhtbE2PS0/DMBCE70j8B2uRuFE7kWijEKcHnrdKpD1w3MSbh4jt&#10;KHaT8u9ZuMBlpNWMZr4t9hc7ioXmMHinIdkoEOQabwbXaTgdX+4yECGiMzh6Rxq+KMC+vL4qMDd+&#10;de+0VLETXOJCjhr6GKdcytD0ZDFs/ESOvdbPFiOfcyfNjCuX21GmSm2lxcHxQo8TPfbUfFZnq+Hw&#10;FrJ697x8vFYn/3RYdy3ep63WtzeJegAR6RL/wvCDz+hQMlPtz84EMWrgR+KvspepJAVRc2ibJSDL&#10;Qv6nL78BUEsDBBQAAAAIAIdO4kAkGcu9VAIAALwEAAAOAAAAZHJzL2Uyb0RvYy54bWytVNtu2zAM&#10;fR+wfxD0vvrSeHWDOkWXIMOA7gK0+wBFlm1hkqhJSuzu60fJaZd1G9CH+cGgTOrw8JD01fWkFTkI&#10;5yWYhhZnOSXCcGil6Rv69X77pqbEB2ZapsCIhj4IT69Xr19djXYpShhAtcIRBDF+OdqGDiHYZZZ5&#10;PgjN/BlYYdDZgdMs4NH1WevYiOhaZWWev81GcK11wIX3+HUzO+kR0b0EELpOcrEBvtfChBnVCcUC&#10;luQHaT1dJbZdJ3j43HVeBKIaipWG9MYkaO/iO1tdsWXvmB0kP1JgL6HwrCbNpMGkT1AbFhjZO/kH&#10;lJbcgYcunHHQ2VxIUgSrKPJn2twNzIpUC0rt7ZPo/v/B8k+HL47ItqHnFxfVeV6dLygxTGPj78UU&#10;yDuYSFEWUafR+iWG31m8ECZ04PSkmr29Bf7NEwPrgZle3DgH4yBYizzTzezk6ozjI8hu/AgtJmL7&#10;AAlo6pyOIqIsBNHLqqjruqLkAdnVRX7sVqTF0V1XF2WFfeToLuu6vEz+jC0fYazz4b0ATaLRUIfD&#10;kNKww60PWBCGPobErB6UbLdSqXRw/W6tHDkwHJxteqIGeOW3MGXI2NDLqkSWXFuU0Zt+FuWfaHl6&#10;/oYW2WyYH+asLVrzfGoZcOWU1Fj06WVlkFHUNso5Cxum3XTs1Q7aB1TZwTz0uPJoDOB+UDLiwCPV&#10;73vmBCXqg8FOXRaLRdyQdFigtnhwp57dqYcZjlANDZTM5jrMW7W3TvYDZppnw8ANdreTSe9IdWZ1&#10;5I1DnTQ9LmDcmtNzivr101n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Q/JDHUAAAABQEAAA8A&#10;AAAAAAAAAQAgAAAAIgAAAGRycy9kb3ducmV2LnhtbFBLAQIUABQAAAAIAIdO4kAkGcu9VAIAALwE&#10;AAAOAAAAAAAAAAEAIAAAACMBAABkcnMvZTJvRG9jLnhtbFBLBQYAAAAABgAGAFkBAADpBQAAAAA=&#10;">
                        <v:fill on="t" focussize="0,0"/>
                        <v:stroke color="#000000" miterlimit="8" joinstyle="miter" dashstyle="dash"/>
                        <v:imagedata o:title=""/>
                        <o:lock v:ext="edit" aspectratio="f"/>
                        <v:textbox>
                          <w:txbxContent>
                            <w:p>
                              <w:pPr>
                                <w:rPr>
                                  <w:rFonts w:ascii="宋体" w:hAnsi="宋体"/>
                                </w:rPr>
                              </w:pPr>
                              <w:r>
                                <w:rPr>
                                  <w:rFonts w:ascii="宋体" w:hAnsi="宋体"/>
                                </w:rPr>
                                <w:t>固废、噪声</w:t>
                              </w:r>
                            </w:p>
                          </w:txbxContent>
                        </v:textbox>
                      </v:shape>
                      <v:shape id="AutoShape 122" o:spid="_x0000_s1026" o:spt="32" type="#_x0000_t32" style="position:absolute;left:2950685;top:313055;flip:y;height:360045;width:635;" filled="f" stroked="t" coordsize="21600,21600" o:gfxdata="UEsDBAoAAAAAAIdO4kAAAAAAAAAAAAAAAAAEAAAAZHJzL1BLAwQUAAAACACHTuJAoAhjvtUAAAAF&#10;AQAADwAAAGRycy9kb3ducmV2LnhtbE2PwU7DMBBE70j8g7VIXBC1E4kqCnF6KBROqCKUuxtvk6jx&#10;OordNvl7Fi70MtJqRjNvi9XkenHGMXSeNCQLBQKp9rajRsPua/OYgQjRkDW9J9QwY4BVeXtTmNz6&#10;C33iuYqN4BIKudHQxjjkUoa6RWfCwg9I7B386Ezkc2ykHc2Fy10vU6WW0pmOeKE1A65brI/VyWl4&#10;qbZPm++H3ZTO9ftH9ZYdtzS/an1/l6hnEBGn+B+GX3xGh5KZ9v5ENoheAz8S/5S9TCUpiD2HllkC&#10;sizkNX35A1BLAwQUAAAACACHTuJAUvg4FRECAAALBAAADgAAAGRycy9lMm9Eb2MueG1srVPBjtsg&#10;EL1X6j8g7l07TuMmVpxVlXR72baRdts7AWyjAoOAxMnfd8DR7nZ72UN9QOA382beY1jfno0mJ+mD&#10;AtvS2U1JibQchLJ9S38+3n1YUhIis4JpsLKlFxno7eb9u/XoGlnBAFpIT5DEhmZ0LR1idE1RBD5I&#10;w8INOGkR7MAbFvHo+0J4NiK70UVVlnUxghfOA5ch4N/dBNIro38LIXSd4nIH/GikjROrl5pFlBQG&#10;5QLd5G67TvL4o+uCjES3FJXGvGIR3B/SWmzWrOk9c4Pi1xbYW1p4pckwZbHoE9WORUaOXv1DZRT3&#10;EKCLNxxMMQnJjqCKWfnKm4eBOZm1oNXBPZke/h8t/37ae6JES+tP9XK1rKoVJZYZvPjPxwi5AzKr&#10;qmTU6EKD8Vu790kqP9sHdw/8dyAWtgOzvczhjxeH2bOUUfyVkg7BYbnD+A0ExjCskF07d96QTiv3&#10;KyUmcnSGnFtarRZlvVxQcmnpfDYvF4vpxuQ5Eo54PUeMJ7Auy48ZLFiT6BKJ8yF+lWBI2rQ0RM9U&#10;P8QtWIuDAX4qxU73IaZmnxNSsoU7pXWeD23J2NLVokrFjEOzgu1zmwG0EikuZQTfH7bakxNLw5a/&#10;bAIiL8M8HK3IvJEp/cUKErNj0Sv0UEuaihkpKNESX2jaTd1pe3U0mThdxwHEZe8TnMzFGckyrvOc&#10;hvDlOUc9v+H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AIY77VAAAABQEAAA8AAAAAAAAAAQAg&#10;AAAAIgAAAGRycy9kb3ducmV2LnhtbFBLAQIUABQAAAAIAIdO4kBS+DgVEQIAAAsEAAAOAAAAAAAA&#10;AAEAIAAAACQBAABkcnMvZTJvRG9jLnhtbFBLBQYAAAAABgAGAFkBAACnBQAAAAA=&#10;">
                        <v:fill on="f" focussize="0,0"/>
                        <v:stroke color="#000000" joinstyle="round" endarrow="block"/>
                        <v:imagedata o:title=""/>
                        <o:lock v:ext="edit" aspectratio="f"/>
                      </v:shape>
                      <v:shape id="Text Box 112" o:spid="_x0000_s1026" o:spt="202" type="#_x0000_t202" style="position:absolute;left:105885;top:673100;height:288290;width:737235;" fillcolor="#FFFFFF" filled="t" stroked="t" coordsize="21600,21600" o:gfxdata="UEsDBAoAAAAAAIdO4kAAAAAAAAAAAAAAAAAEAAAAZHJzL1BLAwQUAAAACACHTuJAuGSJ2tQAAAAF&#10;AQAADwAAAGRycy9kb3ducmV2LnhtbE2PwU7DMBBE70j8g7VIXBC1U1AIIU4PSCC4QUFwdeNtEmGv&#10;g+2m5e9ZuMBlpNWMZt42q4N3YsaYxkAaioUCgdQFO1Kv4fXl7rwCkbIha1wg1PCFCVbt8VFjahv2&#10;9IzzOveCSyjVRsOQ81RLmboBvUmLMCGxtw3Rm8xn7KWNZs/l3smlUqX0ZiReGMyEtwN2H+ud11Bd&#10;Pszv6fHi6a0rt+46n13N959R69OTQt2AyHjIf2H4wWd0aJlpE3Zkk3Aa+JH8q+xVqliC2HCorAqQ&#10;bSP/07ffUEsDBBQAAAAIAIdO4kAVtQ+QRwIAAKQEAAAOAAAAZHJzL2Uyb0RvYy54bWytVNtu2zAM&#10;fR+wfxD0vvqSpHGCOkXXosOA7gK0+wBFlm1hkqhJSuzu60fJbhd0G9CH+cEQTerw8JD0xeWoFTkK&#10;5yWYmhZnOSXCcGik6Wr67eH2XUWJD8w0TIERNX0Unl7u3r65GOxWlNCDaoQjCGL8drA17UOw2yzz&#10;vBea+TOwwqCzBadZQNN1WePYgOhaZWWen2cDuMY64MJ7/HozOemM6F4DCG0rubgBftDChAnVCcUC&#10;luR7aT3dJbZtK3j40rZeBKJqipWG9MYkeN7Hd7a7YNvOMdtLPlNgr6HwoibNpMGkz1A3LDBycPIP&#10;KC25Aw9tOOOgs6mQpAhWUeQvtLnvmRWpFpTa22fR/f+D5Z+PXx2RTU2X1XJZbhYVKmOYxsY/iDGQ&#10;9zCSoiijToP1Wwy/t3ghjOjA6Uk1e3sH/LsnBq57Zjpx5RwMvWAN8izizezk6oTjI8h++AQNJmKH&#10;AAlobJ2OIqIsJKLnq6paUfJY0/P1osjnbkVaHN3rxbpcoJujv6yqcpP8Gds+wVjnwwcBmsRDTR0O&#10;Q0rDjnc+RFps+xQSs3pQsrmVSiXDdftr5ciR4eDcpidV8iJMGTLUdLMqIw9tUUZvukmUf6Ll6fkb&#10;mpYBV0tJXdPqNEiZWcMo2yRgGPfj3JM9NI+opoNpuHG18dCD+0nJgIONlH4cmBOUqI8GO7Iplsu4&#10;CclYrtYlGu7Usz/1MMMRqqaBkul4HabtOVgnux4zTTNg4Aq72Mqka2z3xGrmjcOb5J4XLW7HqZ2i&#10;fv9cd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GSJ2tQAAAAFAQAADwAAAAAAAAABACAAAAAi&#10;AAAAZHJzL2Rvd25yZXYueG1sUEsBAhQAFAAAAAgAh07iQBW1D5BHAgAApAQAAA4AAAAAAAAAAQAg&#10;AAAAIwEAAGRycy9lMm9Eb2MueG1sUEsFBgAAAAAGAAYAWQEAANwFAAAAAA==&#10;">
                        <v:fill on="t" focussize="0,0"/>
                        <v:stroke color="#000000" miterlimit="8" joinstyle="miter"/>
                        <v:imagedata o:title=""/>
                        <o:lock v:ext="edit" aspectratio="f"/>
                        <v:textbox>
                          <w:txbxContent>
                            <w:p>
                              <w:pPr>
                                <w:jc w:val="center"/>
                                <w:rPr>
                                  <w:rFonts w:ascii="宋体" w:hAnsi="宋体"/>
                                </w:rPr>
                              </w:pPr>
                              <w:r>
                                <w:rPr>
                                  <w:rFonts w:hint="eastAsia" w:ascii="宋体" w:hAnsi="宋体"/>
                                </w:rPr>
                                <w:t>室内装修</w:t>
                              </w:r>
                            </w:p>
                          </w:txbxContent>
                        </v:textbox>
                      </v:shape>
                      <v:shape id="AutoShape 113" o:spid="_x0000_s1026" o:spt="32" type="#_x0000_t32" style="position:absolute;left:843120;top:800735;height:635;width:504190;" filled="f" stroked="t" coordsize="21600,21600" o:gfxdata="UEsDBAoAAAAAAIdO4kAAAAAAAAAAAAAAAAAEAAAAZHJzL1BLAwQUAAAACACHTuJA0wgaMtQAAAAF&#10;AQAADwAAAGRycy9kb3ducmV2LnhtbE2PzUrEQBCE74LvMLTgRdyZ5LDEmMkeBAXBi1kXPPZmxiSY&#10;6QmZzv749LZe9FLQVFH1dbU5hVEd/JyGSBaylQHlqY1uoM7C2/bxtgCVGMnhGMlbOPsEm/ryosLS&#10;xSO9+kPDnZISSiVa6JmnUuvU9j5gWsXJk3gfcQ7Ics6ddjMepTyMOjdmrQMOJAs9Tv6h9+1nswQL&#10;bGjbDMv7Mz+d777MSz4avNlZe32VmXtQ7E/8F4YffEGHWpj2cSGX1GhBHuFfFa8wWQ5qL6F1kYGu&#10;K/2fvv4GUEsDBBQAAAAIAIdO4kAiQsJ4CQIAAAEEAAAOAAAAZHJzL2Uyb0RvYy54bWytU01v2zAM&#10;vQ/YfxB0X2znq5kRpxiSdZduDdDuByiSbAuTREFS4uTfj5LTrusuPcwHgTLJR75Han17NpqcpA8K&#10;bEOrSUmJtByEsl1Dfz7dfVpREiKzgmmwsqEXGejt5uOH9eBqOYUetJCeIIgN9eAa2sfo6qIIvJeG&#10;hQk4adHZgjcs4tV3hfBsQHSji2lZLosBvHAeuAwB/+5GJ70i+vcAQtsqLnfAj0baOKJ6qVlESqFX&#10;LtBN7rZtJY8PbRtkJLqhyDTmE4ugfUhnsVmzuvPM9YpfW2DvaeENJ8OUxaIvUDsWGTl69Q+UUdxD&#10;gDZOOJhiJJIVQRZV+Uabx545mbmg1MG9iB7+Hyz/cdp7ogRuQjVf3MxWs3JJiWUGJ//lGCG3QKpq&#10;lpQaXKgxYWv3PnHlZ/vo7oH/CsTCtme2kzn86eIwu0oZxV8p6RIc1jsM30FgDMMKWbZz602CREHI&#10;uaGr+aya4oguaJblzWwxzkmeI+HoXpTz6jO6OfqXo7Ng9TOG8yF+k2BIMhoaomeq6+MWrMV1AF/l&#10;iux0H2LqkNXPCakBC3dK67wV2pIh46dKxqFEwXY5N4BWIsWljOC7w1Z7cmJpxfKXmaPndZiHoxUZ&#10;NzKlv1pBYpYpeoXCaUlTMSMFJVriu0zW2J22VxmTcuMMDiAue5/cSVHcjEzjusVp9V7fc9Sfl7v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MIGjLUAAAABQEAAA8AAAAAAAAAAQAgAAAAIgAAAGRy&#10;cy9kb3ducmV2LnhtbFBLAQIUABQAAAAIAIdO4kAiQsJ4CQIAAAEEAAAOAAAAAAAAAAEAIAAAACMB&#10;AABkcnMvZTJvRG9jLnhtbFBLBQYAAAAABgAGAFkBAACeBQAAAAA=&#10;">
                        <v:fill on="f" focussize="0,0"/>
                        <v:stroke weight="0.5pt" color="#000000" joinstyle="round" endarrow="block"/>
                        <v:imagedata o:title=""/>
                        <o:lock v:ext="edit" aspectratio="f"/>
                      </v:shape>
                      <v:shape id="Text Box 121" o:spid="_x0000_s1026" o:spt="202" type="#_x0000_t202" style="position:absolute;left:20160;top:38100;height:288290;width:2061845;" fillcolor="#FFFFFF" filled="t" stroked="t" coordsize="21600,21600" o:gfxdata="UEsDBAoAAAAAAIdO4kAAAAAAAAAAAAAAAAAEAAAAZHJzL1BLAwQUAAAACACHTuJAJD8kMdQAAAAF&#10;AQAADwAAAGRycy9kb3ducmV2LnhtbE2PS0/DMBCE70j8B2uRuFE7kWijEKcHnrdKpD1w3MSbh4jt&#10;KHaT8u9ZuMBlpNWMZr4t9hc7ioXmMHinIdkoEOQabwbXaTgdX+4yECGiMzh6Rxq+KMC+vL4qMDd+&#10;de+0VLETXOJCjhr6GKdcytD0ZDFs/ESOvdbPFiOfcyfNjCuX21GmSm2lxcHxQo8TPfbUfFZnq+Hw&#10;FrJ697x8vFYn/3RYdy3ep63WtzeJegAR6RL/wvCDz+hQMlPtz84EMWrgR+KvspepJAVRc2ibJSDL&#10;Qv6nL78BUEsDBBQAAAAIAIdO4kCXsJeUUgIAALwEAAAOAAAAZHJzL2Uyb0RvYy54bWytVNtu2zAM&#10;fR+wfxD0vvjSNEuDOEXXoMOA7gK0+wBFlm1hkqhJSuzu60dJaZd1G9CH+cGQTPLw8JD0+nLSihyE&#10;8xJMQ6tZSYkwHFpp+oZ+vb95s6TEB2ZapsCIhj4ITy83r1+tR7sSNQygWuEIghi/Gm1DhxDsqig8&#10;H4RmfgZWGDR24DQLeHV90To2IrpWRV2Wi2IE11oHXHiPX7fZSI+I7iWA0HWSiy3wvRYmZFQnFAtY&#10;kh+k9XST2Had4OFz13kRiGooVhrSG5PgeRffxWbNVr1jdpD8SIG9hMKzmjSTBpM+QW1ZYGTv5B9Q&#10;WnIHHrow46CLXEhSBKuoymfa3A3MilQLSu3tk+j+/8HyT4cvjsgWJ+FtXZ4tq7PFnBLDNHb+XkyB&#10;vIOJVHUVhRqtX6H/ncWIMKEBg1LR3t4C/+aJgeuBmV5cOQfjIFiLRFNkcRKacXwE2Y0focVEbB8g&#10;AU2d01FF1IUgOkqywEY9NBSJlcdmRVI8GRfVcn5OCUd7vVzWF8mhYKtHFOt8eC9Ak3hoqMNhSFnY&#10;4dYHrAddH11iUg9KtjdSqXRx/e5aOXJgODg36YkSYMhvbsqQsaEX53XkoS3K6E2fNfknWpmev6FF&#10;Nlvmh5y1xVOeTy0DrpySuqHL02BlkFGUNqqZdQ3Tbjq2agftA4rsIA89rjweBnA/KBlx4JHq9z1z&#10;ghL1wWCjLqr5PG5IuszPcRoocaeW3amFGY5QDQ2U5ON1yFu1t072A2bKo2HgCpvbyaR3pJpZHXnj&#10;UCdNjwsYt+b0nrx+/XQ2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kPyQx1AAAAAUBAAAPAAAA&#10;AAAAAAEAIAAAACIAAABkcnMvZG93bnJldi54bWxQSwECFAAUAAAACACHTuJAl7CXlFICAAC8BAAA&#10;DgAAAAAAAAABACAAAAAjAQAAZHJzL2Uyb0RvYy54bWxQSwUGAAAAAAYABgBZAQAA5wUAAAAA&#10;">
                        <v:fill on="t" focussize="0,0"/>
                        <v:stroke color="#000000" miterlimit="8" joinstyle="miter" dashstyle="dash"/>
                        <v:imagedata o:title=""/>
                        <o:lock v:ext="edit" aspectratio="f"/>
                        <v:textbox>
                          <w:txbxContent>
                            <w:p>
                              <w:pPr>
                                <w:rPr>
                                  <w:rFonts w:ascii="宋体" w:hAnsi="宋体"/>
                                </w:rPr>
                              </w:pPr>
                              <w:r>
                                <w:rPr>
                                  <w:rFonts w:hint="eastAsia" w:ascii="宋体" w:hAnsi="宋体"/>
                                </w:rPr>
                                <w:t>施工扬尘、生活污水</w:t>
                              </w:r>
                              <w:r>
                                <w:rPr>
                                  <w:rFonts w:ascii="宋体" w:hAnsi="宋体"/>
                                </w:rPr>
                                <w:t>固废、噪声</w:t>
                              </w:r>
                            </w:p>
                          </w:txbxContent>
                        </v:textbox>
                      </v:shape>
                      <v:shape id="AutoShape 122" o:spid="_x0000_s1026" o:spt="32" type="#_x0000_t32" style="position:absolute;left:451960;top:313055;flip:y;height:360045;width:635;" filled="f" stroked="t" coordsize="21600,21600" o:gfxdata="UEsDBAoAAAAAAIdO4kAAAAAAAAAAAAAAAAAEAAAAZHJzL1BLAwQUAAAACACHTuJAoAhjvtUAAAAF&#10;AQAADwAAAGRycy9kb3ducmV2LnhtbE2PwU7DMBBE70j8g7VIXBC1E4kqCnF6KBROqCKUuxtvk6jx&#10;OordNvl7Fi70MtJqRjNvi9XkenHGMXSeNCQLBQKp9rajRsPua/OYgQjRkDW9J9QwY4BVeXtTmNz6&#10;C33iuYqN4BIKudHQxjjkUoa6RWfCwg9I7B386Ezkc2ykHc2Fy10vU6WW0pmOeKE1A65brI/VyWl4&#10;qbZPm++H3ZTO9ftH9ZYdtzS/an1/l6hnEBGn+B+GX3xGh5KZ9v5ENoheAz8S/5S9TCUpiD2HllkC&#10;sizkNX35A1BLAwQUAAAACACHTuJAKwMK1xICAAAKBAAADgAAAGRycy9lMm9Eb2MueG1srVNNb9sw&#10;DL0P2H8QdF/8kcRLjTjFkKy7dGuAdrsrsmwLk0RBUuLk34+Sg7brLj3MB0E0yUe+R2p9e9aKnITz&#10;EkxDi1lOiTAcWmn6hv58uvu0osQHZlqmwIiGXoSnt5uPH9ajrUUJA6hWOIIgxtejbegQgq2zzPNB&#10;aOZnYIVBZwdOs4Cm67PWsRHRtcrKPK+yEVxrHXDhPf7dTU56RXTvAYSuk1zsgB+1MGFCdUKxgJT8&#10;IK2nm9Rt1wkeHrrOi0BUQ5FpSCcWwfshntlmzereMTtIfm2BvaeFN5w0kwaLPkPtWGDk6OQ/UFpy&#10;Bx66MOOgs4lIUgRZFPkbbR4HZkXiglJ7+yy6/3+w/Mdp74hsG1oV5WqxrFafKTFM4+C/HAOkDkhR&#10;llGo0foa47dm7yJVfjaP9h74b08MbAdmepHCny4Ws4uYkf2VEg1vsdxh/A4txjCskFQ7d06TTkn7&#10;KyZGcFSGnBu6WBY3Fc7q0tB5Mc+Xy2lg4hwIR3c1X1LCo7PK80VyZqyOaBHDOh++CdAkXhrqg2Oy&#10;H8IWjMG9ADdVYqd7H2KvLwkx2cCdVCqthzJkbOjNsozFtEWtvOlTlx6UbGNczPCuP2yVIycWdy19&#10;SQP0vA5zcDRtwg1Mqq+mJSEJFpxECZWgsZgWLSVK4AONt6k7Za6CRg2naRygvexddEdtcUUSjes6&#10;xx18baeolye8+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gCGO+1QAAAAUBAAAPAAAAAAAAAAEA&#10;IAAAACIAAABkcnMvZG93bnJldi54bWxQSwECFAAUAAAACACHTuJAKwMK1xICAAAKBAAADgAAAAAA&#10;AAABACAAAAAkAQAAZHJzL2Uyb0RvYy54bWxQSwUGAAAAAAYABgBZAQAAqAUAAAAA&#10;">
                        <v:fill on="f" focussize="0,0"/>
                        <v:stroke color="#000000" joinstyle="round" endarrow="block"/>
                        <v:imagedata o:title=""/>
                        <o:lock v:ext="edit" aspectratio="f"/>
                      </v:shape>
                      <w10:wrap type="none"/>
                      <w10:anchorlock/>
                    </v:group>
                  </w:pict>
                </mc:Fallback>
              </mc:AlternateContent>
            </w:r>
          </w:p>
          <w:p>
            <w:pPr>
              <w:widowControl/>
              <w:spacing w:line="360" w:lineRule="auto"/>
              <w:ind w:firstLine="419" w:firstLineChars="174"/>
              <w:jc w:val="center"/>
              <w:rPr>
                <w:rFonts w:ascii="Times New Roman" w:hAnsi="Times New Roman" w:eastAsia="宋体" w:cs="Times New Roman"/>
                <w:b/>
                <w:snapToGrid w:val="0"/>
                <w:kern w:val="0"/>
                <w:sz w:val="24"/>
                <w:szCs w:val="24"/>
              </w:rPr>
            </w:pPr>
            <w:r>
              <w:rPr>
                <w:rFonts w:ascii="Times New Roman" w:hAnsi="Times New Roman" w:eastAsia="宋体" w:cs="Times New Roman"/>
                <w:b/>
                <w:snapToGrid w:val="0"/>
                <w:kern w:val="0"/>
                <w:sz w:val="24"/>
                <w:szCs w:val="24"/>
              </w:rPr>
              <w:t>图2-2  施工期工艺流程及产污图</w:t>
            </w:r>
          </w:p>
          <w:p>
            <w:pPr>
              <w:pStyle w:val="36"/>
            </w:pPr>
            <w:r>
              <w:rPr>
                <w:rFonts w:hint="eastAsia"/>
              </w:rPr>
              <w:t>二、运营期</w:t>
            </w:r>
          </w:p>
          <w:p>
            <w:pPr>
              <w:pStyle w:val="36"/>
              <w:ind w:firstLine="480"/>
            </w:pPr>
            <w:r>
              <w:rPr>
                <w:rFonts w:hint="eastAsia"/>
                <w:b w:val="0"/>
                <w:bCs/>
                <w:lang w:val="en-GB"/>
              </w:rPr>
              <w:t>工艺流程及主要产污环节详见</w:t>
            </w:r>
            <w:r>
              <w:rPr>
                <w:rFonts w:hint="eastAsia"/>
                <w:b w:val="0"/>
                <w:bCs/>
              </w:rPr>
              <w:t>图2</w:t>
            </w:r>
            <w:r>
              <w:rPr>
                <w:b w:val="0"/>
                <w:bCs/>
              </w:rPr>
              <w:t>-2</w:t>
            </w:r>
            <w:r>
              <w:rPr>
                <w:rFonts w:hint="eastAsia"/>
                <w:b w:val="0"/>
                <w:bCs/>
              </w:rPr>
              <w:t>。</w:t>
            </w:r>
          </w:p>
          <w:p>
            <w:pPr>
              <w:rPr>
                <w:rFonts w:ascii="Times New Roman" w:hAnsi="Times New Roman" w:eastAsia="宋体"/>
              </w:rPr>
            </w:pPr>
            <w:r>
              <w:rPr>
                <w:rFonts w:ascii="Times New Roman" w:hAnsi="Times New Roman" w:eastAsia="宋体"/>
              </w:rPr>
              <mc:AlternateContent>
                <mc:Choice Requires="wpc">
                  <w:drawing>
                    <wp:inline distT="0" distB="0" distL="0" distR="0">
                      <wp:extent cx="4902835" cy="4695825"/>
                      <wp:effectExtent l="0" t="0" r="0" b="0"/>
                      <wp:docPr id="231790258" name="画布 1"/>
                      <wp:cNvGraphicFramePr/>
                      <a:graphic xmlns:a="http://schemas.openxmlformats.org/drawingml/2006/main">
                        <a:graphicData uri="http://schemas.microsoft.com/office/word/2010/wordprocessingCanvas">
                          <wpc:wpc>
                            <wpc:bg>
                              <a:noFill/>
                            </wpc:bg>
                            <wpc:whole>
                              <a:ln>
                                <a:noFill/>
                              </a:ln>
                            </wpc:whole>
                            <wps:wsp>
                              <wps:cNvPr id="188422074" name="矩形 4"/>
                              <wps:cNvSpPr>
                                <a:spLocks noChangeArrowheads="1"/>
                              </wps:cNvSpPr>
                              <wps:spPr bwMode="auto">
                                <a:xfrm>
                                  <a:off x="1142365" y="645158"/>
                                  <a:ext cx="892810" cy="290195"/>
                                </a:xfrm>
                                <a:prstGeom prst="rect">
                                  <a:avLst/>
                                </a:prstGeom>
                                <a:noFill/>
                                <a:ln w="9525">
                                  <a:solidFill>
                                    <a:srgbClr val="000000"/>
                                  </a:solidFill>
                                  <a:miter lim="800000"/>
                                </a:ln>
                                <a:effectLst/>
                              </wps:spPr>
                              <wps:txbx>
                                <w:txbxContent>
                                  <w:p>
                                    <w:pPr>
                                      <w:jc w:val="center"/>
                                    </w:pPr>
                                    <w:r>
                                      <w:rPr>
                                        <w:rFonts w:hint="eastAsia"/>
                                      </w:rPr>
                                      <w:t>机加</w:t>
                                    </w:r>
                                  </w:p>
                                </w:txbxContent>
                              </wps:txbx>
                              <wps:bodyPr rot="0" vert="horz" wrap="square" lIns="91440" tIns="45720" rIns="91440" bIns="45720" anchor="t" anchorCtr="0" upright="1">
                                <a:noAutofit/>
                              </wps:bodyPr>
                            </wps:wsp>
                            <wps:wsp>
                              <wps:cNvPr id="412592078" name="直线 11"/>
                              <wps:cNvCnPr>
                                <a:cxnSpLocks noChangeShapeType="1"/>
                              </wps:cNvCnPr>
                              <wps:spPr bwMode="auto">
                                <a:xfrm>
                                  <a:off x="1596390" y="942973"/>
                                  <a:ext cx="635" cy="316865"/>
                                </a:xfrm>
                                <a:prstGeom prst="line">
                                  <a:avLst/>
                                </a:prstGeom>
                                <a:noFill/>
                                <a:ln w="9525">
                                  <a:solidFill>
                                    <a:srgbClr val="000000"/>
                                  </a:solidFill>
                                  <a:round/>
                                  <a:tailEnd type="triangle" w="med" len="lg"/>
                                </a:ln>
                                <a:effectLst/>
                              </wps:spPr>
                              <wps:bodyPr/>
                            </wps:wsp>
                            <wps:wsp>
                              <wps:cNvPr id="815643163" name="矩形 14"/>
                              <wps:cNvSpPr>
                                <a:spLocks noChangeArrowheads="1"/>
                              </wps:cNvSpPr>
                              <wps:spPr bwMode="auto">
                                <a:xfrm>
                                  <a:off x="1161415" y="3123561"/>
                                  <a:ext cx="889000" cy="279400"/>
                                </a:xfrm>
                                <a:prstGeom prst="rect">
                                  <a:avLst/>
                                </a:prstGeom>
                                <a:noFill/>
                                <a:ln w="9525">
                                  <a:solidFill>
                                    <a:srgbClr val="000000"/>
                                  </a:solidFill>
                                  <a:miter lim="800000"/>
                                </a:ln>
                                <a:effectLst/>
                              </wps:spPr>
                              <wps:txbx>
                                <w:txbxContent>
                                  <w:p>
                                    <w:pPr>
                                      <w:jc w:val="center"/>
                                    </w:pPr>
                                    <w:r>
                                      <w:rPr>
                                        <w:rFonts w:hint="eastAsia"/>
                                      </w:rPr>
                                      <w:t>涂装</w:t>
                                    </w:r>
                                  </w:p>
                                </w:txbxContent>
                              </wps:txbx>
                              <wps:bodyPr rot="0" vert="horz" wrap="square" lIns="91440" tIns="45720" rIns="91440" bIns="45720" anchor="t" anchorCtr="0" upright="1">
                                <a:noAutofit/>
                              </wps:bodyPr>
                            </wps:wsp>
                            <wps:wsp>
                              <wps:cNvPr id="1212352381" name="矩形 16"/>
                              <wps:cNvSpPr>
                                <a:spLocks noChangeArrowheads="1"/>
                              </wps:cNvSpPr>
                              <wps:spPr bwMode="auto">
                                <a:xfrm>
                                  <a:off x="1153795" y="3698237"/>
                                  <a:ext cx="889000" cy="279400"/>
                                </a:xfrm>
                                <a:prstGeom prst="rect">
                                  <a:avLst/>
                                </a:prstGeom>
                                <a:noFill/>
                                <a:ln w="9525">
                                  <a:solidFill>
                                    <a:srgbClr val="000000"/>
                                  </a:solidFill>
                                  <a:miter lim="800000"/>
                                </a:ln>
                                <a:effectLst/>
                              </wps:spPr>
                              <wps:txbx>
                                <w:txbxContent>
                                  <w:p>
                                    <w:pPr>
                                      <w:jc w:val="center"/>
                                    </w:pPr>
                                    <w:r>
                                      <w:rPr>
                                        <w:rFonts w:hint="eastAsia"/>
                                      </w:rPr>
                                      <w:t>包装</w:t>
                                    </w:r>
                                  </w:p>
                                </w:txbxContent>
                              </wps:txbx>
                              <wps:bodyPr rot="0" vert="horz" wrap="square" lIns="91440" tIns="45720" rIns="91440" bIns="45720" anchor="t" anchorCtr="0" upright="1">
                                <a:noAutofit/>
                              </wps:bodyPr>
                            </wps:wsp>
                            <wps:wsp>
                              <wps:cNvPr id="1759836818" name="矩形 20"/>
                              <wps:cNvSpPr>
                                <a:spLocks noChangeArrowheads="1"/>
                              </wps:cNvSpPr>
                              <wps:spPr bwMode="auto">
                                <a:xfrm>
                                  <a:off x="1149985" y="4309108"/>
                                  <a:ext cx="889000" cy="279400"/>
                                </a:xfrm>
                                <a:prstGeom prst="rect">
                                  <a:avLst/>
                                </a:prstGeom>
                                <a:noFill/>
                                <a:ln w="9525">
                                  <a:noFill/>
                                  <a:miter lim="800000"/>
                                </a:ln>
                                <a:effectLst/>
                              </wps:spPr>
                              <wps:txbx>
                                <w:txbxContent>
                                  <w:p>
                                    <w:pPr>
                                      <w:jc w:val="center"/>
                                    </w:pPr>
                                    <w:r>
                                      <w:rPr>
                                        <w:rFonts w:hint="eastAsia"/>
                                      </w:rPr>
                                      <w:t>成品</w:t>
                                    </w:r>
                                  </w:p>
                                </w:txbxContent>
                              </wps:txbx>
                              <wps:bodyPr rot="0" vert="horz" wrap="square" lIns="91440" tIns="45720" rIns="91440" bIns="45720" anchor="t" anchorCtr="0" upright="1">
                                <a:noAutofit/>
                              </wps:bodyPr>
                            </wps:wsp>
                            <wps:wsp>
                              <wps:cNvPr id="693594628" name="直线 22"/>
                              <wps:cNvCnPr>
                                <a:cxnSpLocks noChangeShapeType="1"/>
                              </wps:cNvCnPr>
                              <wps:spPr bwMode="auto">
                                <a:xfrm>
                                  <a:off x="2035175" y="784223"/>
                                  <a:ext cx="550545" cy="635"/>
                                </a:xfrm>
                                <a:prstGeom prst="line">
                                  <a:avLst/>
                                </a:prstGeom>
                                <a:noFill/>
                                <a:ln w="9525">
                                  <a:solidFill>
                                    <a:srgbClr val="000000"/>
                                  </a:solidFill>
                                  <a:prstDash val="dash"/>
                                  <a:round/>
                                  <a:tailEnd type="triangle" w="med" len="lg"/>
                                </a:ln>
                                <a:effectLst/>
                              </wps:spPr>
                              <wps:bodyPr/>
                            </wps:wsp>
                            <wps:wsp>
                              <wps:cNvPr id="1634426696" name="矩形 23"/>
                              <wps:cNvSpPr>
                                <a:spLocks noChangeArrowheads="1"/>
                              </wps:cNvSpPr>
                              <wps:spPr bwMode="auto">
                                <a:xfrm>
                                  <a:off x="2570480" y="634363"/>
                                  <a:ext cx="1760219" cy="305435"/>
                                </a:xfrm>
                                <a:prstGeom prst="rect">
                                  <a:avLst/>
                                </a:prstGeom>
                                <a:noFill/>
                                <a:ln w="9525">
                                  <a:solidFill>
                                    <a:srgbClr val="000000"/>
                                  </a:solidFill>
                                  <a:prstDash val="dash"/>
                                  <a:miter lim="800000"/>
                                </a:ln>
                                <a:effectLst/>
                              </wps:spPr>
                              <wps:txbx>
                                <w:txbxContent>
                                  <w:p>
                                    <w:pPr>
                                      <w:jc w:val="center"/>
                                    </w:pPr>
                                    <w:r>
                                      <w:rPr>
                                        <w:rFonts w:hint="eastAsia"/>
                                      </w:rPr>
                                      <w:t>边角料、噪声、废切削液</w:t>
                                    </w:r>
                                  </w:p>
                                </w:txbxContent>
                              </wps:txbx>
                              <wps:bodyPr rot="0" vert="horz" wrap="square" lIns="91440" tIns="45720" rIns="91440" bIns="45720" anchor="t" anchorCtr="0" upright="1">
                                <a:noAutofit/>
                              </wps:bodyPr>
                            </wps:wsp>
                            <wps:wsp>
                              <wps:cNvPr id="231822279" name="直线 30"/>
                              <wps:cNvCnPr>
                                <a:cxnSpLocks noChangeShapeType="1"/>
                              </wps:cNvCnPr>
                              <wps:spPr bwMode="auto">
                                <a:xfrm>
                                  <a:off x="2058035" y="3261991"/>
                                  <a:ext cx="546100" cy="0"/>
                                </a:xfrm>
                                <a:prstGeom prst="line">
                                  <a:avLst/>
                                </a:prstGeom>
                                <a:noFill/>
                                <a:ln w="9525">
                                  <a:solidFill>
                                    <a:srgbClr val="000000"/>
                                  </a:solidFill>
                                  <a:prstDash val="dash"/>
                                  <a:round/>
                                  <a:tailEnd type="triangle" w="med" len="lg"/>
                                </a:ln>
                                <a:effectLst/>
                              </wps:spPr>
                              <wps:bodyPr/>
                            </wps:wsp>
                            <wps:wsp>
                              <wps:cNvPr id="946875517" name="矩形 31"/>
                              <wps:cNvSpPr>
                                <a:spLocks noChangeArrowheads="1"/>
                              </wps:cNvSpPr>
                              <wps:spPr bwMode="auto">
                                <a:xfrm>
                                  <a:off x="2591436" y="3020465"/>
                                  <a:ext cx="1913890" cy="677771"/>
                                </a:xfrm>
                                <a:prstGeom prst="rect">
                                  <a:avLst/>
                                </a:prstGeom>
                                <a:noFill/>
                                <a:ln w="9525">
                                  <a:solidFill>
                                    <a:srgbClr val="000000"/>
                                  </a:solidFill>
                                  <a:prstDash val="dash"/>
                                  <a:miter lim="800000"/>
                                </a:ln>
                                <a:effectLst/>
                              </wps:spPr>
                              <wps:txbx>
                                <w:txbxContent>
                                  <w:p>
                                    <w:pPr>
                                      <w:jc w:val="left"/>
                                    </w:pPr>
                                    <w:r>
                                      <w:rPr>
                                        <w:rFonts w:hint="eastAsia"/>
                                      </w:rPr>
                                      <w:t>VOC</w:t>
                                    </w:r>
                                    <w:r>
                                      <w:rPr>
                                        <w:rFonts w:hint="eastAsia"/>
                                        <w:vertAlign w:val="subscript"/>
                                      </w:rPr>
                                      <w:t>S</w:t>
                                    </w:r>
                                    <w:r>
                                      <w:rPr>
                                        <w:rFonts w:hint="eastAsia"/>
                                      </w:rPr>
                                      <w:t>、二甲苯、漆雾、废涂料桶、废活性炭、废过滤纸盒、废催化剂</w:t>
                                    </w:r>
                                  </w:p>
                                </w:txbxContent>
                              </wps:txbx>
                              <wps:bodyPr rot="0" vert="horz" wrap="square" lIns="91440" tIns="45720" rIns="91440" bIns="45720" anchor="t" anchorCtr="0" upright="1">
                                <a:noAutofit/>
                              </wps:bodyPr>
                            </wps:wsp>
                            <wps:wsp>
                              <wps:cNvPr id="1642564960" name="矩形 39"/>
                              <wps:cNvSpPr>
                                <a:spLocks noChangeArrowheads="1"/>
                              </wps:cNvSpPr>
                              <wps:spPr bwMode="auto">
                                <a:xfrm>
                                  <a:off x="1119505" y="1259836"/>
                                  <a:ext cx="976630" cy="279400"/>
                                </a:xfrm>
                                <a:prstGeom prst="rect">
                                  <a:avLst/>
                                </a:prstGeom>
                                <a:noFill/>
                                <a:ln w="9525">
                                  <a:solidFill>
                                    <a:srgbClr val="000000"/>
                                  </a:solidFill>
                                  <a:miter lim="800000"/>
                                </a:ln>
                                <a:effectLst/>
                              </wps:spPr>
                              <wps:txbx>
                                <w:txbxContent>
                                  <w:p>
                                    <w:pPr>
                                      <w:jc w:val="center"/>
                                    </w:pPr>
                                    <w:r>
                                      <w:rPr>
                                        <w:rFonts w:hint="eastAsia"/>
                                      </w:rPr>
                                      <w:t>喷砂</w:t>
                                    </w:r>
                                    <w:r>
                                      <w:t>/</w:t>
                                    </w:r>
                                    <w:r>
                                      <w:rPr>
                                        <w:rFonts w:hint="eastAsia"/>
                                      </w:rPr>
                                      <w:t>抛丸</w:t>
                                    </w:r>
                                  </w:p>
                                </w:txbxContent>
                              </wps:txbx>
                              <wps:bodyPr rot="0" vert="horz" wrap="square" lIns="91440" tIns="45720" rIns="91440" bIns="45720" anchor="t" anchorCtr="0" upright="1">
                                <a:noAutofit/>
                              </wps:bodyPr>
                            </wps:wsp>
                            <wps:wsp>
                              <wps:cNvPr id="1398925433" name="矩形 40"/>
                              <wps:cNvSpPr>
                                <a:spLocks noChangeArrowheads="1"/>
                              </wps:cNvSpPr>
                              <wps:spPr bwMode="auto">
                                <a:xfrm>
                                  <a:off x="1275080" y="1875788"/>
                                  <a:ext cx="692150" cy="279400"/>
                                </a:xfrm>
                                <a:prstGeom prst="rect">
                                  <a:avLst/>
                                </a:prstGeom>
                                <a:noFill/>
                                <a:ln w="9525">
                                  <a:solidFill>
                                    <a:srgbClr val="000000"/>
                                  </a:solidFill>
                                  <a:miter lim="800000"/>
                                </a:ln>
                                <a:effectLst/>
                              </wps:spPr>
                              <wps:txbx>
                                <w:txbxContent>
                                  <w:p>
                                    <w:pPr>
                                      <w:jc w:val="center"/>
                                    </w:pPr>
                                    <w:r>
                                      <w:rPr>
                                        <w:rFonts w:hint="eastAsia"/>
                                      </w:rPr>
                                      <w:t>打磨</w:t>
                                    </w:r>
                                  </w:p>
                                </w:txbxContent>
                              </wps:txbx>
                              <wps:bodyPr rot="0" vert="horz" wrap="square" lIns="91440" tIns="45720" rIns="91440" bIns="45720" anchor="t" anchorCtr="0" upright="1">
                                <a:noAutofit/>
                              </wps:bodyPr>
                            </wps:wsp>
                            <wps:wsp>
                              <wps:cNvPr id="992452926" name="直线 44"/>
                              <wps:cNvCnPr>
                                <a:cxnSpLocks noChangeShapeType="1"/>
                              </wps:cNvCnPr>
                              <wps:spPr bwMode="auto">
                                <a:xfrm>
                                  <a:off x="2100580" y="1390013"/>
                                  <a:ext cx="546100" cy="0"/>
                                </a:xfrm>
                                <a:prstGeom prst="line">
                                  <a:avLst/>
                                </a:prstGeom>
                                <a:noFill/>
                                <a:ln w="9525">
                                  <a:solidFill>
                                    <a:srgbClr val="000000"/>
                                  </a:solidFill>
                                  <a:prstDash val="dash"/>
                                  <a:round/>
                                  <a:tailEnd type="triangle" w="med" len="lg"/>
                                </a:ln>
                                <a:effectLst/>
                              </wps:spPr>
                              <wps:bodyPr/>
                            </wps:wsp>
                            <wps:wsp>
                              <wps:cNvPr id="1705781170" name="矩形 45"/>
                              <wps:cNvSpPr>
                                <a:spLocks noChangeArrowheads="1"/>
                              </wps:cNvSpPr>
                              <wps:spPr bwMode="auto">
                                <a:xfrm>
                                  <a:off x="2633980" y="1237415"/>
                                  <a:ext cx="1517650" cy="304800"/>
                                </a:xfrm>
                                <a:prstGeom prst="rect">
                                  <a:avLst/>
                                </a:prstGeom>
                                <a:noFill/>
                                <a:ln w="9525">
                                  <a:solidFill>
                                    <a:srgbClr val="000000"/>
                                  </a:solidFill>
                                  <a:prstDash val="dash"/>
                                  <a:miter lim="800000"/>
                                </a:ln>
                                <a:effectLst/>
                              </wps:spPr>
                              <wps:txbx>
                                <w:txbxContent>
                                  <w:p>
                                    <w:pPr>
                                      <w:jc w:val="center"/>
                                    </w:pPr>
                                    <w:r>
                                      <w:rPr>
                                        <w:rFonts w:hint="eastAsia"/>
                                      </w:rPr>
                                      <w:t>噪声、粉尘、固废</w:t>
                                    </w:r>
                                  </w:p>
                                </w:txbxContent>
                              </wps:txbx>
                              <wps:bodyPr rot="0" vert="horz" wrap="square" lIns="91440" tIns="45720" rIns="91440" bIns="45720" anchor="t" anchorCtr="0" upright="1">
                                <a:noAutofit/>
                              </wps:bodyPr>
                            </wps:wsp>
                            <wps:wsp>
                              <wps:cNvPr id="124049526" name="直线 46"/>
                              <wps:cNvCnPr>
                                <a:cxnSpLocks noChangeShapeType="1"/>
                              </wps:cNvCnPr>
                              <wps:spPr bwMode="auto">
                                <a:xfrm>
                                  <a:off x="1602105" y="1533523"/>
                                  <a:ext cx="635" cy="342265"/>
                                </a:xfrm>
                                <a:prstGeom prst="line">
                                  <a:avLst/>
                                </a:prstGeom>
                                <a:noFill/>
                                <a:ln w="9525">
                                  <a:solidFill>
                                    <a:srgbClr val="000000"/>
                                  </a:solidFill>
                                  <a:round/>
                                  <a:tailEnd type="triangle" w="med" len="lg"/>
                                </a:ln>
                                <a:effectLst/>
                              </wps:spPr>
                              <wps:bodyPr/>
                            </wps:wsp>
                            <wps:wsp>
                              <wps:cNvPr id="470432669" name="直线 50"/>
                              <wps:cNvCnPr>
                                <a:cxnSpLocks noChangeShapeType="1"/>
                              </wps:cNvCnPr>
                              <wps:spPr bwMode="auto">
                                <a:xfrm>
                                  <a:off x="1967230" y="2006595"/>
                                  <a:ext cx="546100" cy="0"/>
                                </a:xfrm>
                                <a:prstGeom prst="line">
                                  <a:avLst/>
                                </a:prstGeom>
                                <a:noFill/>
                                <a:ln w="9525">
                                  <a:solidFill>
                                    <a:srgbClr val="000000"/>
                                  </a:solidFill>
                                  <a:prstDash val="dash"/>
                                  <a:round/>
                                  <a:tailEnd type="triangle" w="med" len="lg"/>
                                </a:ln>
                                <a:effectLst/>
                              </wps:spPr>
                              <wps:bodyPr/>
                            </wps:wsp>
                            <wps:wsp>
                              <wps:cNvPr id="582207007" name="矩形 51"/>
                              <wps:cNvSpPr>
                                <a:spLocks noChangeArrowheads="1"/>
                              </wps:cNvSpPr>
                              <wps:spPr bwMode="auto">
                                <a:xfrm>
                                  <a:off x="2500630" y="1873246"/>
                                  <a:ext cx="1651000" cy="327028"/>
                                </a:xfrm>
                                <a:prstGeom prst="rect">
                                  <a:avLst/>
                                </a:prstGeom>
                                <a:noFill/>
                                <a:ln w="9525">
                                  <a:solidFill>
                                    <a:srgbClr val="000000"/>
                                  </a:solidFill>
                                  <a:prstDash val="dash"/>
                                  <a:miter lim="800000"/>
                                </a:ln>
                                <a:effectLst/>
                              </wps:spPr>
                              <wps:txbx>
                                <w:txbxContent>
                                  <w:p>
                                    <w:pPr>
                                      <w:jc w:val="left"/>
                                    </w:pPr>
                                    <w:r>
                                      <w:rPr>
                                        <w:rFonts w:hint="eastAsia"/>
                                      </w:rPr>
                                      <w:t>噪声、粉尘、废砂纸</w:t>
                                    </w:r>
                                  </w:p>
                                </w:txbxContent>
                              </wps:txbx>
                              <wps:bodyPr rot="0" vert="horz" wrap="square" lIns="91440" tIns="45720" rIns="91440" bIns="45720" anchor="t" anchorCtr="0" upright="1">
                                <a:noAutofit/>
                              </wps:bodyPr>
                            </wps:wsp>
                            <wps:wsp>
                              <wps:cNvPr id="47887969" name="直线 53"/>
                              <wps:cNvCnPr>
                                <a:cxnSpLocks noChangeShapeType="1"/>
                              </wps:cNvCnPr>
                              <wps:spPr bwMode="auto">
                                <a:xfrm>
                                  <a:off x="1604645" y="3407407"/>
                                  <a:ext cx="0" cy="304800"/>
                                </a:xfrm>
                                <a:prstGeom prst="line">
                                  <a:avLst/>
                                </a:prstGeom>
                                <a:noFill/>
                                <a:ln w="9525">
                                  <a:solidFill>
                                    <a:srgbClr val="000000"/>
                                  </a:solidFill>
                                  <a:round/>
                                  <a:tailEnd type="triangle" w="med" len="lg"/>
                                </a:ln>
                                <a:effectLst/>
                              </wps:spPr>
                              <wps:bodyPr/>
                            </wps:wsp>
                            <wps:wsp>
                              <wps:cNvPr id="769941059" name="直线 57"/>
                              <wps:cNvCnPr>
                                <a:cxnSpLocks noChangeShapeType="1"/>
                              </wps:cNvCnPr>
                              <wps:spPr bwMode="auto">
                                <a:xfrm>
                                  <a:off x="1610995" y="3980812"/>
                                  <a:ext cx="0" cy="304800"/>
                                </a:xfrm>
                                <a:prstGeom prst="line">
                                  <a:avLst/>
                                </a:prstGeom>
                                <a:noFill/>
                                <a:ln w="9525">
                                  <a:solidFill>
                                    <a:srgbClr val="000000"/>
                                  </a:solidFill>
                                  <a:round/>
                                  <a:tailEnd type="triangle" w="med" len="lg"/>
                                </a:ln>
                                <a:effectLst/>
                              </wps:spPr>
                              <wps:bodyPr/>
                            </wps:wsp>
                            <wps:wsp>
                              <wps:cNvPr id="1097289562" name="直线 810"/>
                              <wps:cNvCnPr>
                                <a:cxnSpLocks noChangeShapeType="1"/>
                              </wps:cNvCnPr>
                              <wps:spPr bwMode="auto">
                                <a:xfrm>
                                  <a:off x="768985" y="3256275"/>
                                  <a:ext cx="404495" cy="635"/>
                                </a:xfrm>
                                <a:prstGeom prst="line">
                                  <a:avLst/>
                                </a:prstGeom>
                                <a:noFill/>
                                <a:ln w="9525">
                                  <a:solidFill>
                                    <a:srgbClr val="000000"/>
                                  </a:solidFill>
                                  <a:round/>
                                  <a:headEnd type="none" w="med" len="lg"/>
                                  <a:tailEnd type="triangle" w="med" len="lg"/>
                                </a:ln>
                              </wps:spPr>
                              <wps:bodyPr/>
                            </wps:wsp>
                            <wps:wsp>
                              <wps:cNvPr id="480666985" name="直线 46"/>
                              <wps:cNvCnPr>
                                <a:cxnSpLocks noChangeShapeType="1"/>
                              </wps:cNvCnPr>
                              <wps:spPr bwMode="auto">
                                <a:xfrm>
                                  <a:off x="1602105" y="2155188"/>
                                  <a:ext cx="635" cy="342265"/>
                                </a:xfrm>
                                <a:prstGeom prst="line">
                                  <a:avLst/>
                                </a:prstGeom>
                                <a:noFill/>
                                <a:ln w="9525">
                                  <a:solidFill>
                                    <a:srgbClr val="000000"/>
                                  </a:solidFill>
                                  <a:round/>
                                  <a:tailEnd type="triangle" w="med" len="lg"/>
                                </a:ln>
                                <a:effectLst/>
                              </wps:spPr>
                              <wps:bodyPr/>
                            </wps:wsp>
                            <wps:wsp>
                              <wps:cNvPr id="1588907300" name="直线 11"/>
                              <wps:cNvCnPr>
                                <a:cxnSpLocks noChangeShapeType="1"/>
                              </wps:cNvCnPr>
                              <wps:spPr bwMode="auto">
                                <a:xfrm>
                                  <a:off x="1596390" y="342898"/>
                                  <a:ext cx="635" cy="316865"/>
                                </a:xfrm>
                                <a:prstGeom prst="line">
                                  <a:avLst/>
                                </a:prstGeom>
                                <a:noFill/>
                                <a:ln w="9525">
                                  <a:solidFill>
                                    <a:srgbClr val="000000"/>
                                  </a:solidFill>
                                  <a:round/>
                                  <a:tailEnd type="triangle" w="med" len="lg"/>
                                </a:ln>
                                <a:effectLst/>
                              </wps:spPr>
                              <wps:bodyPr/>
                            </wps:wsp>
                            <wps:wsp>
                              <wps:cNvPr id="25272559" name="矩形 20"/>
                              <wps:cNvSpPr>
                                <a:spLocks noChangeArrowheads="1"/>
                              </wps:cNvSpPr>
                              <wps:spPr bwMode="auto">
                                <a:xfrm>
                                  <a:off x="475614" y="76355"/>
                                  <a:ext cx="2229486" cy="279400"/>
                                </a:xfrm>
                                <a:prstGeom prst="rect">
                                  <a:avLst/>
                                </a:prstGeom>
                                <a:noFill/>
                                <a:ln w="9525">
                                  <a:noFill/>
                                  <a:miter lim="800000"/>
                                </a:ln>
                                <a:effectLst/>
                              </wps:spPr>
                              <wps:txbx>
                                <w:txbxContent>
                                  <w:p>
                                    <w:pPr>
                                      <w:jc w:val="center"/>
                                    </w:pPr>
                                    <w:r>
                                      <w:rPr>
                                        <w:rFonts w:hint="eastAsia" w:ascii="Times New Roman" w:hAnsi="Times New Roman" w:eastAsia="宋体" w:cs="Times New Roman"/>
                                        <w:kern w:val="0"/>
                                      </w:rPr>
                                      <w:t>7</w:t>
                                    </w:r>
                                    <w:r>
                                      <w:rPr>
                                        <w:rFonts w:ascii="Times New Roman" w:hAnsi="Times New Roman" w:eastAsia="宋体" w:cs="Times New Roman"/>
                                        <w:kern w:val="0"/>
                                      </w:rPr>
                                      <w:t>A09</w:t>
                                    </w:r>
                                    <w:r>
                                      <w:rPr>
                                        <w:rFonts w:hint="eastAsia" w:ascii="Times New Roman" w:hAnsi="Times New Roman" w:eastAsia="宋体" w:cs="Times New Roman"/>
                                        <w:kern w:val="0"/>
                                      </w:rPr>
                                      <w:t>铝合金</w:t>
                                    </w:r>
                                  </w:p>
                                </w:txbxContent>
                              </wps:txbx>
                              <wps:bodyPr rot="0" vert="horz" wrap="square" lIns="91440" tIns="45720" rIns="91440" bIns="45720" anchor="t" anchorCtr="0" upright="1">
                                <a:noAutofit/>
                              </wps:bodyPr>
                            </wps:wsp>
                            <wps:wsp>
                              <wps:cNvPr id="1295446769" name="矩形 40"/>
                              <wps:cNvSpPr>
                                <a:spLocks noChangeArrowheads="1"/>
                              </wps:cNvSpPr>
                              <wps:spPr bwMode="auto">
                                <a:xfrm>
                                  <a:off x="1275080" y="2494913"/>
                                  <a:ext cx="692150" cy="279400"/>
                                </a:xfrm>
                                <a:prstGeom prst="rect">
                                  <a:avLst/>
                                </a:prstGeom>
                                <a:noFill/>
                                <a:ln w="9525">
                                  <a:solidFill>
                                    <a:srgbClr val="000000"/>
                                  </a:solidFill>
                                  <a:miter lim="800000"/>
                                </a:ln>
                                <a:effectLst/>
                              </wps:spPr>
                              <wps:txbx>
                                <w:txbxContent>
                                  <w:p>
                                    <w:pPr>
                                      <w:jc w:val="center"/>
                                    </w:pPr>
                                    <w:r>
                                      <w:rPr>
                                        <w:rFonts w:hint="eastAsia"/>
                                      </w:rPr>
                                      <w:t>清理</w:t>
                                    </w:r>
                                  </w:p>
                                </w:txbxContent>
                              </wps:txbx>
                              <wps:bodyPr rot="0" vert="horz" wrap="square" lIns="91440" tIns="45720" rIns="91440" bIns="45720" anchor="t" anchorCtr="0" upright="1">
                                <a:noAutofit/>
                              </wps:bodyPr>
                            </wps:wsp>
                            <wps:wsp>
                              <wps:cNvPr id="330726745" name="直线 46"/>
                              <wps:cNvCnPr>
                                <a:cxnSpLocks noChangeShapeType="1"/>
                              </wps:cNvCnPr>
                              <wps:spPr bwMode="auto">
                                <a:xfrm>
                                  <a:off x="1602105" y="2771771"/>
                                  <a:ext cx="635" cy="342265"/>
                                </a:xfrm>
                                <a:prstGeom prst="line">
                                  <a:avLst/>
                                </a:prstGeom>
                                <a:noFill/>
                                <a:ln w="9525">
                                  <a:solidFill>
                                    <a:srgbClr val="000000"/>
                                  </a:solidFill>
                                  <a:round/>
                                  <a:tailEnd type="triangle" w="med" len="lg"/>
                                </a:ln>
                                <a:effectLst/>
                              </wps:spPr>
                              <wps:bodyPr/>
                            </wps:wsp>
                            <wps:wsp>
                              <wps:cNvPr id="247366571" name="直线 50"/>
                              <wps:cNvCnPr>
                                <a:cxnSpLocks noChangeShapeType="1"/>
                              </wps:cNvCnPr>
                              <wps:spPr bwMode="auto">
                                <a:xfrm>
                                  <a:off x="1967230" y="2627699"/>
                                  <a:ext cx="546100" cy="0"/>
                                </a:xfrm>
                                <a:prstGeom prst="line">
                                  <a:avLst/>
                                </a:prstGeom>
                                <a:noFill/>
                                <a:ln w="9525">
                                  <a:solidFill>
                                    <a:srgbClr val="000000"/>
                                  </a:solidFill>
                                  <a:prstDash val="dash"/>
                                  <a:round/>
                                  <a:tailEnd type="triangle" w="med" len="lg"/>
                                </a:ln>
                                <a:effectLst/>
                              </wps:spPr>
                              <wps:bodyPr/>
                            </wps:wsp>
                            <wps:wsp>
                              <wps:cNvPr id="999347847" name="矩形 51"/>
                              <wps:cNvSpPr>
                                <a:spLocks noChangeArrowheads="1"/>
                              </wps:cNvSpPr>
                              <wps:spPr bwMode="auto">
                                <a:xfrm>
                                  <a:off x="2500630" y="2494350"/>
                                  <a:ext cx="2004696" cy="327028"/>
                                </a:xfrm>
                                <a:prstGeom prst="rect">
                                  <a:avLst/>
                                </a:prstGeom>
                                <a:noFill/>
                                <a:ln w="9525">
                                  <a:solidFill>
                                    <a:srgbClr val="000000"/>
                                  </a:solidFill>
                                  <a:prstDash val="dash"/>
                                  <a:miter lim="800000"/>
                                </a:ln>
                                <a:effectLst/>
                              </wps:spPr>
                              <wps:txbx>
                                <w:txbxContent>
                                  <w:p>
                                    <w:pPr>
                                      <w:jc w:val="left"/>
                                    </w:pPr>
                                    <w:r>
                                      <w:rPr>
                                        <w:rFonts w:hint="eastAsia"/>
                                      </w:rPr>
                                      <w:t>V</w:t>
                                    </w:r>
                                    <w:r>
                                      <w:t>OCs</w:t>
                                    </w:r>
                                    <w:r>
                                      <w:rPr>
                                        <w:rFonts w:hint="eastAsia"/>
                                      </w:rPr>
                                      <w:t>、含污废抹布、废手套</w:t>
                                    </w:r>
                                  </w:p>
                                </w:txbxContent>
                              </wps:txbx>
                              <wps:bodyPr rot="0" vert="horz" wrap="square" lIns="91440" tIns="45720" rIns="91440" bIns="45720" anchor="t" anchorCtr="0" upright="1">
                                <a:noAutofit/>
                              </wps:bodyPr>
                            </wps:wsp>
                            <wps:wsp>
                              <wps:cNvPr id="886344001" name="直接箭头连接符 886344001"/>
                              <wps:cNvCnPr>
                                <a:endCxn id="1642564960" idx="1"/>
                              </wps:cNvCnPr>
                              <wps:spPr>
                                <a:xfrm>
                                  <a:off x="768985" y="1390013"/>
                                  <a:ext cx="3505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61138832" name="矩形 20"/>
                              <wps:cNvSpPr>
                                <a:spLocks noChangeArrowheads="1"/>
                              </wps:cNvSpPr>
                              <wps:spPr bwMode="auto">
                                <a:xfrm>
                                  <a:off x="84290" y="1065704"/>
                                  <a:ext cx="768985" cy="619103"/>
                                </a:xfrm>
                                <a:prstGeom prst="rect">
                                  <a:avLst/>
                                </a:prstGeom>
                                <a:noFill/>
                                <a:ln w="9525">
                                  <a:noFill/>
                                  <a:miter lim="800000"/>
                                </a:ln>
                                <a:effectLst/>
                              </wps:spPr>
                              <wps:txbx>
                                <w:txbxContent>
                                  <w:p>
                                    <w:pPr>
                                      <w:adjustRightInd w:val="0"/>
                                      <w:snapToGrid w:val="0"/>
                                      <w:jc w:val="center"/>
                                    </w:pPr>
                                    <w:r>
                                      <w:rPr>
                                        <w:rFonts w:hint="eastAsia" w:ascii="Times New Roman" w:hAnsi="Times New Roman" w:eastAsia="宋体" w:cs="Times New Roman"/>
                                        <w:kern w:val="0"/>
                                      </w:rPr>
                                      <w:t>成品发动机壳体、结构件</w:t>
                                    </w:r>
                                  </w:p>
                                </w:txbxContent>
                              </wps:txbx>
                              <wps:bodyPr rot="0" vert="horz" wrap="square" lIns="91440" tIns="45720" rIns="91440" bIns="45720" anchor="t" anchorCtr="0" upright="1">
                                <a:noAutofit/>
                              </wps:bodyPr>
                            </wps:wsp>
                            <wps:wsp>
                              <wps:cNvPr id="540699825" name="矩形 35"/>
                              <wps:cNvSpPr>
                                <a:spLocks noChangeArrowheads="1"/>
                              </wps:cNvSpPr>
                              <wps:spPr bwMode="auto">
                                <a:xfrm>
                                  <a:off x="12065" y="2821378"/>
                                  <a:ext cx="859790" cy="971260"/>
                                </a:xfrm>
                                <a:prstGeom prst="rect">
                                  <a:avLst/>
                                </a:prstGeom>
                                <a:noFill/>
                                <a:ln>
                                  <a:noFill/>
                                </a:ln>
                                <a:effectLst/>
                              </wps:spPr>
                              <wps:txbx>
                                <w:txbxContent>
                                  <w:p>
                                    <w:pPr>
                                      <w:jc w:val="center"/>
                                    </w:pPr>
                                    <w:r>
                                      <w:rPr>
                                        <w:rFonts w:hint="eastAsia" w:ascii="Times New Roman" w:hAnsi="Times New Roman" w:eastAsia="宋体" w:cs="Times New Roman"/>
                                        <w:kern w:val="0"/>
                                      </w:rPr>
                                      <w:t>防热涂料、油性面漆、油性底漆、水性面漆</w:t>
                                    </w:r>
                                  </w:p>
                                </w:txbxContent>
                              </wps:txbx>
                              <wps:bodyPr rot="0" vert="horz" wrap="square" lIns="91440" tIns="45720" rIns="91440" bIns="45720" anchor="t" anchorCtr="0" upright="1">
                                <a:noAutofit/>
                              </wps:bodyPr>
                            </wps:wsp>
                            <wps:wsp>
                              <wps:cNvPr id="1275126368" name="直线 810"/>
                              <wps:cNvCnPr>
                                <a:cxnSpLocks noChangeShapeType="1"/>
                              </wps:cNvCnPr>
                              <wps:spPr bwMode="auto">
                                <a:xfrm>
                                  <a:off x="870585" y="2035401"/>
                                  <a:ext cx="404495" cy="635"/>
                                </a:xfrm>
                                <a:prstGeom prst="line">
                                  <a:avLst/>
                                </a:prstGeom>
                                <a:noFill/>
                                <a:ln w="9525">
                                  <a:solidFill>
                                    <a:srgbClr val="000000"/>
                                  </a:solidFill>
                                  <a:round/>
                                  <a:headEnd type="none" w="med" len="lg"/>
                                  <a:tailEnd type="triangle" w="med" len="lg"/>
                                </a:ln>
                              </wps:spPr>
                              <wps:bodyPr/>
                            </wps:wsp>
                            <wps:wsp>
                              <wps:cNvPr id="984116358" name="矩形 35"/>
                              <wps:cNvSpPr>
                                <a:spLocks noChangeArrowheads="1"/>
                              </wps:cNvSpPr>
                              <wps:spPr bwMode="auto">
                                <a:xfrm>
                                  <a:off x="286874" y="1899105"/>
                                  <a:ext cx="704927" cy="280319"/>
                                </a:xfrm>
                                <a:prstGeom prst="rect">
                                  <a:avLst/>
                                </a:prstGeom>
                                <a:noFill/>
                                <a:ln>
                                  <a:noFill/>
                                </a:ln>
                                <a:effectLst/>
                              </wps:spPr>
                              <wps:txbx>
                                <w:txbxContent>
                                  <w:p>
                                    <w:pPr>
                                      <w:jc w:val="center"/>
                                    </w:pPr>
                                    <w:r>
                                      <w:rPr>
                                        <w:rFonts w:hint="eastAsia" w:ascii="Times New Roman" w:hAnsi="Times New Roman" w:eastAsia="宋体" w:cs="Times New Roman"/>
                                        <w:kern w:val="0"/>
                                      </w:rPr>
                                      <w:t>砂纸</w:t>
                                    </w:r>
                                  </w:p>
                                </w:txbxContent>
                              </wps:txbx>
                              <wps:bodyPr rot="0" vert="horz" wrap="square" lIns="91440" tIns="45720" rIns="91440" bIns="45720" anchor="t" anchorCtr="0" upright="1">
                                <a:noAutofit/>
                              </wps:bodyPr>
                            </wps:wsp>
                            <wps:wsp>
                              <wps:cNvPr id="768366061" name="直线 810"/>
                              <wps:cNvCnPr>
                                <a:cxnSpLocks noChangeShapeType="1"/>
                              </wps:cNvCnPr>
                              <wps:spPr bwMode="auto">
                                <a:xfrm>
                                  <a:off x="857885" y="2619601"/>
                                  <a:ext cx="404495" cy="635"/>
                                </a:xfrm>
                                <a:prstGeom prst="line">
                                  <a:avLst/>
                                </a:prstGeom>
                                <a:noFill/>
                                <a:ln w="9525">
                                  <a:solidFill>
                                    <a:srgbClr val="000000"/>
                                  </a:solidFill>
                                  <a:round/>
                                  <a:headEnd type="none" w="med" len="lg"/>
                                  <a:tailEnd type="triangle" w="med" len="lg"/>
                                </a:ln>
                              </wps:spPr>
                              <wps:bodyPr/>
                            </wps:wsp>
                            <wps:wsp>
                              <wps:cNvPr id="1244377920" name="矩形 35"/>
                              <wps:cNvSpPr>
                                <a:spLocks noChangeArrowheads="1"/>
                              </wps:cNvSpPr>
                              <wps:spPr bwMode="auto">
                                <a:xfrm>
                                  <a:off x="88901" y="2334569"/>
                                  <a:ext cx="863042" cy="468703"/>
                                </a:xfrm>
                                <a:prstGeom prst="rect">
                                  <a:avLst/>
                                </a:prstGeom>
                                <a:noFill/>
                                <a:ln>
                                  <a:noFill/>
                                </a:ln>
                                <a:effectLst/>
                              </wps:spPr>
                              <wps:txbx>
                                <w:txbxContent>
                                  <w:p>
                                    <w:pPr>
                                      <w:jc w:val="center"/>
                                    </w:pPr>
                                    <w:r>
                                      <w:rPr>
                                        <w:rFonts w:hint="eastAsia" w:ascii="Times New Roman" w:hAnsi="Times New Roman" w:eastAsia="宋体" w:cs="Times New Roman"/>
                                        <w:kern w:val="0"/>
                                      </w:rPr>
                                      <w:t>清洗剂、抹布、手套</w:t>
                                    </w:r>
                                  </w:p>
                                </w:txbxContent>
                              </wps:txbx>
                              <wps:bodyPr rot="0" vert="horz" wrap="square" lIns="91440" tIns="45720" rIns="91440" bIns="45720" anchor="t" anchorCtr="0" upright="1">
                                <a:noAutofit/>
                              </wps:bodyPr>
                            </wps:wsp>
                            <wps:wsp>
                              <wps:cNvPr id="1837424538" name="矩形 35"/>
                              <wps:cNvSpPr>
                                <a:spLocks noChangeArrowheads="1"/>
                              </wps:cNvSpPr>
                              <wps:spPr bwMode="auto">
                                <a:xfrm>
                                  <a:off x="88901" y="1625601"/>
                                  <a:ext cx="1256741" cy="291122"/>
                                </a:xfrm>
                                <a:prstGeom prst="rect">
                                  <a:avLst/>
                                </a:prstGeom>
                                <a:noFill/>
                                <a:ln>
                                  <a:noFill/>
                                </a:ln>
                                <a:effectLst/>
                              </wps:spPr>
                              <wps:txbx>
                                <w:txbxContent>
                                  <w:p>
                                    <w:pPr>
                                      <w:jc w:val="center"/>
                                    </w:pPr>
                                    <w:r>
                                      <w:rPr>
                                        <w:rFonts w:hint="eastAsia" w:ascii="Times New Roman" w:hAnsi="Times New Roman" w:eastAsia="宋体" w:cs="Times New Roman"/>
                                        <w:kern w:val="0"/>
                                      </w:rPr>
                                      <w:t>磨料、金属砂砾</w:t>
                                    </w:r>
                                  </w:p>
                                </w:txbxContent>
                              </wps:txbx>
                              <wps:bodyPr rot="0" vert="horz" wrap="square" lIns="91440" tIns="45720" rIns="91440" bIns="45720" anchor="t" anchorCtr="0" upright="1">
                                <a:noAutofit/>
                              </wps:bodyPr>
                            </wps:wsp>
                            <wps:wsp>
                              <wps:cNvPr id="1661959664" name="直接连接符 1661959664"/>
                              <wps:cNvCnPr/>
                              <wps:spPr>
                                <a:xfrm>
                                  <a:off x="1210429" y="1763016"/>
                                  <a:ext cx="2302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4810804" name="直接箭头连接符 2094810804"/>
                              <wps:cNvCnPr/>
                              <wps:spPr>
                                <a:xfrm flipV="1">
                                  <a:off x="1440673" y="1539236"/>
                                  <a:ext cx="0" cy="223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1741085" name="直线 810"/>
                              <wps:cNvCnPr>
                                <a:cxnSpLocks noChangeShapeType="1"/>
                              </wps:cNvCnPr>
                              <wps:spPr bwMode="auto">
                                <a:xfrm>
                                  <a:off x="768985" y="3900415"/>
                                  <a:ext cx="404495" cy="635"/>
                                </a:xfrm>
                                <a:prstGeom prst="line">
                                  <a:avLst/>
                                </a:prstGeom>
                                <a:noFill/>
                                <a:ln w="9525">
                                  <a:solidFill>
                                    <a:srgbClr val="000000"/>
                                  </a:solidFill>
                                  <a:round/>
                                  <a:headEnd type="none" w="med" len="lg"/>
                                  <a:tailEnd type="triangle" w="med" len="lg"/>
                                </a:ln>
                              </wps:spPr>
                              <wps:bodyPr/>
                            </wps:wsp>
                            <wps:wsp>
                              <wps:cNvPr id="433120936" name="矩形 35"/>
                              <wps:cNvSpPr>
                                <a:spLocks noChangeArrowheads="1"/>
                              </wps:cNvSpPr>
                              <wps:spPr bwMode="auto">
                                <a:xfrm>
                                  <a:off x="166454" y="3710084"/>
                                  <a:ext cx="704927" cy="454797"/>
                                </a:xfrm>
                                <a:prstGeom prst="rect">
                                  <a:avLst/>
                                </a:prstGeom>
                                <a:noFill/>
                                <a:ln>
                                  <a:noFill/>
                                </a:ln>
                                <a:effectLst/>
                              </wps:spPr>
                              <wps:txbx>
                                <w:txbxContent>
                                  <w:p>
                                    <w:pPr>
                                      <w:jc w:val="center"/>
                                    </w:pPr>
                                    <w:r>
                                      <w:rPr>
                                        <w:rFonts w:hint="eastAsia" w:ascii="Times New Roman" w:hAnsi="Times New Roman" w:eastAsia="宋体" w:cs="Times New Roman"/>
                                        <w:kern w:val="0"/>
                                      </w:rPr>
                                      <w:t>胶带、牛皮纸</w:t>
                                    </w:r>
                                  </w:p>
                                </w:txbxContent>
                              </wps:txbx>
                              <wps:bodyPr rot="0" vert="horz" wrap="square" lIns="91440" tIns="45720" rIns="91440" bIns="45720" anchor="t" anchorCtr="0" upright="1">
                                <a:noAutofit/>
                              </wps:bodyPr>
                            </wps:wsp>
                          </wpc:wpc>
                        </a:graphicData>
                      </a:graphic>
                    </wp:inline>
                  </w:drawing>
                </mc:Choice>
                <mc:Fallback>
                  <w:pict>
                    <v:group id="画布 1" o:spid="_x0000_s1026" o:spt="203" style="height:369.75pt;width:386.05pt;" coordsize="4902835,4695825" editas="canvas" o:gfxdata="UEsDBAoAAAAAAIdO4kAAAAAAAAAAAAAAAAAEAAAAZHJzL1BLAwQUAAAACACHTuJAKnoNm9gAAAAF&#10;AQAADwAAAGRycy9kb3ducmV2LnhtbE2PT0vDQBDF74LfYRnBi9hNKrWaZtNDQSwiFNM/5212mgSz&#10;s2l2m9Rv79RLvQxveMN7v0nnZ9uIHjtfO1IQjyIQSIUzNZUKNuu3xxcQPmgyunGECn7Qwzy7vUl1&#10;YtxAX9jnoRQcQj7RCqoQ2kRKX1RotR+5Fom9g+usDrx2pTSdHjjcNnIcRc/S6pq4odItLiosvvOT&#10;VTAUq363/nyXq4fd0tFxeVzk2w+l7u/iaAYi4Dlcj+GCz+iQMdPench40SjgR8LfZG86Hccg9iye&#10;Xicgs1T+p89+AVBLAwQUAAAACACHTuJA38KoLvkJAADvWgAADgAAAGRycy9lMm9Eb2MueG1s7VxN&#10;j9xYFd0j8R8s70n7fdqvlMpo1JmJkAYYKQN7t8tVZeGyje1OddjOnhU7JEYaARISsJoFAqH5NSH8&#10;DM57zy5/dHoqGbpcTeJedNtdLn+8d3zuvefe+x5/dLNLnRdxWSV5tnTJI8914izKV0m2Wbo//+LT&#10;HwWuU9VhtgrTPIuX7su4cj968sMfPN4Xi5jm2zxdxaWDk2TVYl8s3W1dF4uLiyraxruwepQXcYYP&#10;13m5C2vslpuLVRnucfZdekE9T17s83JVlHkUVxX++9R+6DZnLN/mhPl6nUTx0zy63sVZbc9axmlY&#10;45GqbVJU7hNzt+t1HNU/W6+ruHbSpYsnrc1vXATbV/r3xZPH4WJThsU2iZpbCN/mFkbPtAuTDBc9&#10;nOppWIfOdZncOtUuicq8ytf1oyjfXdgHMSOCpyDeaGyelfl1YZ5ls9hvisOgY6JGo/69Txv99MXn&#10;pZOsli5lxFceFZj+LNxh4l//9p+v/v6lQ/QY7YvNAoc+K4vnxedl84+N3dOPfbMud/ovHsi5MaP7&#10;8jC68U3tRPgnx9kDJlwnwmdcKhFQYcc/2mKSbn0v2n5y5JsX7YUv9P0dbmdfAJlVN1zV/zZcz7dh&#10;EZtZqPQYNMNFgoBT6vn8MFxf/fnVv752uB0uc6geKz0qVfFZHv2ycrL8chtmm/jjssz32zhc4c7M&#10;8OL+e1/QOxW+6lztf5KvMBPhdZ0bdI2GmRBOmcSIYkAlFwRzZ/DcjnigaECAdD3gVHlEmfE+jFq4&#10;KMqqfhbnO0dvLN0Sr4u5Tvjis6rGqXBoe4h+jiz/NElTc4k0c/ZLVwlMoXnCPE1W+kOzU26uLtPS&#10;eRHql8786PvCyar+YbukBpGkyW7pBv2D0kyfJDYvb3Mb7YhoIFaL+ubqBufTm1f56iUGqsztiw1a&#10;w8Y2L3/tOnu81Eu3+tV1WMauk/44w2ArwrlmAbPDhU+xU/Y/uep/EmYRTrV0a9exm5e1ZY7rokw2&#10;W1yJmIfP8o8xQevEjFh3V3hivQMk2ns9OSQ5oUIBkt0b/LtvXv/jW4c0r7CB2GVmMRndZM9HsDRA&#10;/+JlAcQNUGm/op/l7VAplGQKIwvUKU6Vz4aolC0HMCIDoNdCo4V2i7cGkmmS6XcvXEwCSfBttjL4&#10;rsMk/SRbObUZjrpM8N6mwBFAv4tXwFMM45lumps/ClmLU/2k00IiIEJyjDMbsRSZlqYk4cTSFCOU&#10;CWnghXe84fcgUCCAhqd8xbH9naCYeer/mqcI1SCgLCBjVEo97/oNgZ09vfEUzIdF1DTFpAoo8/XV&#10;Z1R+oNaT+EIFTAakM5/Wo4OTMCUquVKBRSVnniLe2KebjCt73t7sqvVD3HcKtt4cPUjFhOKSdliz&#10;rhqlPayd3lWjHhPAveFAX8czI1dNCE9wfKwDCO22fadVntZV037i07Da2ihjhS3L3u+dCwfnjXMq&#10;pZIja2knayJrSYXv8cA69bghBo9yYCyJLz1KlIUKA2qOoWVaH+4utMzEds/EBhUpoJT6QEKjIlli&#10;Y30jOgWxiQDcZp07KolSo5BDcEnakONItDHz2kkENJi/wBcwPwekWHeL9dWKUwcBEEwIyMzixKMe&#10;t3pEFwQQRRg8rsYE+vix0kirPHYC2Vk0tJnXJtLWiOQUUoqSgEJDbA1cVc9jOzVcCYGG61la02If&#10;4pWhGVa+lKBaq/jOSsr7rvgSpqDxw9ka63tQuSeMWakvvMY3JOB0PxjFrFJRImZUfih5CKUoF1TR&#10;LmCxPiDvi84T+IBw8OAFGtuOF8XzyChmmX1AnQrSAeS50hPE98AWBH9GVhWiw3T8RSUDjzZAgQys&#10;cxXD4BZeqmwJjOk4+EjIMAe3Otv63iVYCeUeR877FrH18xanJzaipZbWCxRMp1KGeO0yrJD05gxr&#10;W6t0kjCWQxdjWp47MJg1dqCLjsEmwISSPtWevy71QJWVsLUeXSA7G7tzGzvUO6E4w/PGgoeYVvAA&#10;OBqcwFdnlI8iSCIF/CYASWv+jPqo2dJAfihFQ7PgMZHgwRHF+eo2rRlT0yQdJqA1CUlOZ6A0GDmq&#10;7fD2DFyzFqhv4ZRNq+O+d3koXyrF4XbcMnRmRiZEBPFUW7YBrz0gJmXaGboZEVPVG2IifBooIenI&#10;99FFp1M6P74M2poJBpUWctSQJOC1w21vNPxjiclz0YSuB+4qDjPU3r+x2jBcvHtpoik61LWb5432&#10;ETdLOMq6umWQG7QuyIQM0oVP0CUFKrmHcJnDp+lqllGzjvSaz7THOQDFGYuWGQer3YmJuWj51K0V&#10;VFCfip6jcYY6PO6jShm9HfA7ffDByKCgwkHxADKQ6aw4aZ5trsIzfWYn0W4IVYJzCc/2QD4WamdL&#10;n1GuOCoORvZoTp99SG08jHk+lb6OegcW8ZxuEspemsqXLtCa3aTp3CTKfSalQPHREBPnVJkRZ0ES&#10;GFLVrDKfO8hSSjFod/zBqMzapDGL0447kKJAB3DjQM0q8wfbshoEurodpRk9Xvv3b/74+m9/ffWH&#10;b/7z7e/19l/+5HSH3ZaV4mx1eZOZFvZ+kV6yQsu5rdUcKAt6x0ohXQln07Xek5HeWC8CFAvdMayd&#10;/iMFAFVdhrpF+DLPMjRV56XtFH6nJlYn0g3MayxrgEvuihWambMNWpHTDVpPo7o0bbGDjurq7Rqv&#10;hzkUcwbL4ncoSzb9o3tcH4iQhKZWgrLcgHXC4xlCRPTLNF3OBPlWpIGHprBFk+mdQRmxZ7z6U+TR&#10;5hDxdCGi4B6cHL1SRet4NWW/UxYoEQqA2dR+QAlDg/8gBxYIhZU7LC8pn1DUKNtX9o6e+neqTtId&#10;sQeAAb1HW93n1Rne3PJHkJbA3KDD9AAlWykydbYkQNFd02Gq+/84jO8ATnO25OAiaGfhXLWRKuAE&#10;vX+99XjOwDw0QJOOlUFJgCYqVJ0NsAKrpyhCDaODouMKHYAz9Ty4hWHgikA98LDsRmvEzsQ8ujWg&#10;MWToyZMz8wyXkHko7jXlnPk+lhI64OUM1KPzggAsYi3KGBfQ6AfMg8DR4/D/NfPoTsJ7da9np0cv&#10;5XcP6xyQAOX06AZhndNzVigRifqQMe2gkw5yO7BmrJgixK7CcE+h2oyl+8KShM3A2mIS/sghMQKB&#10;qJOJSHcEuKIn+zR7d+g+WI8IVIIcIKgEjR7MI6OaWBRWgxItPo7EVt+vemhqqaeJ4x6IvaEekulY&#10;6AYKymBixypg77ij0+us06T4RbtCXyPw6dX/JJajMxMtmMLiiUOj0gTRWAfFRz8QLnI3B8wKX7MC&#10;7Eky81jMEozs3SoVmzpWbkU8MIPuILzVGTbHyg8iVkYDNDQypRdyaCzDGbwMWB8ubKzMfPRQBGNB&#10;uBcr40BfmcLpuxlmlumwtGt/xUyYK7MOsqHlZs1mvdByf98c361T/e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gwAAFtDb250ZW50X1R5cGVz&#10;XS54bWxQSwECFAAKAAAAAACHTuJAAAAAAAAAAAAAAAAABgAAAAAAAAAAABAAAABMCwAAX3JlbHMv&#10;UEsBAhQAFAAAAAgAh07iQIoUZjzRAAAAlAEAAAsAAAAAAAAAAQAgAAAAcAsAAF9yZWxzLy5yZWxz&#10;UEsBAhQACgAAAAAAh07iQAAAAAAAAAAAAAAAAAQAAAAAAAAAAAAQAAAAAAAAAGRycy9QSwECFAAU&#10;AAAACACHTuJAKnoNm9gAAAAFAQAADwAAAAAAAAABACAAAAAiAAAAZHJzL2Rvd25yZXYueG1sUEsB&#10;AhQAFAAAAAgAh07iQN/CqC75CQAA71oAAA4AAAAAAAAAAQAgAAAAJwEAAGRycy9lMm9Eb2MueG1s&#10;UEsFBgAAAAAGAAYAWQEAAJINAAAAAA==&#10;">
                      <o:lock v:ext="edit" aspectratio="f"/>
                      <v:shape id="画布 1" o:spid="_x0000_s1026" style="position:absolute;left:0;top:0;height:4695825;width:4902835;" filled="f" stroked="f" coordsize="21600,21600" o:gfxdata="UEsDBAoAAAAAAIdO4kAAAAAAAAAAAAAAAAAEAAAAZHJzL1BLAwQUAAAACACHTuJAKnoNm9gAAAAF&#10;AQAADwAAAGRycy9kb3ducmV2LnhtbE2PT0vDQBDF74LfYRnBi9hNKrWaZtNDQSwiFNM/5212mgSz&#10;s2l2m9Rv79RLvQxveMN7v0nnZ9uIHjtfO1IQjyIQSIUzNZUKNuu3xxcQPmgyunGECn7Qwzy7vUl1&#10;YtxAX9jnoRQcQj7RCqoQ2kRKX1RotR+5Fom9g+usDrx2pTSdHjjcNnIcRc/S6pq4odItLiosvvOT&#10;VTAUq363/nyXq4fd0tFxeVzk2w+l7u/iaAYi4Dlcj+GCz+iQMdPench40SjgR8LfZG86Hccg9iye&#10;Xicgs1T+p89+AVBLAwQUAAAACACHTuJACzJWl7IJAABkWgAADgAAAGRycy9lMm9Eb2MueG1s7Vzd&#10;juNIFb5H4h0s3zPt+ndFk1mteliEtMBKs3DvTpzEwrGD7e708BD7AkggIUBCAq72Cgnt0yzDY/BV&#10;lR3/9PRmZuk4Tbf7otvpOHal6vN3zvnOOfXyk9tt6t3ERZnk2dwnLwLfi7NFvkyy9dz/5Zef/Sj0&#10;vbKKsmWU5lk899/Gpf/Jqx/+4OV+N4tpvsnTZVx4uEhWzva7ub+pqt3s4qJcbOJtVL7Id3GGN1d5&#10;sY0qvCzWF8si2uPq2/SCBoG82OfFclfki7gs8d/X7k2/vmLxIRfMV6tkEb/OF9fbOKvcVYs4jSp8&#10;pXKT7Er/lR3tahUvql+sVmVceencxzet7G/cBMdX5vfFq5fRbF1Eu02yqIcQfcgQBt9pGyUZbnq4&#10;1OuoirzrIrlzqW2yKPIyX1UvFvn2wn0ROyP4FiQYzM1llN1E7sssMNfNAHH0gNe9WptxZ/lnSZpi&#10;Ni5w9Zn5n/m7x2rH5u0065/k/mPPrc/Z7wCHcncARvm/DfHNJtrFdhnL2eLnN18UXrIEWsOQUxoo&#10;7ntZtAU43/3hr9/+648eN+toRoBT3+y+KMxgy93n+eLXpZfll5soW8efFkW+38TREiMj5nyMvvMB&#10;86LER72r/c/yJS4dXVe5XdLbVbE1F8Riebf4LOGUSeF7b+e+5IKI0IEovq28Bd4PNQ0J4LXA+1QH&#10;RAt7s2jWXGdXlNVP4nzrmYO5XwCj9j7RzedlZcYVzZpTepNu5tzbz30tqLAfKPM0WZpls1+3WF9d&#10;poV3Exmk25/6vr3TtkmFpzdNthho9yS3wLF9YuphNDPiZra6vbqtJ/kqX77FRBW5e5rAJTjY5MVv&#10;fW+PJ2nul7+5jorY99KfZphsTTg3j559wYWieFF037nqvhNlC1xq7le+5w4vK/e4Xu+KZL3BnYj9&#10;8ln+KRZoldgZM0N1o6qXFUh0wz45JDmhQgOSYM0akr/7+t0/v/GIxVgNscvMYXJxm70ZwNIC/cu3&#10;OyCuh0r3kWYNjqNSaMk0Zhao05xqxfqolAyINZBkRIZAr8PZPZBMk8w8e9FsFEgW+XW2xHiiWRUl&#10;6Y+zpVfZ6aiKBM9tChwB9Nt4CTzFsFjpuh78Ucg6RJhvaqZxPEiEREiOeWYHSDiWIuPSlCScOJpi&#10;hDIhLbyi2YGnQg0CqHlKaY7j7wTFxFP/1zxFqAEBZSEZolKada+J6vTGUzAFi2hoikkdUqbM3SdU&#10;PlPrSZTQIZMhac2n40o4CWOikmsdOlRyFmgSDH260bjy4IdHs8lV68aVHxU4vT96kJoJzSVtseZc&#10;NUo7WDu9q0YDJoB7y4HKxDMDV02IQHC8bbw147Z9p1Ue11UzccnrqNy4KGOJI8feT86Fg/PGOZVS&#10;y4G1dIs1krWkQgU8dE49BsTgUfaMJVEyoETXjj1Qcwwt4/pw96FlIrYHJjbKSEgpVUBCLwZlXSM6&#10;BrGJENzmnDsqidaDkENwSZqQ40i0MfHaSQQ0mL9QCZifA1Kcu8W6asWpgwAIJgRk5nAS0IA7PaIN&#10;AogmDB5XbQIVfpw08kg0tInXRtLWiOQUUoqWgEJP72W647GdGq6EQMMNHK0ZsQ/xSt8MayUlqNYp&#10;vpOS8tQVX8I0NH44W0N9Dyr3iDErVSKofUMCTlfhIGaVmhIxofK55CG0plxQTduAxQW3vCs6j+AD&#10;wsGDF2htOx6UICCDmGXyAU0qyASQ50pPEBWALQj+DKwqRIfx+ItKBh6tgQIZ2OQq+sEtvFTZEBgz&#10;cfCRkGEKbk229cklWAnlAUfO+w6xdfMWpyc2YqSWxgsUzKRS+nhtM6yQ9KYMa1MgdJIwlkMXY0ae&#10;OzCYM3agi5bBRsCElooazx9KrSltEq7Wow1kJ2N3bmMnIIwFKgiGgocYV/AAOGqcwFdnlA8iSCIF&#10;/CYAyVZoUBUgRwEgoxLongqNydY9SVvHEcUpfZfWrKmpkw4j0JqEJGcyUCZJz1Fth6en55o1QP0A&#10;p2xcHffJ5aGU1JrD7bhj6OyKjIgIEuimbANee0hsyrQ1dBMixqo3xEIoGmoh6cD3MUWnYzo/SoZN&#10;zQSDSgs5qk8S8Nrhttca/rHE5LlowtQDtxWHGQre31tt+H1KE23RoakoPm+0j7hZwlE21S293KBz&#10;QUZkkDZ8gi4pUMndh8sUPo1XoIqadaTXFDMeZw8UZyxaZhysdi8mpqLlU7dWUEEVFR1H4wx1eFyh&#10;Shm9HfA7FfhgYFBQ4aB5CBnIdlacNM82VeHZ5q6TaDeEasG5hGd7IB8HtbOlzyjXHBUHA3s0pc+e&#10;UxsPY4GiUpmot2cRz+kmoeylrnxpA63JTRrPTaJcMSkFio/6mDinyow4C5JAn6omlfncQZbWmkG7&#10;449GZTYmjTmcttyBFAW3Fc2TyvysW1bD0FS3ozSjw2v//urP7/7x92//9PV/vvm9Of7bX7z2tLuy&#10;UpwtL28z15PdKdJLlqZB2rBT01zt1GojMzgppM1o1O3UHRnpvfUiQLEwHcMGs0cKAMqqiEyL8GWe&#10;ZWiqzgvXKfxRTazewjQwr7CXAG653S3RzJyt0YqcrtF6uqgK2xbb66guP6zxul80aq/gWPyeplcz&#10;h4cu+2b2zDyerWwEsRnKckPWCo9nCBHRL1N3ORPkW5EG7pvCBk0GLShAJ4H16k+RR5tCxNOFiIIH&#10;cHJCbHPQOF51lfqYBUqEAmAutR9SwtDgj0eyNaah0KopUdeKUNQou0f2ITK25kYHgNU0gFtPuzPE&#10;9+6V8v6WP4K0BNYGHaYHKLlKkbGzJSGK7uoOU9P/x2F8e3CasiUHF+GcRk6HnKD3D3u6nJF5aIgm&#10;HSeDkhBNVKg662EFVk9ThBpWB0XHFToAJ+p5dBvDwBWBehBg240GSmdiHtMaUBsyuERyYp7+FjKP&#10;JE+LMlfOlMJWQge8nMHpMXlBABbeM2WMC2j0PeZB4Bhw+P+GeUwn4YO615PTY/bPe4B9DkiIcnp0&#10;g7CzWrEWSkSiPmRIO+ikg9wOrFkrpglxuzA8UKg2YemhsCRhM7C3mIQ/ckiMQCBqZSLSngGu6BSU&#10;1K/u0X2wHxGoBDlAUAkaPVhABjWxKKwGJTp8HImtvl/10NhSz+OSc2iAZDo2uoGC0lvYoQrYOe/o&#10;8nqrNNn9qtmhr9kvEVKjxHZ0dqEF09g8sW9UanEP+6Ao9APhJvdzwKTw1duuniQzj80swcjBnVKx&#10;sWPlRsQDM5gOwjudYVOs/ChiZTRAQyPTZiOH2jKcwWGF9eHCxcpMoYciHArCnVgZJyptC6fvZ5iP&#10;aqx4Dl4GwiO797Cl5XqjZLO7cfc1jrubQ7/6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MMAABbQ29udGVudF9UeXBlc10ueG1sUEsBAhQACgAA&#10;AAAAh07iQAAAAAAAAAAAAAAAAAYAAAAAAAAAAAAQAAAABQsAAF9yZWxzL1BLAQIUABQAAAAIAIdO&#10;4kCKFGY80QAAAJQBAAALAAAAAAAAAAEAIAAAACkLAABfcmVscy8ucmVsc1BLAQIUAAoAAAAAAIdO&#10;4kAAAAAAAAAAAAAAAAAEAAAAAAAAAAAAEAAAAAAAAABkcnMvUEsBAhQAFAAAAAgAh07iQCp6DZvY&#10;AAAABQEAAA8AAAAAAAAAAQAgAAAAIgAAAGRycy9kb3ducmV2LnhtbFBLAQIUABQAAAAIAIdO4kAL&#10;MlaXsgkAAGRaAAAOAAAAAAAAAAEAIAAAACcBAABkcnMvZTJvRG9jLnhtbFBLBQYAAAAABgAGAFkB&#10;AABLDQAAAAA=&#10;">
                        <v:fill on="f" focussize="0,0"/>
                        <v:stroke on="f"/>
                        <v:imagedata o:title=""/>
                        <o:lock v:ext="edit" aspectratio="f"/>
                      </v:shape>
                      <v:rect id="矩形 4" o:spid="_x0000_s1026" o:spt="1" style="position:absolute;left:1142365;top:645158;height:290195;width:892810;" filled="f" stroked="t" coordsize="21600,21600" o:gfxdata="UEsDBAoAAAAAAIdO4kAAAAAAAAAAAAAAAAAEAAAAZHJzL1BLAwQUAAAACACHTuJAtgie6NUAAAAF&#10;AQAADwAAAGRycy9kb3ducmV2LnhtbE2PQU8CMRCF7yT8h2ZMvEF3MQiu2yVg5EoimqC3sh3bDdvp&#10;ZltY/PeOXvQyeZM3ee+bcnX1rbhgH5tACvJpBgKpDqYhq+DtdTtZgohJk9FtIFTwhRFW1XhU6sKE&#10;gV7wsk9WcAjFQitwKXWFlLF26HWchg6Jvc/Qe5147a00vR443LdylmX30uuGuMHpDp8c1qf92St4&#10;7j5267mNcn1I7v0UNsPW7axStzd59ggi4TX9HcMPPqNDxUzHcCYTRauAH0m/k73FYpaDOLK4e5iD&#10;rEr5n776BlBLAwQUAAAACACHTuJAKiGypkkCAABxBAAADgAAAGRycy9lMm9Eb2MueG1srVTBbtQw&#10;EL0j8Q+W7zSbkLS7UbNVtasipAKVCh/gdZyNhe0xtnez5WeQuPERfA7iNxg7admWSw/kEHky4zcz&#10;b97k/OKgFdkL5yWYhuYnM0qE4dBKs23op49Xr+aU+MBMyxQY0dA74enF8uWL88HWooAeVCscQRDj&#10;68E2tA/B1lnmeS808ydghUFnB06zgKbbZq1jA6JrlRWz2Wk2gGutAy68x6/r0UknRPccQOg6ycUa&#10;+E4LE0ZUJxQL2JLvpfV0martOsHDh67zIhDVUOw0pDcmwfMmvrPlOau3jtle8qkE9pwSnvSkmTSY&#10;9AFqzQIjOyf/gdKSO/DQhRMOOhsbSYxgF/nsCTe3PbMi9YJUe/tAuv9/sPz9/sYR2aIS5vOyKGZn&#10;JSWGaRz8728/fv38TsrI0WB9jaG39sbFLr29Bv7ZEwOrnpmtuHQOhl6wFivLY3z26EI0PF4lm+Ed&#10;tAjNdgESXYfO6QiIRJAD3s3L4vVpRcldQ0/LKq/m44DEIRCO/vmimOc4Oo7+YjHLF1VKxup7HOt8&#10;eCNAk3hoqMP5pzxsf+1DrIvV9yExrYErqVTSgDJkaOiiKqp0wYOSbXSmdt12s1KO7FlUUXqmvI/C&#10;tAy4GUpqLPQ4SJkIIpIapzLuGRmZDYfNYSJ5A+0dEuVgVCruKR56cF8pGVClDfVfdswJStRbg2Qv&#10;8rKMsk5GWZ0VaLhjz+bYwwxHqIYGSsbjKoyrsLNObnvMlKfmDVzigDqZGIuljlVNY0UlJiKnrYlS&#10;P7ZT1N8/xf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gie6NUAAAAFAQAADwAAAAAAAAABACAA&#10;AAAiAAAAZHJzL2Rvd25yZXYueG1sUEsBAhQAFAAAAAgAh07iQCohsqZJAgAAcQQAAA4AAAAAAAAA&#10;AQAgAAAAJAEAAGRycy9lMm9Eb2MueG1sUEsFBgAAAAAGAAYAWQEAAN8FAAAAAA==&#10;">
                        <v:fill on="f" focussize="0,0"/>
                        <v:stroke color="#000000" miterlimit="8" joinstyle="miter"/>
                        <v:imagedata o:title=""/>
                        <o:lock v:ext="edit" aspectratio="f"/>
                        <v:textbox>
                          <w:txbxContent>
                            <w:p>
                              <w:pPr>
                                <w:jc w:val="center"/>
                              </w:pPr>
                              <w:r>
                                <w:rPr>
                                  <w:rFonts w:hint="eastAsia"/>
                                </w:rPr>
                                <w:t>机加</w:t>
                              </w:r>
                            </w:p>
                          </w:txbxContent>
                        </v:textbox>
                      </v:rect>
                      <v:line id="直线 11" o:spid="_x0000_s1026" o:spt="20" style="position:absolute;left:1596390;top:942973;height:316865;width:635;" filled="f" stroked="t" coordsize="21600,21600" o:gfxdata="UEsDBAoAAAAAAIdO4kAAAAAAAAAAAAAAAAAEAAAAZHJzL1BLAwQUAAAACACHTuJA9YXaktUAAAAF&#10;AQAADwAAAGRycy9kb3ducmV2LnhtbE2PS0/EMAyE70j8h8hI3Nik5bHd0nSFQMBlhWBBnLONaSsS&#10;p0qyD/49hgtcrLHGmvncLA/eiR3GNAbSUMwUCKQu2JF6DW+v92cViJQNWeMCoYYvTLBsj48aU9uw&#10;pxfcrXMvOIRSbTQMOU+1lKkb0Js0CxMSex8hepN5jb200ew53DtZKnUlvRmJGwYz4e2A3ed66zU8&#10;OlrFiyqaslI3i6f+rnx+tw9an54U6hpExkP+O4YffEaHlpk2YUs2CaeBH8m/k735vCxAbFicLy5B&#10;to38T99+A1BLAwQUAAAACACHTuJAat2QWQoCAADxAwAADgAAAGRycy9lMm9Eb2MueG1srVNLbtsw&#10;EN0X6B0I7mtZcuTEguUs7KabtDWQ9AA0SUlE+QNJW/ZZeo2uuulxco0MKTnNZ5NFuSBIzsybeW+G&#10;y+ujkujAnRdG1zifTDHimhomdFvjH/c3n64w8oFoRqTRvMYn7vH16uOHZW8rXpjOSMYdAhDtq97W&#10;uAvBVlnmaccV8RNjuQZjY5wiAa6uzZgjPaArmRXT6TzrjWPWGcq9h9fNYMQjonsPoGkaQfnG0L3i&#10;OgyojksSgJLvhPV4laptGk7D96bxPCBZY2Aa0g5J4LyLe7Zakqp1xHaCjiWQ95TwipMiQkPSJ6gN&#10;CQTtnXgDpQR1xpsmTKhR2UAkKQIs8ukrbe46YnniAlJ7+yS6/3+w9Nth65BgNb7Ii3JRTC+h/Zoo&#10;aPzDr98Pf/6iPI8i9dZX4LvWWxdp0qO+s7eG/vRIm3VHdMtTsfcnC5EpInsREi/eQqpd/9Uw8CH7&#10;YJJix8apCAlaoCPElov5bAHtOdV4cVEsLmdDj/gxIAr2+azEiIJxls+v5mU0ZqQ6g1jnwxduFIqH&#10;Gkuho36kIodbHwbXs0t81uZGSJlmQGrUQ8ayKFOAN1KwaIxu3rW7tXToQOIUpTXmfeHmzF6zBBaI&#10;kJ81QyHJEZwAgSTHMYPiDCPJ4evJdgSROibhaVrHMs9yDcLvDDttXSw/vsMkJM7j1MZRe35PXv9+&#10;6uo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YXaktUAAAAFAQAADwAAAAAAAAABACAAAAAiAAAA&#10;ZHJzL2Rvd25yZXYueG1sUEsBAhQAFAAAAAgAh07iQGrdkFkKAgAA8QMAAA4AAAAAAAAAAQAgAAAA&#10;JAEAAGRycy9lMm9Eb2MueG1sUEsFBgAAAAAGAAYAWQEAAKAFAAAAAA==&#10;">
                        <v:fill on="f" focussize="0,0"/>
                        <v:stroke color="#000000" joinstyle="round" endarrow="block" endarrowlength="long"/>
                        <v:imagedata o:title=""/>
                        <o:lock v:ext="edit" aspectratio="f"/>
                      </v:line>
                      <v:rect id="矩形 14" o:spid="_x0000_s1026" o:spt="1" style="position:absolute;left:1161415;top:3123561;height:279400;width:889000;" filled="f" stroked="t" coordsize="21600,21600" o:gfxdata="UEsDBAoAAAAAAIdO4kAAAAAAAAAAAAAAAAAEAAAAZHJzL1BLAwQUAAAACACHTuJAtgie6NUAAAAF&#10;AQAADwAAAGRycy9kb3ducmV2LnhtbE2PQU8CMRCF7yT8h2ZMvEF3MQiu2yVg5EoimqC3sh3bDdvp&#10;ZltY/PeOXvQyeZM3ee+bcnX1rbhgH5tACvJpBgKpDqYhq+DtdTtZgohJk9FtIFTwhRFW1XhU6sKE&#10;gV7wsk9WcAjFQitwKXWFlLF26HWchg6Jvc/Qe5147a00vR443LdylmX30uuGuMHpDp8c1qf92St4&#10;7j5267mNcn1I7v0UNsPW7axStzd59ggi4TX9HcMPPqNDxUzHcCYTRauAH0m/k73FYpaDOLK4e5iD&#10;rEr5n776BlBLAwQUAAAACACHTuJA3faugksCAABzBAAADgAAAGRycy9lMm9Eb2MueG1srVTBbtsw&#10;DL0P2D8Iuq+OEydNjDpF0aLDgG4r0O0DFFmOhcmiRilxup8ZsNs+Yp8z7DdGyUmbdpce5oNAik+P&#10;5BPls/NdZ9hWoddgK56fjDhTVkKt7brinz9dv5lz5oOwtTBgVcXvlefny9evznpXqjG0YGqFjEis&#10;L3tX8TYEV2aZl63qhD8BpywFG8BOBHJxndUoemLvTDYejWZZD1g7BKm8p92rIcj3jPgSQmgaLdUV&#10;yE2nbBhYURkRqCXfauf5MlXbNEqGj03jVWCm4tRpSCslIXsV12x5Jso1CtdquS9BvKSEZz11QltK&#10;+kB1JYJgG9T/UHVaInhowomELhsaSYpQF/nomTZ3rXAq9UJSe/cguv9/tPLD9haZris+z6ezYpLP&#10;JpxZ0dHF//n+8/evHywvoki98yVh79wtxja9uwH5xTMLl62wa3WBCH2rRE2l5RGfPTkQHU9H2ap/&#10;DzVxi02ApNeuwS4SkhJsR2fzWV7kU87uKz7Jx5PpLLGJUu0CkwSYzxejEV2eJMD4dFGQHbOJ8kDk&#10;0Ie3CjoWjYojTUBKJLY3PgzQAyTmtXCtjaF9URrL+oovpuNpOuDB6DoGU7+4Xl0aZFsR5yh9+7xP&#10;YJ0O9DaM7qjQY5CxkUSledyXcZBkkDbsVjsqIm6uoL4npRCGWaWXSkYL+I2znua04v7rRqDizLyz&#10;pPYiL4o42MkppqdjcvA4sjqOCCuJquKBs8G8DMNj2DjU65Yy5al5Cxd0Q41Oij1Wtb9XmsWk+f7d&#10;xGE/9hPq8V+x/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2CJ7o1QAAAAUBAAAPAAAAAAAAAAEA&#10;IAAAACIAAABkcnMvZG93bnJldi54bWxQSwECFAAUAAAACACHTuJA3faugksCAABzBAAADgAAAAAA&#10;AAABACAAAAAkAQAAZHJzL2Uyb0RvYy54bWxQSwUGAAAAAAYABgBZAQAA4QUAAAAA&#10;">
                        <v:fill on="f" focussize="0,0"/>
                        <v:stroke color="#000000" miterlimit="8" joinstyle="miter"/>
                        <v:imagedata o:title=""/>
                        <o:lock v:ext="edit" aspectratio="f"/>
                        <v:textbox>
                          <w:txbxContent>
                            <w:p>
                              <w:pPr>
                                <w:jc w:val="center"/>
                              </w:pPr>
                              <w:r>
                                <w:rPr>
                                  <w:rFonts w:hint="eastAsia"/>
                                </w:rPr>
                                <w:t>涂装</w:t>
                              </w:r>
                            </w:p>
                          </w:txbxContent>
                        </v:textbox>
                      </v:rect>
                      <v:rect id="矩形 16" o:spid="_x0000_s1026" o:spt="1" style="position:absolute;left:1153795;top:3698237;height:279400;width:889000;" filled="f" stroked="t" coordsize="21600,21600" o:gfxdata="UEsDBAoAAAAAAIdO4kAAAAAAAAAAAAAAAAAEAAAAZHJzL1BLAwQUAAAACACHTuJAtgie6NUAAAAF&#10;AQAADwAAAGRycy9kb3ducmV2LnhtbE2PQU8CMRCF7yT8h2ZMvEF3MQiu2yVg5EoimqC3sh3bDdvp&#10;ZltY/PeOXvQyeZM3ee+bcnX1rbhgH5tACvJpBgKpDqYhq+DtdTtZgohJk9FtIFTwhRFW1XhU6sKE&#10;gV7wsk9WcAjFQitwKXWFlLF26HWchg6Jvc/Qe5147a00vR443LdylmX30uuGuMHpDp8c1qf92St4&#10;7j5267mNcn1I7v0UNsPW7axStzd59ggi4TX9HcMPPqNDxUzHcCYTRauAH0m/k73FYpaDOLK4e5iD&#10;rEr5n776BlBLAwQUAAAACACHTuJADfDAV0wCAAB0BAAADgAAAGRycy9lMm9Eb2MueG1srVTBbtsw&#10;DL0P2D8Iuq+OnaRJjDpF0aLDgG4r0O0DFFmOhcmiRilxup8ZsNs+Yp8z7DdGyUmbdpceloNBitQj&#10;+fiUs/NdZ9hWoddgK56fjDhTVkKt7brinz9dv5lz5oOwtTBgVcXvlefny9evznpXqgJaMLVCRiDW&#10;l72reBuCK7PMy1Z1wp+AU5aCDWAnArm4zmoUPaF3JitGo9OsB6wdglTe0+nVEOR7RHwJIDSNluoK&#10;5KZTNgyoqIwINJJvtfN8mbptGiXDx6bxKjBTcZo0pC8VIXsVv9nyTJRrFK7Vct+CeEkLz2bqhLZU&#10;9AHqSgTBNqj/geq0RPDQhBMJXTYMkhihKfLRM27uWuFUmoWo9u6BdP//YOWH7S0yXZMSirwYT4vx&#10;POfMio42/+f7z9+/frD8NLLUO19S8p27xTindzcgv3hm4bIVdq0uEKFvlaiptzzmZ08uRMfTVbbq&#10;30NN2GITIBG2a7CLgEQF29HdfDqeLaac3Vd8fLqYF+PZsCO1C0xSwny+GI1oe5ISitliQnasJsoD&#10;kEMf3iroWDQqjiSBVEhsb3wYUg8psa6Fa20MnYvSWNZXfDEtpumCB6PrGEzz4np1aZBtRRRS+u3r&#10;PknrdKDHYXRHjR4nGRtBVBLkvo0DJQO1YbfaURPxcAX1PTGFMIiVnioZLeA3znoSasX9141AxZl5&#10;Z4ntRT6ZRGUnZzKdFeTgcWR1HBFWElTFA2eDeRmG17BxqNctVcrT8BYuaEONTow9drXfK4kxcb5/&#10;OFHtx37KevyzWP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gie6NUAAAAFAQAADwAAAAAAAAAB&#10;ACAAAAAiAAAAZHJzL2Rvd25yZXYueG1sUEsBAhQAFAAAAAgAh07iQA3wwFdMAgAAdAQAAA4AAAAA&#10;AAAAAQAgAAAAJAEAAGRycy9lMm9Eb2MueG1sUEsFBgAAAAAGAAYAWQEAAOIFAAAAAA==&#10;">
                        <v:fill on="f" focussize="0,0"/>
                        <v:stroke color="#000000" miterlimit="8" joinstyle="miter"/>
                        <v:imagedata o:title=""/>
                        <o:lock v:ext="edit" aspectratio="f"/>
                        <v:textbox>
                          <w:txbxContent>
                            <w:p>
                              <w:pPr>
                                <w:jc w:val="center"/>
                              </w:pPr>
                              <w:r>
                                <w:rPr>
                                  <w:rFonts w:hint="eastAsia"/>
                                </w:rPr>
                                <w:t>包装</w:t>
                              </w:r>
                            </w:p>
                          </w:txbxContent>
                        </v:textbox>
                      </v:rect>
                      <v:rect id="矩形 20" o:spid="_x0000_s1026" o:spt="1" style="position:absolute;left:1149985;top:4309108;height:279400;width:889000;" filled="f" stroked="f" coordsize="21600,21600" o:gfxdata="UEsDBAoAAAAAAIdO4kAAAAAAAAAAAAAAAAAEAAAAZHJzL1BLAwQUAAAACACHTuJAKnoNm9gAAAAF&#10;AQAADwAAAGRycy9kb3ducmV2LnhtbE2PT0vDQBDF74LfYRnBi9hNKrWaZtNDQSwiFNM/5212mgSz&#10;s2l2m9Rv79RLvQxveMN7v0nnZ9uIHjtfO1IQjyIQSIUzNZUKNuu3xxcQPmgyunGECn7Qwzy7vUl1&#10;YtxAX9jnoRQcQj7RCqoQ2kRKX1RotR+5Fom9g+usDrx2pTSdHjjcNnIcRc/S6pq4odItLiosvvOT&#10;VTAUq363/nyXq4fd0tFxeVzk2w+l7u/iaAYi4Dlcj+GCz+iQMdPench40SjgR8LfZG86Hccg9iye&#10;Xicgs1T+p89+AVBLAwQUAAAACACHTuJAVOtdxzcCAABLBAAADgAAAGRycy9lMm9Eb2MueG1srVRL&#10;btswEN0X6B0I7mtJjhxLguUgiJGiQNoGSHsAmqIsovyVpC27lynQXQ7R4xS9RoeU7LjpJotuhKFm&#10;+N7MmyctrvZSoB2zjmtV42ySYsQU1Q1Xmxp//nT7psDIeaIaIrRiNT4wh6+Wr18telOxqe60aJhF&#10;AKJc1Zsad96bKkkc7ZgkbqINU5BstZXEw9FuksaSHtClSKZpepn02jbGasqcg7erIYlHRPsSQN22&#10;nLKVplvJlB9QLRPEw0iu48bhZey2bRn1H9vWMY9EjWFSH59AAvE6PJPlglQbS0zH6dgCeUkLz2aS&#10;hCsgPUGtiCdoa/k/UJJTq51u/YRqmQyDREVgiix9ps1DRwyLs4DUzpxEd/8Pln7Y3VvEG3DCfFYW&#10;F5dFBvtXRMLmf39//PXzB5pGlXrjKih+MPc2zOnMnaZfHFL6piNqw66t1X3HSAO9ZUHV5K8L4eDg&#10;Klr373UD2GTrdRRs31oZAEEKtIe7WV6WxQyjQ43zi7TM0mLYEdt7RKGgKMo0he1RKJjOyxziwEaq&#10;I5Cxzr9lWqIQ1NiCBSIR2d05P5QeSwKv0rdciGgDoVBf43I2ncULZxnJPXhecAn8wH7iFCpAsOiz&#10;Ef04aXCgq/x+vQfsEK51cwABrB48CF8gBJ223zDqwX81dl+3xDKMxDsFIpZZngfDxkM+m8MWkD3P&#10;rM8zRFGAqrHHaAhv/GDyrbF80wFTNs50DcK3PArx1NW4LvBYlHL8HoKJz8+x6ukfsP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noNm9gAAAAFAQAADwAAAAAAAAABACAAAAAiAAAAZHJzL2Rvd25y&#10;ZXYueG1sUEsBAhQAFAAAAAgAh07iQFTrXcc3AgAASwQAAA4AAAAAAAAAAQAgAAAAJwEAAGRycy9l&#10;Mm9Eb2MueG1sUEsFBgAAAAAGAAYAWQEAANAFAAAAAA==&#10;">
                        <v:fill on="f" focussize="0,0"/>
                        <v:stroke on="f" miterlimit="8" joinstyle="miter"/>
                        <v:imagedata o:title=""/>
                        <o:lock v:ext="edit" aspectratio="f"/>
                        <v:textbox>
                          <w:txbxContent>
                            <w:p>
                              <w:pPr>
                                <w:jc w:val="center"/>
                              </w:pPr>
                              <w:r>
                                <w:rPr>
                                  <w:rFonts w:hint="eastAsia"/>
                                </w:rPr>
                                <w:t>成品</w:t>
                              </w:r>
                            </w:p>
                          </w:txbxContent>
                        </v:textbox>
                      </v:rect>
                      <v:line id="直线 22" o:spid="_x0000_s1026" o:spt="20" style="position:absolute;left:2035175;top:784223;height:635;width:550545;" filled="f" stroked="t" coordsize="21600,21600" o:gfxdata="UEsDBAoAAAAAAIdO4kAAAAAAAAAAAAAAAAAEAAAAZHJzL1BLAwQUAAAACACHTuJAqxGFktcAAAAF&#10;AQAADwAAAGRycy9kb3ducmV2LnhtbE2PzU7DMBCE70i8g7WVuFEn5ac0jVMBogdUgUSDOLvx1oka&#10;r6PYadq3Z+ECl9WsZjXzbb46uVYcsQ+NJwXpNAGBVHnTkFXwWa6vH0CEqMno1hMqOGOAVXF5kevM&#10;+JE+8LiNVnAIhUwrqGPsMilDVaPTYeo7JPb2vnc68tpbaXo9crhr5SxJ7qXTDXFDrTt8rrE6bAen&#10;YFyXXy/29u3wOpzlEMyT3ZTvj0pdTdJkCSLiKf4dww8+o0PBTDs/kAmiVcCPxN/J3nw+S0HsWNws&#10;7kAWufxPX3wDUEsDBBQAAAAIAIdO4kDe1YZsFgIAAAkEAAAOAAAAZHJzL2Uyb0RvYy54bWytU0tu&#10;2zAQ3RfoHQjua8my5cSC5Szsppu0NZD0ADRJSUT5A0lb9ll6ja666XFyjQwpOW3STRbVQiA5w/fm&#10;vRmubk5KoiN3Xhhd4+kkx4hrapjQbY2/Pdx+uMbIB6IZkUbzGp+5xzfr9+9Wva14YTojGXcIQLSv&#10;elvjLgRbZZmnHVfET4zlGoKNcYoE2Lo2Y470gK5kVuT5IuuNY9YZyr2H0+0QxCOiewugaRpB+dbQ&#10;g+I6DKiOSxJAku+E9Xidqm0aTsPXpvE8IFljUBrSH0hgvY//bL0iVeuI7QQdSyBvKeGVJkWEBtJn&#10;qC0JBB2c+AdKCeqMN02YUKOyQUhyBFRM81fe3HfE8qQFrPb22XT//2Dpl+POIcFqvFjOyuV8UUD7&#10;NVHQ+McfPx9//UZFEU3qra8gd6N3LsqkJ31v7wz97pE2m47olqdiH84Wbk7jjezFlbjxFqj2/WfD&#10;IIccgkmOnRqnIiR4gU41LvJZOb0qMTrX+Op6XhSzoUf8FBCFeFnm5RzCFOKLWZmYSHUBsc6HT9wo&#10;FBc1lkJH/0hFjnc+xKJIdUmJx9rcCinTDEiN+hovy6JMF7yRgsVgTPOu3W+kQ0cSpyh9I++LtIi8&#10;Jb4b8hishtKdOWiWSAIR8qNmKCSbghNgnOQ4MivOMJIcnqRsR3CpIzlPUzyWf7FxaMjesPPOXbyG&#10;CUkCx2mOI/j3PnXkzwte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rEYWS1wAAAAUBAAAPAAAA&#10;AAAAAAEAIAAAACIAAABkcnMvZG93bnJldi54bWxQSwECFAAUAAAACACHTuJA3tWGbBYCAAAJBAAA&#10;DgAAAAAAAAABACAAAAAmAQAAZHJzL2Uyb0RvYy54bWxQSwUGAAAAAAYABgBZAQAArgUAAAAA&#10;">
                        <v:fill on="f" focussize="0,0"/>
                        <v:stroke color="#000000" joinstyle="round" dashstyle="dash" endarrow="block" endarrowlength="long"/>
                        <v:imagedata o:title=""/>
                        <o:lock v:ext="edit" aspectratio="f"/>
                      </v:line>
                      <v:rect id="矩形 23" o:spid="_x0000_s1026" o:spt="1" style="position:absolute;left:2570480;top:634363;height:305435;width:1760219;" filled="f" stroked="t" coordsize="21600,21600" o:gfxdata="UEsDBAoAAAAAAIdO4kAAAAAAAAAAAAAAAAAEAAAAZHJzL1BLAwQUAAAACACHTuJAtuLsMtQAAAAF&#10;AQAADwAAAGRycy9kb3ducmV2LnhtbE2PzU7DMBCE70i8g7VIXFBrp0BaQpweEJU4IVGQenXtJYmw&#10;11Hs9OftWbjAZbWrWc18U69PwYsDjqmPpKGYKxBINrqeWg0f75vZCkTKhpzxkVDDGROsm8uL2lQu&#10;HukND9vcCjahVBkNXc5DJWWyHQaT5nFAYu0zjsFkPsdWutEc2Tx4uVCqlMH0xAmdGfCpQ/u1nQKH&#10;2OdJ+Rf/uqHzrszlnR1vaKX19VWhHkFkPOW/Z/jBZ3RomGkfJ3JJeA1cJP9O1pbLRQFiz8vtwz3I&#10;ppb/6ZtvUEsDBBQAAAAIAIdO4kCzM4J8WQIAAIwEAAAOAAAAZHJzL2Uyb0RvYy54bWytVM1u2zAM&#10;vg/YOwi6L/6J4yZGnaJI0GFAtxXo9gCMLMfCZEmTlDjdywzYbQ+xxxn2GqPktE27Sw/zQSBF6iP5&#10;kfT5xaGXZM+tE1rVNJuklHDFdCPUtqafP129mVPiPKgGpFa8pnfc0Yvl61fng6l4rjstG24JgihX&#10;DaamnfemShLHOt6Dm2jDFRpbbXvwqNpt0lgYEL2XSZ6mZTJo2xirGXcOb9ejkR4R7UsAddsKxtea&#10;7Xqu/IhquQSPJblOGEeXMdu25cx/bFvHPZE1xUp9PDEIyptwJstzqLYWTCfYMQV4SQrPaupBKAz6&#10;ALUGD2RnxT9QvWBWO936CdN9MhYSGcEqsvQZN7cdGB5rQaqdeSDd/T9Y9mF/Y4locBLKaVHkZbko&#10;KVHQY+f/fP/5+9cPkk8DS4NxFTrfmhsb6nTmWrMvjii96kBt+aW1eug4NJhbFvyTJw+C4vAp2Qzv&#10;dYPYsPM6EnZobR8AkQpyqGk+O0uLOXbnrqaY0LSMwaHiB08Y2rOzMs2zBSUMHabprJjOYjSo7oGM&#10;df4t1z0JQk0tjkAMBPtr50NiUN27hLhKXwkp4xhIRYaaLmb5LD5wWoomGGO9drtZSUv2EAYpfse4&#10;T9wC8hpcN/o1KAUvqHrhcWmk6Gs6P30sVbDyOKjH9O6pGin3h80BEcLlRjd3yKDV4xDjCqPQafuN&#10;kgEHuKbu6w4sp0S+U9iFRVYUYeKjUszOclTsqWVzagHFEKqmnpJRXPlxS3bGim2HkbJIitKX2LlW&#10;RCYfszr2G4c0EnxcqLAFp3r0evyJL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tuLsMtQAAAAF&#10;AQAADwAAAAAAAAABACAAAAAiAAAAZHJzL2Rvd25yZXYueG1sUEsBAhQAFAAAAAgAh07iQLMzgnxZ&#10;AgAAjAQAAA4AAAAAAAAAAQAgAAAAIwEAAGRycy9lMm9Eb2MueG1sUEsFBgAAAAAGAAYAWQEAAO4F&#10;AAAAAA==&#10;">
                        <v:fill on="f" focussize="0,0"/>
                        <v:stroke color="#000000" miterlimit="8" joinstyle="miter" dashstyle="dash"/>
                        <v:imagedata o:title=""/>
                        <o:lock v:ext="edit" aspectratio="f"/>
                        <v:textbox>
                          <w:txbxContent>
                            <w:p>
                              <w:pPr>
                                <w:jc w:val="center"/>
                              </w:pPr>
                              <w:r>
                                <w:rPr>
                                  <w:rFonts w:hint="eastAsia"/>
                                </w:rPr>
                                <w:t>边角料、噪声、废切削液</w:t>
                              </w:r>
                            </w:p>
                          </w:txbxContent>
                        </v:textbox>
                      </v:rect>
                      <v:line id="直线 30" o:spid="_x0000_s1026" o:spt="20" style="position:absolute;left:2058035;top:3261991;height:0;width:546100;" filled="f" stroked="t" coordsize="21600,21600" o:gfxdata="UEsDBAoAAAAAAIdO4kAAAAAAAAAAAAAAAAAEAAAAZHJzL1BLAwQUAAAACACHTuJAqxGFktcAAAAF&#10;AQAADwAAAGRycy9kb3ducmV2LnhtbE2PzU7DMBCE70i8g7WVuFEn5ac0jVMBogdUgUSDOLvx1oka&#10;r6PYadq3Z+ECl9WsZjXzbb46uVYcsQ+NJwXpNAGBVHnTkFXwWa6vH0CEqMno1hMqOGOAVXF5kevM&#10;+JE+8LiNVnAIhUwrqGPsMilDVaPTYeo7JPb2vnc68tpbaXo9crhr5SxJ7qXTDXFDrTt8rrE6bAen&#10;YFyXXy/29u3wOpzlEMyT3ZTvj0pdTdJkCSLiKf4dww8+o0PBTDs/kAmiVcCPxN/J3nw+S0HsWNws&#10;7kAWufxPX3wDUEsDBBQAAAAIAIdO4kAn2t8UFgIAAAgEAAAOAAAAZHJzL2Uyb0RvYy54bWytU0ty&#10;EzEU3FPFHVTa4/kYB3vK4yxswiaAqxIO8CxpPCr0K0n22GfhGqzYcJxcI0+yHULYZMEspvR56tfd&#10;as2vD1qRvfBBWtPSalRSIgyzXJptS7/d37ybUhIiGA7KGtHSowj0evH2zXxwjahtbxUXniCICc3g&#10;WtrH6JqiCKwXGsLIOmFws7NeQ8Sp3xbcw4DoWhV1WV4Vg/XcectECLi6Om3SM6J/DaDtOsnEyrKd&#10;FiaeUL1QEFFS6KULdJHZdp1g8WvXBRGJaikqjfmPTXC8Sf9iMYdm68H1kp0pwGsovNCkQRps+gS1&#10;gghk5+U/UFoyb4Pt4ohZXZyEZEdQRVW+8OauByeyFrQ6uCfTw/+DZV/2a08kb2k9rqZ1XX+YUWJA&#10;48U//Pj58Os3GWeTBhcarF2atU8y2cHcuVvLvgdi7LIHsxWZ7P3R4ckq2Vr8dSRNgsNWm+Gz5VgD&#10;u2izY4fO6wSJXpAD0ign03I8oeTY0nF9Vc1mGQ0acYiEYcHk/VVV4vUxLMjUCmguGM6H+ElYTdKg&#10;pUqaZB80sL8NMXGC5lKSlo29kUrlCChDhpbOJvUkHwhWSZ42U1nw281SebKHFKL8ZYG487wsIa8g&#10;9Kc6jqNTurzdGZ6bRJDqo+EkZpeil+ibEjR11oJTogS+SLU9gyuTmosc4jP9i4sp3qHZWH5c+4vV&#10;GJAs8BzmlMDn83whfx7w4h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rEYWS1wAAAAUBAAAPAAAA&#10;AAAAAAEAIAAAACIAAABkcnMvZG93bnJldi54bWxQSwECFAAUAAAACACHTuJAJ9rfFBYCAAAIBAAA&#10;DgAAAAAAAAABACAAAAAmAQAAZHJzL2Uyb0RvYy54bWxQSwUGAAAAAAYABgBZAQAArgUAAAAA&#10;">
                        <v:fill on="f" focussize="0,0"/>
                        <v:stroke color="#000000" joinstyle="round" dashstyle="dash" endarrow="block" endarrowlength="long"/>
                        <v:imagedata o:title=""/>
                        <o:lock v:ext="edit" aspectratio="f"/>
                      </v:line>
                      <v:rect id="矩形 31" o:spid="_x0000_s1026" o:spt="1" style="position:absolute;left:2591436;top:3020465;height:677771;width:1913890;" filled="f" stroked="t" coordsize="21600,21600" o:gfxdata="UEsDBAoAAAAAAIdO4kAAAAAAAAAAAAAAAAAEAAAAZHJzL1BLAwQUAAAACACHTuJAtuLsMtQAAAAF&#10;AQAADwAAAGRycy9kb3ducmV2LnhtbE2PzU7DMBCE70i8g7VIXFBrp0BaQpweEJU4IVGQenXtJYmw&#10;11Hs9OftWbjAZbWrWc18U69PwYsDjqmPpKGYKxBINrqeWg0f75vZCkTKhpzxkVDDGROsm8uL2lQu&#10;HukND9vcCjahVBkNXc5DJWWyHQaT5nFAYu0zjsFkPsdWutEc2Tx4uVCqlMH0xAmdGfCpQ/u1nQKH&#10;2OdJ+Rf/uqHzrszlnR1vaKX19VWhHkFkPOW/Z/jBZ3RomGkfJ3JJeA1cJP9O1pbLRQFiz8vtwz3I&#10;ppb/6ZtvUEsDBBQAAAAIAIdO4kDQhO5DWAIAAIwEAAAOAAAAZHJzL2Uyb0RvYy54bWytVM1u2zAM&#10;vg/YOwi6r46TOD9GnaJo0GHAfgp0ewBFlmNhsqhRSpzuZQbstofY4wx7jVFy2qXdpYfpIJAm9ZH8&#10;SPr84tAZtlfoNdiK52cjzpSVUGu7rfinj9evFpz5IGwtDFhV8Tvl+cXq5Yvz3pVqDC2YWiEjEOvL&#10;3lW8DcGVWeZlqzrhz8ApS8YGsBOBVNxmNYqe0DuTjUejWdYD1g5BKu/p63ow8iMiPgcQmkZLtQa5&#10;65QNAyoqIwKV5FvtPF+lbJtGyfChabwKzFScKg3ppiAkb+Kdrc5FuUXhWi2PKYjnpPCkpk5oS0Ef&#10;oNYiCLZD/Q9UpyWChyacSeiyoZDECFWRj55wc9sKp1ItRLV3D6T7/wcr3+9vkOm64svpbDEvinzO&#10;mRUdNf73tx+/fn5nkzyS1Dtfku+tu8FYpndvQX72zMJVK+xWXSJC3ypRU2rJP3v0ICqenrJN/w5q&#10;wha7AImvQ4NdBCQm2KHi42KZTyczzu4qPhmNR9NZMbRIHQKT5JAv88liSd2T5DGb0xnCifIeyaEP&#10;rxV0LAoVRxqBFEns3/pAlWSivHeJgS1ca2PSGBjLeuKhGBfpgQej62hMBeN2c2WQ7UUcpHRiYgT2&#10;yC0ir4VvB7+apCH9TgdaGqO7ii9OHxsbwVUa1GN691wNnIfD5nCkfwP1HVGIMAwxrTAJLeBXznoa&#10;4Ir7LzuBijPzxlIbiMhpnPikTIv5mBQ8tWxOLcJKgqp44GwQr8KwJTuHettSpDyRYuGSWtfoxGRM&#10;dciKmIgKDWni5LhQcQtO9eT19ye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24uwy1AAAAAUB&#10;AAAPAAAAAAAAAAEAIAAAACIAAABkcnMvZG93bnJldi54bWxQSwECFAAUAAAACACHTuJA0ITuQ1gC&#10;AACMBAAADgAAAAAAAAABACAAAAAjAQAAZHJzL2Uyb0RvYy54bWxQSwUGAAAAAAYABgBZAQAA7QUA&#10;AAAA&#10;">
                        <v:fill on="f" focussize="0,0"/>
                        <v:stroke color="#000000" miterlimit="8" joinstyle="miter" dashstyle="dash"/>
                        <v:imagedata o:title=""/>
                        <o:lock v:ext="edit" aspectratio="f"/>
                        <v:textbox>
                          <w:txbxContent>
                            <w:p>
                              <w:pPr>
                                <w:jc w:val="left"/>
                              </w:pPr>
                              <w:r>
                                <w:rPr>
                                  <w:rFonts w:hint="eastAsia"/>
                                </w:rPr>
                                <w:t>VOC</w:t>
                              </w:r>
                              <w:r>
                                <w:rPr>
                                  <w:rFonts w:hint="eastAsia"/>
                                  <w:vertAlign w:val="subscript"/>
                                </w:rPr>
                                <w:t>S</w:t>
                              </w:r>
                              <w:r>
                                <w:rPr>
                                  <w:rFonts w:hint="eastAsia"/>
                                </w:rPr>
                                <w:t>、二甲苯、漆雾、废涂料桶、废活性炭、废过滤纸盒、废催化剂</w:t>
                              </w:r>
                            </w:p>
                          </w:txbxContent>
                        </v:textbox>
                      </v:rect>
                      <v:rect id="矩形 39" o:spid="_x0000_s1026" o:spt="1" style="position:absolute;left:1119505;top:1259836;height:279400;width:976630;" filled="f" stroked="t" coordsize="21600,21600" o:gfxdata="UEsDBAoAAAAAAIdO4kAAAAAAAAAAAAAAAAAEAAAAZHJzL1BLAwQUAAAACACHTuJAtgie6NUAAAAF&#10;AQAADwAAAGRycy9kb3ducmV2LnhtbE2PQU8CMRCF7yT8h2ZMvEF3MQiu2yVg5EoimqC3sh3bDdvp&#10;ZltY/PeOXvQyeZM3ee+bcnX1rbhgH5tACvJpBgKpDqYhq+DtdTtZgohJk9FtIFTwhRFW1XhU6sKE&#10;gV7wsk9WcAjFQitwKXWFlLF26HWchg6Jvc/Qe5147a00vR443LdylmX30uuGuMHpDp8c1qf92St4&#10;7j5267mNcn1I7v0UNsPW7axStzd59ggi4TX9HcMPPqNDxUzHcCYTRauAH0m/k73FYpaDOLK4e5iD&#10;rEr5n776BlBLAwQUAAAACACHTuJAVVxx+00CAAB0BAAADgAAAGRycy9lMm9Eb2MueG1srVTNbtQw&#10;EL4j8Q6W7zSbdJM2UbNVtasipAKVCg/gdZyNhf8YezdbXgaJGw/B4yBeg7GzLUu59EAO0Uxm/M3M&#10;N59zcbnXiuwEeGlNS/OTGSXCcNtJs2npxw/Xr84p8YGZjilrREvvhaeXi5cvLkbXiMIOVnUCCIIY&#10;34yupUMIrskyzwehmT+xThgM9hY0C+jCJuuAjYiuVVbMZlU2WugcWC68x6+rKUgPiPAcQNv3kouV&#10;5VstTJhQQSgWcCQ/SOfpInXb94KH933vRSCqpThpSG8sgvY6vrPFBWs2wNwg+aEF9pwWnsykmTRY&#10;9BFqxQIjW5D/QGnJwXrbhxNudTYNkhjBKfLZE27uBuZEmgWp9u6RdP//YPm73S0Q2aESqnlRVvO6&#10;QmoM07j5X1+///zxjZzWkaXR+QaT79wtxDm9u7H8kyfGLgdmNuIKwI6DYB32lsf87K8D0fF4lKzH&#10;t7ZDbLYNNhG270FHQKSC7PFsntflrKTkHu2irM9Pq2lHYh8Ix4T6rKpOsUWOCcVZPZ+lHWaseQBy&#10;4MNrYTWJRksBJZAKsd2ND7Ex1jykxLrGXkulkgyUISMWKIsyHfBWyS4G07ywWS8VkB2LQkpPmhKZ&#10;OE7TMuDlUFK39Pw4SZkIIpIgD208UDJRG/br/YHlte3ukSmwk1jxqqIxWPhCyYhCban/vGUgKFFv&#10;DLJd5/N5VHZy5uVZgQ4cR9bHEWY4QrU0UDKZyzDdhq0DuRmwUp6GN/YKN9TLxFhsderqsFcUYyLy&#10;cHGi2o/9lPXnZ7H4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YInujVAAAABQEAAA8AAAAAAAAA&#10;AQAgAAAAIgAAAGRycy9kb3ducmV2LnhtbFBLAQIUABQAAAAIAIdO4kBVXHH7TQIAAHQEAAAOAAAA&#10;AAAAAAEAIAAAACQBAABkcnMvZTJvRG9jLnhtbFBLBQYAAAAABgAGAFkBAADjBQAAAAA=&#10;">
                        <v:fill on="f" focussize="0,0"/>
                        <v:stroke color="#000000" miterlimit="8" joinstyle="miter"/>
                        <v:imagedata o:title=""/>
                        <o:lock v:ext="edit" aspectratio="f"/>
                        <v:textbox>
                          <w:txbxContent>
                            <w:p>
                              <w:pPr>
                                <w:jc w:val="center"/>
                              </w:pPr>
                              <w:r>
                                <w:rPr>
                                  <w:rFonts w:hint="eastAsia"/>
                                </w:rPr>
                                <w:t>喷砂</w:t>
                              </w:r>
                              <w:r>
                                <w:t>/</w:t>
                              </w:r>
                              <w:r>
                                <w:rPr>
                                  <w:rFonts w:hint="eastAsia"/>
                                </w:rPr>
                                <w:t>抛丸</w:t>
                              </w:r>
                            </w:p>
                          </w:txbxContent>
                        </v:textbox>
                      </v:rect>
                      <v:rect id="矩形 40" o:spid="_x0000_s1026" o:spt="1" style="position:absolute;left:1275080;top:1875788;height:279400;width:692150;" filled="f" stroked="t" coordsize="21600,21600" o:gfxdata="UEsDBAoAAAAAAIdO4kAAAAAAAAAAAAAAAAAEAAAAZHJzL1BLAwQUAAAACACHTuJAtgie6NUAAAAF&#10;AQAADwAAAGRycy9kb3ducmV2LnhtbE2PQU8CMRCF7yT8h2ZMvEF3MQiu2yVg5EoimqC3sh3bDdvp&#10;ZltY/PeOXvQyeZM3ee+bcnX1rbhgH5tACvJpBgKpDqYhq+DtdTtZgohJk9FtIFTwhRFW1XhU6sKE&#10;gV7wsk9WcAjFQitwKXWFlLF26HWchg6Jvc/Qe5147a00vR443LdylmX30uuGuMHpDp8c1qf92St4&#10;7j5267mNcn1I7v0UNsPW7axStzd59ggi4TX9HcMPPqNDxUzHcCYTRauAH0m/k73FYpaDOLK4e5iD&#10;rEr5n776BlBLAwQUAAAACACHTuJAJBXSmk4CAAB0BAAADgAAAGRycy9lMm9Eb2MueG1srVTBbtsw&#10;DL0P2D8Iuq9O3LhxjDpF0aLDgG4r0O0DFFmOhcmiRilxup8ZsFs/Yp8z7DdGyWmbdZce5oNBmtQj&#10;+fjk07Ndb9hWoddgaz49mnCmrIRG23XNP3+6elNy5oOwjTBgVc3vlOdny9evTgdXqRw6MI1CRiDW&#10;V4OreReCq7LMy071wh+BU5aCLWAvArm4zhoUA6H3Jssnk5NsAGwcglTe09fLMcj3iPgSQGhbLdUl&#10;yE2vbBhRURkRaCTfaef5MnXbtkqGj23rVWCm5jRpSG8qQvYqvrPlqajWKFyn5b4F8ZIWns3UC22p&#10;6CPUpQiCbVD/A9VrieChDUcS+mwcJDFCU0wnz7i57YRTaRai2rtH0v3/g5UftjfIdENKOF6Ui7yY&#10;HR9zZkVPm//9/f7Xzx9sllganK8o+dbdYJzTu2uQXzyzcNEJu1bniDB0SjTU2zSymv11IDqejrLV&#10;8B4awhabAImwXYt9BCQq2I7O5vNiUtJ27sgu58W8LMcdqV1gkhJOFvm0oLikhHy+mE1Sd5moHoAc&#10;+vBWQc+iUXMkCaRCYnvtQ2xMVA8psa6FK21MkoGxbKj5osiLdMCD0U0MpnlxvbowyLYiCik9aUpi&#10;4jCt14Euh9F9zcvDJGMjiEqC3LfxQEmUqq/CbrWjJqK5guaOmEIYxUpXlYwO8BtnAwm15v7rRqDi&#10;zLyzxPZiOqMNsZCcWTHPycHDyOowIqwkqJoHzkbzIoy3YeNQrzuqNE3DWzinDbU6MfbU1X6vJMZE&#10;5P7iRLUf+inr6Wex/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2CJ7o1QAAAAUBAAAPAAAAAAAA&#10;AAEAIAAAACIAAABkcnMvZG93bnJldi54bWxQSwECFAAUAAAACACHTuJAJBXSmk4CAAB0BAAADgAA&#10;AAAAAAABACAAAAAkAQAAZHJzL2Uyb0RvYy54bWxQSwUGAAAAAAYABgBZAQAA5AUAAAAA&#10;">
                        <v:fill on="f" focussize="0,0"/>
                        <v:stroke color="#000000" miterlimit="8" joinstyle="miter"/>
                        <v:imagedata o:title=""/>
                        <o:lock v:ext="edit" aspectratio="f"/>
                        <v:textbox>
                          <w:txbxContent>
                            <w:p>
                              <w:pPr>
                                <w:jc w:val="center"/>
                              </w:pPr>
                              <w:r>
                                <w:rPr>
                                  <w:rFonts w:hint="eastAsia"/>
                                </w:rPr>
                                <w:t>打磨</w:t>
                              </w:r>
                            </w:p>
                          </w:txbxContent>
                        </v:textbox>
                      </v:rect>
                      <v:line id="直线 44" o:spid="_x0000_s1026" o:spt="20" style="position:absolute;left:2100580;top:1390013;height:0;width:546100;" filled="f" stroked="t" coordsize="21600,21600" o:gfxdata="UEsDBAoAAAAAAIdO4kAAAAAAAAAAAAAAAAAEAAAAZHJzL1BLAwQUAAAACACHTuJAqxGFktcAAAAF&#10;AQAADwAAAGRycy9kb3ducmV2LnhtbE2PzU7DMBCE70i8g7WVuFEn5ac0jVMBogdUgUSDOLvx1oka&#10;r6PYadq3Z+ECl9WsZjXzbb46uVYcsQ+NJwXpNAGBVHnTkFXwWa6vH0CEqMno1hMqOGOAVXF5kevM&#10;+JE+8LiNVnAIhUwrqGPsMilDVaPTYeo7JPb2vnc68tpbaXo9crhr5SxJ7qXTDXFDrTt8rrE6bAen&#10;YFyXXy/29u3wOpzlEMyT3ZTvj0pdTdJkCSLiKf4dww8+o0PBTDs/kAmiVcCPxN/J3nw+S0HsWNws&#10;7kAWufxPX3wDUEsDBBQAAAAIAIdO4kAT+EriFQIAAAgEAAAOAAAAZHJzL2Uyb0RvYy54bWytU0tu&#10;2zAQ3RfoHQjua8mKbcSC5Szsppu0NZDkADRJWURJDkHSln2WXqOrbnqcXKNDyk7TdJNFtRD4efNm&#10;3pvh4uZoNDlIHxTYho5HJSXSchDK7hr6+HD74ZqSEJkVTIOVDT3JQG+W798telfLCjrQQnqCJDbU&#10;vWtoF6OriyLwThoWRuCkxcsWvGERt35XCM96ZDe6qMpyVvTghfPAZQh4uh4u6ZnRv4UQ2lZxuQa+&#10;N9LGgdVLzSJKCp1ygS5ztW0refzatkFGohuKSmP+YxJcb9O/WC5YvfPMdYqfS2BvKeGVJsOUxaTP&#10;VGsWGdl79Q+VUdxDgDaOOJhiEJIdQRXj8pU39x1zMmtBq4N7Nj38P1r+5bDxRImGzufVZFrNqxkl&#10;lhls/NP3H08/f5HJJJnUu1AjdmU3PsnkR3vv7oB/C8TCqmN2J3OxDyeHkeMUUfwVkjbBYapt/xkE&#10;Ytg+Qnbs2HqTKNELcmxoNS7L6TW254Q8V/OyHF8NTZLHSDgCppMZQijhCMj9K1h94XA+xE8SDEmL&#10;hmplk32sZoe7EFNNrL5A0rGFW6V1HgFtSY8eTKtpDgiglUiXCRb8brvSnhxYGqL8ZYF48xKWmNcs&#10;dANO4Goo3MPeipwkMqU/WkFidil6hb5pSVNmIwUlWuKL1LszubYpucxDfC7/4uLQjy2I08ZfrMYB&#10;yQLPw5wm8OU+N+TPA17+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sRhZLXAAAABQEAAA8AAAAA&#10;AAAAAQAgAAAAIgAAAGRycy9kb3ducmV2LnhtbFBLAQIUABQAAAAIAIdO4kAT+EriFQIAAAgEAAAO&#10;AAAAAAAAAAEAIAAAACYBAABkcnMvZTJvRG9jLnhtbFBLBQYAAAAABgAGAFkBAACtBQAAAAA=&#10;">
                        <v:fill on="f" focussize="0,0"/>
                        <v:stroke color="#000000" joinstyle="round" dashstyle="dash" endarrow="block" endarrowlength="long"/>
                        <v:imagedata o:title=""/>
                        <o:lock v:ext="edit" aspectratio="f"/>
                      </v:line>
                      <v:rect id="矩形 45" o:spid="_x0000_s1026" o:spt="1" style="position:absolute;left:2633980;top:1237415;height:304800;width:1517650;" filled="f" stroked="t" coordsize="21600,21600" o:gfxdata="UEsDBAoAAAAAAIdO4kAAAAAAAAAAAAAAAAAEAAAAZHJzL1BLAwQUAAAACACHTuJAtuLsMtQAAAAF&#10;AQAADwAAAGRycy9kb3ducmV2LnhtbE2PzU7DMBCE70i8g7VIXFBrp0BaQpweEJU4IVGQenXtJYmw&#10;11Hs9OftWbjAZbWrWc18U69PwYsDjqmPpKGYKxBINrqeWg0f75vZCkTKhpzxkVDDGROsm8uL2lQu&#10;HukND9vcCjahVBkNXc5DJWWyHQaT5nFAYu0zjsFkPsdWutEc2Tx4uVCqlMH0xAmdGfCpQ/u1nQKH&#10;2OdJ+Rf/uqHzrszlnR1vaKX19VWhHkFkPOW/Z/jBZ3RomGkfJ3JJeA1cJP9O1pbLRQFiz8vtwz3I&#10;ppb/6ZtvUEsDBBQAAAAIAIdO4kCULGTaWwIAAI0EAAAOAAAAZHJzL2Uyb0RvYy54bWytVM1u00AQ&#10;viPxDqu9U9tJ3KRWnKpKVIRUoFLhATbrdbxi/5jdxCkvg8SNh+BxEK/B7NotoVx6wAdnJjv7zTff&#10;zHh5edSKHAR4aU1Ni7OcEmG4baTZ1fTjh+tXC0p8YKZhyhpR03vh6eXq5Ytl7yoxsZ1VjQCCIMZX&#10;vatpF4KrsszzTmjmz6wTBg9bC5oFdGGXNcB6RNcqm+T5edZbaBxYLrzHfzfDIR0R4TmAtm0lFxvL&#10;91qYMKCCUCxgSb6TztNVYtu2gof3betFIKqmWGlIb0yC9ja+s9WSVTtgrpN8pMCeQ+FJTZpJg0kf&#10;oTYsMLIH+Q+Ulhyst20441ZnQyFJEayiyJ9oc9cxJ1ItKLV3j6L7/wfL3x1ugcgGJ2Gel/NFgT+U&#10;GKax87++fv/54xuZlVGl3vkKg+/cLcQ6vbux/JMnxq47ZnbiCsD2nWANcitifPbXheh4vEq2/Vvb&#10;IDbbB5sEO7agIyBKQY41nZxPpxcLpHCPOJPpfFak7KwSx0A4BhRlMT8vMYBjxDSfLfLUxIxVD0gO&#10;fHgtrCbRqCngDKRM7HDjQ2TGqoeQmNjYa6lUmgNlSF/Ti3JSpgveKtnEw1Qw7LZrBeTA4iSlJ5WJ&#10;UpyGReQN890Q16A1jJiWAbdGSV1TZIzPeFmZCC7SpI70HrQaNA/H7XGUf2ube5QQ7DDFuMNodBa+&#10;UNLjBNfUf94zEJSoNwbbcFHMZqhTSM6snE/QgdOT7ekJMxyhahooGcx1GNZk70DuOsxUJFGMvcLW&#10;tTIpGakOrMaG45QmgceNimtw6qeoP1+R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24uwy1AAA&#10;AAUBAAAPAAAAAAAAAAEAIAAAACIAAABkcnMvZG93bnJldi54bWxQSwECFAAUAAAACACHTuJAlCxk&#10;2lsCAACNBAAADgAAAAAAAAABACAAAAAjAQAAZHJzL2Uyb0RvYy54bWxQSwUGAAAAAAYABgBZAQAA&#10;8AUAAAAA&#10;">
                        <v:fill on="f" focussize="0,0"/>
                        <v:stroke color="#000000" miterlimit="8" joinstyle="miter" dashstyle="dash"/>
                        <v:imagedata o:title=""/>
                        <o:lock v:ext="edit" aspectratio="f"/>
                        <v:textbox>
                          <w:txbxContent>
                            <w:p>
                              <w:pPr>
                                <w:jc w:val="center"/>
                              </w:pPr>
                              <w:r>
                                <w:rPr>
                                  <w:rFonts w:hint="eastAsia"/>
                                </w:rPr>
                                <w:t>噪声、粉尘、固废</w:t>
                              </w:r>
                            </w:p>
                          </w:txbxContent>
                        </v:textbox>
                      </v:rect>
                      <v:line id="直线 46" o:spid="_x0000_s1026" o:spt="20" style="position:absolute;left:1602105;top:1533523;height:342265;width:635;" filled="f" stroked="t" coordsize="21600,21600" o:gfxdata="UEsDBAoAAAAAAIdO4kAAAAAAAAAAAAAAAAAEAAAAZHJzL1BLAwQUAAAACACHTuJA9YXaktUAAAAF&#10;AQAADwAAAGRycy9kb3ducmV2LnhtbE2PS0/EMAyE70j8h8hI3Nik5bHd0nSFQMBlhWBBnLONaSsS&#10;p0qyD/49hgtcrLHGmvncLA/eiR3GNAbSUMwUCKQu2JF6DW+v92cViJQNWeMCoYYvTLBsj48aU9uw&#10;pxfcrXMvOIRSbTQMOU+1lKkb0Js0CxMSex8hepN5jb200ew53DtZKnUlvRmJGwYz4e2A3ed66zU8&#10;OlrFiyqaslI3i6f+rnx+tw9an54U6hpExkP+O4YffEaHlpk2YUs2CaeBH8m/k735vCxAbFicLy5B&#10;to38T99+A1BLAwQUAAAACACHTuJAXas2gwkCAADyAwAADgAAAGRycy9lMm9Eb2MueG1srVNBbtsw&#10;ELwX6B8I3mvJsiU0guUc7KaXtA2Q9AE0RUlESS5B0pb9ln6jp176nHyjS1pOm/SSQ3UgSO7u7M5o&#10;uLo+akUOwnkJpqHzWU6JMBxaafqGfn24efeeEh+YaZkCIxp6Ep5er9++WY22FgUMoFrhCIIYX4+2&#10;oUMIts4yzwehmZ+BFQaDHTjNAh5dn7WOjYiuVVbkeZWN4FrrgAvv8XZ7DtIJ0b0GELpOcrEFvtfC&#10;hDOqE4oFpOQHaT1dp2m7TvDwpeu8CEQ1FJmGtGIT3O/imq1XrO4ds4Pk0wjsNSO84KSZNNj0CWrL&#10;AiN7J/+B0pI78NCFGQednYkkRZDFPH+hzf3ArEhcUGpvn0T3/w+Wfz7cOSJbdEKxzJdXZVFRYpjG&#10;H//4/cfjz19kWUWRRutrzN2YOxdp8qO5t7fAv3liYDMw04s07MPJYuU8VmTPSuLBW2y1Gz9Bizls&#10;HyApduycjpCoBTlibZUX87yk5IT7crEoi8X5J4ljIBwTqgUGOUYXy6KoytSK1RcU63z4KECTuGmo&#10;kiYKyGp2uPUhTsXqS0q8NnAjlUomUIaMDUUBylTgQck2BmOad/1uoxw5sGij9E19n6U52Js2gQUm&#10;1QfTkpD0CE6iQkrQ2EGLlhIl8O2pfgJRJjYRya7TmBe9zsrvoD3duYuoaIVEZLJt9Nrf5yT9n6e6&#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1hdqS1QAAAAUBAAAPAAAAAAAAAAEAIAAAACIAAABk&#10;cnMvZG93bnJldi54bWxQSwECFAAUAAAACACHTuJAXas2gwkCAADyAwAADgAAAAAAAAABACAAAAAk&#10;AQAAZHJzL2Uyb0RvYy54bWxQSwUGAAAAAAYABgBZAQAAnwUAAAAA&#10;">
                        <v:fill on="f" focussize="0,0"/>
                        <v:stroke color="#000000" joinstyle="round" endarrow="block" endarrowlength="long"/>
                        <v:imagedata o:title=""/>
                        <o:lock v:ext="edit" aspectratio="f"/>
                      </v:line>
                      <v:line id="直线 50" o:spid="_x0000_s1026" o:spt="20" style="position:absolute;left:1967230;top:2006595;height:0;width:546100;" filled="f" stroked="t" coordsize="21600,21600" o:gfxdata="UEsDBAoAAAAAAIdO4kAAAAAAAAAAAAAAAAAEAAAAZHJzL1BLAwQUAAAACACHTuJAqxGFktcAAAAF&#10;AQAADwAAAGRycy9kb3ducmV2LnhtbE2PzU7DMBCE70i8g7WVuFEn5ac0jVMBogdUgUSDOLvx1oka&#10;r6PYadq3Z+ECl9WsZjXzbb46uVYcsQ+NJwXpNAGBVHnTkFXwWa6vH0CEqMno1hMqOGOAVXF5kevM&#10;+JE+8LiNVnAIhUwrqGPsMilDVaPTYeo7JPb2vnc68tpbaXo9crhr5SxJ7qXTDXFDrTt8rrE6bAen&#10;YFyXXy/29u3wOpzlEMyT3ZTvj0pdTdJkCSLiKf4dww8+o0PBTDs/kAmiVcCPxN/J3nw+S0HsWNws&#10;7kAWufxPX3wDUEsDBBQAAAAIAIdO4kCqQA73FQIAAAgEAAAOAAAAZHJzL2Uyb0RvYy54bWytU0tu&#10;2zAQ3RfoHQjua8mO5dSC5Szsppu0NZD0AGOSkojyB5K27LP0Gl110+PkGh3SdpqmmyyqhUByZt7M&#10;e3xc3By0Invhg7SmoeNRSYkwzHJpuoZ+fbh9956SEMFwUNaIhh5FoDfLt28Wg6vFxPZWceEJgphQ&#10;D66hfYyuLorAeqEhjKwTBoOt9Roibn1XcA8DomtVTMpyVgzWc+ctEyHg6foUpGdE/xpA27aSibVl&#10;Oy1MPKF6oSAipdBLF+gyT9u2gsUvbRtEJKqhyDTmPzbB9Tb9i+UC6s6D6yU7jwCvGeEFJw3SYNMn&#10;qDVEIDsv/4HSknkbbBtHzOriRCQrgizG5Qtt7ntwInNBqYN7Ej38P1j2eb/xRPKGTq/L6dVkNptT&#10;YkDjxT9+//H48xepskiDCzXmrszGJ5rsYO7dnWXfAjF21YPpRB724eiwcpxkLf4qSZvgsNV2+GQ5&#10;5sAu2qzYofU6QaIW5IC189n15Aqv59jQZJdqXp0uSRwiYZhQTWfjEuMME/JoBdQXDOdD/CisJmnR&#10;UCVNkg9q2N+FmGaC+pKSjo29lUplCyhDhobOq0mVC4JVkqdgSgu+266UJ3tIJspfJoiR52kJeQ2h&#10;P+VxXJ0G93ZneG4SQaoPhpOYVYpeom5K0NRZC06JEvgiVXcGVyY1F9nE5/EvKiZ7h3pr+XHjL1Kj&#10;QTLBs5mTA5/v84X8ecD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sRhZLXAAAABQEAAA8AAAAA&#10;AAAAAQAgAAAAIgAAAGRycy9kb3ducmV2LnhtbFBLAQIUABQAAAAIAIdO4kCqQA73FQIAAAgEAAAO&#10;AAAAAAAAAAEAIAAAACYBAABkcnMvZTJvRG9jLnhtbFBLBQYAAAAABgAGAFkBAACtBQAAAAA=&#10;">
                        <v:fill on="f" focussize="0,0"/>
                        <v:stroke color="#000000" joinstyle="round" dashstyle="dash" endarrow="block" endarrowlength="long"/>
                        <v:imagedata o:title=""/>
                        <o:lock v:ext="edit" aspectratio="f"/>
                      </v:line>
                      <v:rect id="矩形 51" o:spid="_x0000_s1026" o:spt="1" style="position:absolute;left:2500630;top:1873246;height:327028;width:1651000;" filled="f" stroked="t" coordsize="21600,21600" o:gfxdata="UEsDBAoAAAAAAIdO4kAAAAAAAAAAAAAAAAAEAAAAZHJzL1BLAwQUAAAACACHTuJAtuLsMtQAAAAF&#10;AQAADwAAAGRycy9kb3ducmV2LnhtbE2PzU7DMBCE70i8g7VIXFBrp0BaQpweEJU4IVGQenXtJYmw&#10;11Hs9OftWbjAZbWrWc18U69PwYsDjqmPpKGYKxBINrqeWg0f75vZCkTKhpzxkVDDGROsm8uL2lQu&#10;HukND9vcCjahVBkNXc5DJWWyHQaT5nFAYu0zjsFkPsdWutEc2Tx4uVCqlMH0xAmdGfCpQ/u1nQKH&#10;2OdJ+Rf/uqHzrszlnR1vaKX19VWhHkFkPOW/Z/jBZ3RomGkfJ3JJeA1cJP9O1pbLRQFiz8vtwz3I&#10;ppb/6ZtvUEsDBBQAAAAIAIdO4kD+SzFWVgIAAIwEAAAOAAAAZHJzL2Uyb0RvYy54bWytVM1u2zAM&#10;vg/YOwi6r/5p3KRBnaJo0GFAtxXo9gCKLMfCZFGjlDjdywzYrQ+xxxn2GqPktEu7Sw/zwRDNTx/J&#10;j6TPzne9YVuFXoOteXGUc6ashEbbdc0/f7p6M+PMB2EbYcCqmt8pz88Xr1+dDW6uSujANAoZkVg/&#10;H1zNuxDcPMu87FQv/BE4ZcnZAvYikInrrEExEHtvsjLPT7IBsHEIUnlPX5ejk+8Z8SWE0LZaqiXI&#10;Ta9sGFlRGRGoJN9p5/kiZdu2SoaPbetVYKbmVGlIbwpC51V8Z4szMV+jcJ2W+xTES1J4VlMvtKWg&#10;j1RLEQTboP6HqtcSwUMbjiT02VhIUoSqKPJn2tx2wqlUC0nt3aPo/v/Ryg/bG2S6qXk1K8t8mudT&#10;zqzoqfG/v9//+vmDVUUUaXB+Tthbd4OxTO+uQX7xzMJlJ+xaXSDC0CnRUGoJnz25EA1PV9lqeA8N&#10;cYtNgKTXrsU+EpISbFfzsqIJOabm3BHPbHpcTk7GFqldYJIAxUlV5DkBJCGOy2leziIgE/MHJoc+&#10;vFXQs3ioOdIIpEhie+3DCH2AxMAWrrQxaQyMZUPNT6uyShc8GN1EZyoY16tLg2wr4iClZx/3CSwy&#10;L4XvRlxDpzH9XgdaGqP7ms8OLxsbyVUa1H16D1qNmofdareXfwXNHUmIMA4xrTAdOsBvnA00wDX3&#10;XzcCFWfmnaU2nBaTSZz4ZEyqaUkGHnpWhx5hJVHVPHA2Hi/DuCUbh3rdUaQiiWLhglrX6qRkTHXM&#10;ijoQDRrS1Iv9QsUtOLQT6u9PZPE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uLsMtQAAAAFAQAA&#10;DwAAAAAAAAABACAAAAAiAAAAZHJzL2Rvd25yZXYueG1sUEsBAhQAFAAAAAgAh07iQP5LMVZWAgAA&#10;jAQAAA4AAAAAAAAAAQAgAAAAIwEAAGRycy9lMm9Eb2MueG1sUEsFBgAAAAAGAAYAWQEAAOsFAAAA&#10;AA==&#10;">
                        <v:fill on="f" focussize="0,0"/>
                        <v:stroke color="#000000" miterlimit="8" joinstyle="miter" dashstyle="dash"/>
                        <v:imagedata o:title=""/>
                        <o:lock v:ext="edit" aspectratio="f"/>
                        <v:textbox>
                          <w:txbxContent>
                            <w:p>
                              <w:pPr>
                                <w:jc w:val="left"/>
                              </w:pPr>
                              <w:r>
                                <w:rPr>
                                  <w:rFonts w:hint="eastAsia"/>
                                </w:rPr>
                                <w:t>噪声、粉尘、废砂纸</w:t>
                              </w:r>
                            </w:p>
                          </w:txbxContent>
                        </v:textbox>
                      </v:rect>
                      <v:line id="直线 53" o:spid="_x0000_s1026" o:spt="20" style="position:absolute;left:1604645;top:3407407;height:304800;width:0;" filled="f" stroked="t" coordsize="21600,21600" o:gfxdata="UEsDBAoAAAAAAIdO4kAAAAAAAAAAAAAAAAAEAAAAZHJzL1BLAwQUAAAACACHTuJA9YXaktUAAAAF&#10;AQAADwAAAGRycy9kb3ducmV2LnhtbE2PS0/EMAyE70j8h8hI3Nik5bHd0nSFQMBlhWBBnLONaSsS&#10;p0qyD/49hgtcrLHGmvncLA/eiR3GNAbSUMwUCKQu2JF6DW+v92cViJQNWeMCoYYvTLBsj48aU9uw&#10;pxfcrXMvOIRSbTQMOU+1lKkb0Js0CxMSex8hepN5jb200ew53DtZKnUlvRmJGwYz4e2A3ed66zU8&#10;OlrFiyqaslI3i6f+rnx+tw9an54U6hpExkP+O4YffEaHlpk2YUs2CaeBH8m/k735vCxAbFicLy5B&#10;to38T99+A1BLAwQUAAAACACHTuJAQAMQeAoCAADvAwAADgAAAGRycy9lMm9Eb2MueG1srVPBbhox&#10;EL1X6j9YvpddCBBYseQATS9pi5T0A4zt3bVqeyzbsPAt/Y2eeunn5DcyNpCm6SWHrlaW7Zl5M+/N&#10;eHFzMJrspQ8KbE2Hg5ISaTkIZduafnu4/TCjJERmBdNgZU2PMtCb5ft3i95VcgQdaCE9QRAbqt7V&#10;tIvRVUUReCcNCwNw0qKxAW9YxKNvC+FZj+hGF6OynBY9eOE8cBkC3q5PRnpG9G8BhKZRXK6B74y0&#10;8YTqpWYRKYVOuUCXudqmkTx+bZogI9E1RaYxr5gE99u0FssFq1rPXKf4uQT2lhJecTJMWUz6DLVm&#10;kZGdV/9AGcU9BGjigIMpTkSyIshiWL7S5r5jTmYuKHVwz6KH/wfLv+w3nihR0/H1bHY9n84pscxg&#10;3x9//Hz89ZtMrpJGvQsVuq7sxieW/GDv3R3w74FYWHXMtjLX+nB0GDlMEcVfIekQHGba9p9BoA/b&#10;RciCHRpvEiRKQQ4YOy3H0/GEkmNNr8blNf6nHslDJBwdsHE82crxrMztK1h1wXA+xE8SDEmbmmpl&#10;k3qsYvu7EFNNrLq4pGsLt0rrPAHakr6m88lokgMCaCWSMbkF325X2pM9SzOUv0wQLS/dPOysyGCR&#10;Kf3RChKzGtEr1EdLmjIYKSjREh+ebs8g2qYkMs/qucyLWifdtyCOG3+RFOcgEznPbBq0l+cs/J93&#10;un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YXaktUAAAAFAQAADwAAAAAAAAABACAAAAAiAAAA&#10;ZHJzL2Rvd25yZXYueG1sUEsBAhQAFAAAAAgAh07iQEADEHgKAgAA7wMAAA4AAAAAAAAAAQAgAAAA&#10;JAEAAGRycy9lMm9Eb2MueG1sUEsFBgAAAAAGAAYAWQEAAKAFAAAAAA==&#10;">
                        <v:fill on="f" focussize="0,0"/>
                        <v:stroke color="#000000" joinstyle="round" endarrow="block" endarrowlength="long"/>
                        <v:imagedata o:title=""/>
                        <o:lock v:ext="edit" aspectratio="f"/>
                      </v:line>
                      <v:line id="直线 57" o:spid="_x0000_s1026" o:spt="20" style="position:absolute;left:1610995;top:3980812;height:304800;width:0;" filled="f" stroked="t" coordsize="21600,21600" o:gfxdata="UEsDBAoAAAAAAIdO4kAAAAAAAAAAAAAAAAAEAAAAZHJzL1BLAwQUAAAACACHTuJA9YXaktUAAAAF&#10;AQAADwAAAGRycy9kb3ducmV2LnhtbE2PS0/EMAyE70j8h8hI3Nik5bHd0nSFQMBlhWBBnLONaSsS&#10;p0qyD/49hgtcrLHGmvncLA/eiR3GNAbSUMwUCKQu2JF6DW+v92cViJQNWeMCoYYvTLBsj48aU9uw&#10;pxfcrXMvOIRSbTQMOU+1lKkb0Js0CxMSex8hepN5jb200ew53DtZKnUlvRmJGwYz4e2A3ed66zU8&#10;OlrFiyqaslI3i6f+rnx+tw9an54U6hpExkP+O4YffEaHlpk2YUs2CaeBH8m/k735vCxAbFicLy5B&#10;to38T99+A1BLAwQUAAAACACHTuJALJvV6wsCAADwAwAADgAAAGRycy9lMm9Eb2MueG1srVNBchsh&#10;ELynKn+guEe7q1iydksrH6Q4FydRlZ0HIGC1VIChAGmlt+QbOeWS5/gbGZDkOM7Fh3CggJnpme4Z&#10;5jcHo8le+qDAtrQalZRIy0Eou23p14fbdzNKQmRWMA1WtvQoA71ZvH0zH1wjx9CDFtITBLGhGVxL&#10;+xhdUxSB99KwMAInLRo78IZFvPptITwbEN3oYlyW02IAL5wHLkPA19XJSM+I/jWA0HWKyxXwnZE2&#10;nlC91CwipdArF+giV9t1kscvXRdkJLqlyDTmHZPgeZP2YjFnzdYz1yt+LoG9poQXnAxTFpM+Qa1Y&#10;ZGTn1T9QRnEPAbo44mCKE5GsCLKoyhfa3PfMycwFpQ7uSfTw/2D55/3aEyVaej2t66uqnNSUWGaw&#10;8Y/ffzz+/EUm10mkwYUGfZd27RNNfrD37g74t0AsLHtmtzIX+3B0GFmliOKvkHQJDlNthk8g0Ift&#10;ImTFDp03CRK1IAeMnVZlXU8oObb0fT0rZ9X41CR5iISjA3aOJ1t5NStz/wrWXDCcD/GjBEPSoaVa&#10;2SQfa9j+LsRUE2suLunZwq3SOo+AtmRoaT0ZT3JAAK1EMia34LebpfZkz9IQ5ZUJouW5m4edFRks&#10;MqU/WEFiViN6hfpoSVMGIwUlWuLP09sziLYpiczDei7zotZJ9w2I49pfJMVByETOQ5sm7fk9C//n&#10;oy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WF2pLVAAAABQEAAA8AAAAAAAAAAQAgAAAAIgAA&#10;AGRycy9kb3ducmV2LnhtbFBLAQIUABQAAAAIAIdO4kAsm9XrCwIAAPADAAAOAAAAAAAAAAEAIAAA&#10;ACQBAABkcnMvZTJvRG9jLnhtbFBLBQYAAAAABgAGAFkBAAChBQAAAAA=&#10;">
                        <v:fill on="f" focussize="0,0"/>
                        <v:stroke color="#000000" joinstyle="round" endarrow="block" endarrowlength="long"/>
                        <v:imagedata o:title=""/>
                        <o:lock v:ext="edit" aspectratio="f"/>
                      </v:line>
                      <v:line id="直线 810" o:spid="_x0000_s1026" o:spt="20" style="position:absolute;left:768985;top:3256275;height:635;width:404495;" filled="f" stroked="t" coordsize="21600,21600" o:gfxdata="UEsDBAoAAAAAAIdO4kAAAAAAAAAAAAAAAAAEAAAAZHJzL1BLAwQUAAAACACHTuJAoOKwjdUAAAAF&#10;AQAADwAAAGRycy9kb3ducmV2LnhtbE2PQU/DMAyF70j8h8hI3FjSIRiUpjsgBifE2Ng9a7y20DhV&#10;krWFX4/hAhfrWc9673OxnFwnBgyx9aQhmykQSJW3LdUa3rarixsQMRmypvOEGj4xwrI8PSlMbv1I&#10;rzhsUi04hGJuNDQp9bmUsWrQmTjzPRJ7Bx+cSbyGWtpgRg53nZwrdS2daYkbGtPjfYPVx+boNDw9&#10;hl2Y1Gorv6rhedy9v6zTw0Hr87NM3YFIOKW/Y/jBZ3QomWnvj2Sj6DTwI+l3srdYzDMQexaXt1cg&#10;y0L+py+/AVBLAwQUAAAACACHTuJA5CMxVxQCAAAOBAAADgAAAGRycy9lMm9Eb2MueG1srVNLchsh&#10;EN2nKneg2EczGus7pZEXUpyNk6jKzgEQMDNUGJoCpJHOkmtklU2O42u4QZLtOFl4ERYU0K8f/R7N&#10;4vrQabKXziswFR0Ockqk4SCUaSr67f7mw4wSH5gRTIORFT1KT6+X798telvKAlrQQjqCJMaXva1o&#10;G4Its8zzVnbMD8BKg8EaXMcCbl2TCcd6ZO90VuT5JOvBCeuAS+/xdH0K0jOjewsh1LXicg1810kT&#10;TqxOahZQkm+V9XSZqq1rycPXuvYyEF1RVBrSjJfgehvnbLlgZeOYbRU/l8DeUsIrTR1TBi99olqz&#10;wMjOqb+oOsUdeKjDgEOXnYQkR1DFMH/lzV3LrExa0Gpvn0z3/4+Wf9lvHFECOyGfT4vZfDwpKDGs&#10;w5d/+PHz4ddvMhsmm3rrS0SvzMZFofxg7uwt8O+eGFi1zDQylXt/tJg6jMZmf6TEjbd42bb/DAIx&#10;bBcgeXaoXRcp0Q1yqOh0MpvPxpQcK3pVYDnT8emV5CEQjvFRPhrNMc4RMLlKwYyVFxLrfPgkoSNx&#10;UVGtTHSQlWx/60MsipUXSDw2cKO0Tl2gDekrOh8X45TgQSsRgxHmXbNdaUf2LPZRGkkhRl7CHOyM&#10;SGStZOKjESQkOwz+JBrZOyko0RI/nm5OqgJT+hkYnEIn9b/BWLo2Z1ujk7HJfbkFcdy4i93YJknj&#10;uaVjH77cp+znb7x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DisI3VAAAABQEAAA8AAAAAAAAA&#10;AQAgAAAAIgAAAGRycy9kb3ducmV2LnhtbFBLAQIUABQAAAAIAIdO4kDkIzFXFAIAAA4EAAAOAAAA&#10;AAAAAAEAIAAAACQBAABkcnMvZTJvRG9jLnhtbFBLBQYAAAAABgAGAFkBAACqBQAAAAA=&#10;">
                        <v:fill on="f" focussize="0,0"/>
                        <v:stroke color="#000000" joinstyle="round" startarrowlength="long" endarrow="block" endarrowlength="long"/>
                        <v:imagedata o:title=""/>
                        <o:lock v:ext="edit" aspectratio="f"/>
                      </v:line>
                      <v:line id="直线 46" o:spid="_x0000_s1026" o:spt="20" style="position:absolute;left:1602105;top:2155188;height:342265;width:635;" filled="f" stroked="t" coordsize="21600,21600" o:gfxdata="UEsDBAoAAAAAAIdO4kAAAAAAAAAAAAAAAAAEAAAAZHJzL1BLAwQUAAAACACHTuJA9YXaktUAAAAF&#10;AQAADwAAAGRycy9kb3ducmV2LnhtbE2PS0/EMAyE70j8h8hI3Nik5bHd0nSFQMBlhWBBnLONaSsS&#10;p0qyD/49hgtcrLHGmvncLA/eiR3GNAbSUMwUCKQu2JF6DW+v92cViJQNWeMCoYYvTLBsj48aU9uw&#10;pxfcrXMvOIRSbTQMOU+1lKkb0Js0CxMSex8hepN5jb200ew53DtZKnUlvRmJGwYz4e2A3ed66zU8&#10;OlrFiyqaslI3i6f+rnx+tw9an54U6hpExkP+O4YffEaHlpk2YUs2CaeBH8m/k735vCxAbFicLy5B&#10;to38T99+A1BLAwQUAAAACACHTuJAraEkYAoCAADyAwAADgAAAGRycy9lMm9Eb2MueG1srVNLbtsw&#10;EN0X6B0I7mt9YgmOYDkLu+kmbQ0kOQBNUhJR/kDSln2WXqOrbnqcXKNDWk6bdJNFtSBEzsx78x6H&#10;y5ujkujAnRdGt7iY5RhxTQ0Tum/x48PthwVGPhDNiDSat/jEPb5ZvX+3HG3DSzMYybhDAKJ9M9oW&#10;DyHYJss8HbgifmYs1xDsjFMkwNb1GXNkBHQlszLP62w0jllnKPceTjfnIJ4Q3VsATdcJyjeG7hXX&#10;4YzquCQBJPlBWI9Xqduu4zR87TrPA5ItBqUhrUAC/7u4ZqslaXpH7CDo1AJ5SwuvNCkiNJA+Q21I&#10;IGjvxD9QSlBnvOnCjBqVnYUkR0BFkb/y5n4glictYLW3z6b7/wdLvxy2DgnW4vkir+v6elFhpImC&#10;i3/6/uPp5y80r6NJo/UN5K711kWZ9Kjv7Z2h3zzSZj0Q3fPU7MPJQmURK7IXJXHjLVDtxs+GQQ7Z&#10;B5McO3ZORUjwAh2hts7LIocmTi0ui6oqFovzJfFjQBQS6isIUohezcuyrhIVaS4o1vnwiRuF4k+L&#10;pdDRQNKQw50PsSvSXFLisTa3Qso0BFKjscXXVVmlAm+kYDEY07zrd2vp0IHEMUrfxPsizZm9Zgks&#10;ECE/aoZC8iM4AQ5JjiOD4gwjyeHtyX4CkTqS8DSuU5sXv87O7ww7bd3FVBiFJGQa2zhrf++T9X+e&#10;6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YXaktUAAAAFAQAADwAAAAAAAAABACAAAAAiAAAA&#10;ZHJzL2Rvd25yZXYueG1sUEsBAhQAFAAAAAgAh07iQK2hJGAKAgAA8gMAAA4AAAAAAAAAAQAgAAAA&#10;JAEAAGRycy9lMm9Eb2MueG1sUEsFBgAAAAAGAAYAWQEAAKAFAAAAAA==&#10;">
                        <v:fill on="f" focussize="0,0"/>
                        <v:stroke color="#000000" joinstyle="round" endarrow="block" endarrowlength="long"/>
                        <v:imagedata o:title=""/>
                        <o:lock v:ext="edit" aspectratio="f"/>
                      </v:line>
                      <v:line id="直线 11" o:spid="_x0000_s1026" o:spt="20" style="position:absolute;left:1596390;top:342898;height:316865;width:635;" filled="f" stroked="t" coordsize="21600,21600" o:gfxdata="UEsDBAoAAAAAAIdO4kAAAAAAAAAAAAAAAAAEAAAAZHJzL1BLAwQUAAAACACHTuJA9YXaktUAAAAF&#10;AQAADwAAAGRycy9kb3ducmV2LnhtbE2PS0/EMAyE70j8h8hI3Nik5bHd0nSFQMBlhWBBnLONaSsS&#10;p0qyD/49hgtcrLHGmvncLA/eiR3GNAbSUMwUCKQu2JF6DW+v92cViJQNWeMCoYYvTLBsj48aU9uw&#10;pxfcrXMvOIRSbTQMOU+1lKkb0Js0CxMSex8hepN5jb200ew53DtZKnUlvRmJGwYz4e2A3ed66zU8&#10;OlrFiyqaslI3i6f+rnx+tw9an54U6hpExkP+O4YffEaHlpk2YUs2CaeBH8m/k735vCxAbFicLy5B&#10;to38T99+A1BLAwQUAAAACACHTuJA/8tnPgoCAADyAwAADgAAAGRycy9lMm9Eb2MueG1srVPBctsg&#10;EL13pv/AcG8k27UrayznYDe9pK1nkn4ARkhiCiwD2LK/pb/RUy/9nPxGFiSnTXrJoTowgt19+95j&#10;WV2ftCJH4bwEU9HJVU6JMBxqadqKfru/eVdQ4gMzNVNgREXPwtPr9ds3q96WYgodqFo4giDGl72t&#10;aBeCLbPM805o5q/ACoPBBpxmAbeuzWrHekTXKpvm+SLrwdXWARfe4+l2CNIR0b0GEJpGcrEFftDC&#10;hAHVCcUCSvKdtJ6uE9umETx8bRovAlEVRaUhrdgE//dxzdYrVraO2U7ykQJ7DYUXmjSTBps+QW1Z&#10;YOTg5D9QWnIHHppwxUFng5DkCKqY5C+8ueuYFUkLWu3tk+n+/8HyL8edI7LGSZgXxTL/MMvRGsM0&#10;3vzDj58Pv36TySS61FtfYvLG7FzUyU/mzt4C/+6JgU3HTCsS2/uzxcpUkT0riRtvsde+/ww15rBD&#10;gGTZqXE6QqIZ5BR5LBezJZI4V3T2flosi+GSxCkQjvHFbE4Jj8HJoljMYzBj5QXEOh8+CdAk/lRU&#10;SRMNZCU73vowpF5S4rGBG6lUGgJlSF/R5Xw6TwUelKxjMKZ51+43ypEji2OUvrHvszQHB1MnsMCk&#10;+mhqEpIdwUk0SAkaO2hRU6IEvj3VjiDKxCYijetI82LXYPwe6vPORfrxHEchaR7HNs7a3/uU9eep&#10;r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YXaktUAAAAFAQAADwAAAAAAAAABACAAAAAiAAAA&#10;ZHJzL2Rvd25yZXYueG1sUEsBAhQAFAAAAAgAh07iQP/LZz4KAgAA8gMAAA4AAAAAAAAAAQAgAAAA&#10;JAEAAGRycy9lMm9Eb2MueG1sUEsFBgAAAAAGAAYAWQEAAKAFAAAAAA==&#10;">
                        <v:fill on="f" focussize="0,0"/>
                        <v:stroke color="#000000" joinstyle="round" endarrow="block" endarrowlength="long"/>
                        <v:imagedata o:title=""/>
                        <o:lock v:ext="edit" aspectratio="f"/>
                      </v:line>
                      <v:rect id="矩形 20" o:spid="_x0000_s1026" o:spt="1" style="position:absolute;left:475614;top:76355;height:279400;width:2229486;" filled="f" stroked="f" coordsize="21600,21600" o:gfxdata="UEsDBAoAAAAAAIdO4kAAAAAAAAAAAAAAAAAEAAAAZHJzL1BLAwQUAAAACACHTuJAKnoNm9gAAAAF&#10;AQAADwAAAGRycy9kb3ducmV2LnhtbE2PT0vDQBDF74LfYRnBi9hNKrWaZtNDQSwiFNM/5212mgSz&#10;s2l2m9Rv79RLvQxveMN7v0nnZ9uIHjtfO1IQjyIQSIUzNZUKNuu3xxcQPmgyunGECn7Qwzy7vUl1&#10;YtxAX9jnoRQcQj7RCqoQ2kRKX1RotR+5Fom9g+usDrx2pTSdHjjcNnIcRc/S6pq4odItLiosvvOT&#10;VTAUq363/nyXq4fd0tFxeVzk2w+l7u/iaAYi4Dlcj+GCz+iQMdPench40SjgR8LfZG86Hccg9iye&#10;Xicgs1T+p89+AVBLAwQUAAAACACHTuJANVzP0jgCAABHBAAADgAAAGRycy9lMm9Eb2MueG1srVNL&#10;jtQwEN0jcQfLezofkv5E7R6NpjUIaYCRBg7gdpyORfzBdncyXAaJHYfgOIhrUHbSM82wmQVZWOWU&#10;/areq+f1xSA7dOTWCa0IzmYpRlwxXQu1J/jTx+tXS4ycp6qmnVac4Hvu8MXm5Yt1byqe61Z3NbcI&#10;QJSrekNw672pksSxlkvqZtpwBclGW0k9bO0+qS3tAV12SZ6m86TXtjZWM+4c/N2OSTwh2ucA6qYR&#10;jG81O0iu/IhqeUc9UHKtMA5vYrdNw5n/0DSOe9QRDEx9XKEIxLuwJps1rfaWmlawqQX6nBaecJJU&#10;KCj6ALWlnqKDFf9AScGsdrrxM6ZlMhKJigCLLH2izV1LDY9cQGpnHkR3/w+WvT/eWiRqgvMyX+Rl&#10;ucJIUQlz//3tx6+f31EeNeqNq+Donbm1gaUzN5p9dkjpq5aqPb+0VvctpzV0lgVNk78uhI2Dq2jX&#10;v9M1YNOD11GuobEyAIIQaCC4WJTzrMDonuDF/HVZjuPhg0cMsnmer4rlHCMG+XyxKtLYW0KrE4yx&#10;zr/hWqIQEGxh/LEMPd44H9qi1elIqKr0tei6aIFOoZ7gVZmX8cJZRgoPfu+EJHiZhi/yo1WnAgSP&#10;HpvQTzyD+1zlh90A2CHc6foe6Fs9+g9eHwSttl8x6sF7BLsvB2o5Rt1bBRKusqIIZo2bolzADJA9&#10;z+zOM1QxgCLYYzSGV340+MFYsW+hUjZxugTZGxGFeOxqGhb4K+ozvYVg4PN9PPX4/j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p6DZvYAAAABQEAAA8AAAAAAAAAAQAgAAAAIgAAAGRycy9kb3du&#10;cmV2LnhtbFBLAQIUABQAAAAIAIdO4kA1XM/SOAIAAEcEAAAOAAAAAAAAAAEAIAAAACcBAABkcnMv&#10;ZTJvRG9jLnhtbFBLBQYAAAAABgAGAFkBAADRBQAAAAA=&#10;">
                        <v:fill on="f" focussize="0,0"/>
                        <v:stroke on="f" miterlimit="8" joinstyle="miter"/>
                        <v:imagedata o:title=""/>
                        <o:lock v:ext="edit" aspectratio="f"/>
                        <v:textbox>
                          <w:txbxContent>
                            <w:p>
                              <w:pPr>
                                <w:jc w:val="center"/>
                              </w:pPr>
                              <w:r>
                                <w:rPr>
                                  <w:rFonts w:hint="eastAsia" w:ascii="Times New Roman" w:hAnsi="Times New Roman" w:eastAsia="宋体" w:cs="Times New Roman"/>
                                  <w:kern w:val="0"/>
                                </w:rPr>
                                <w:t>7</w:t>
                              </w:r>
                              <w:r>
                                <w:rPr>
                                  <w:rFonts w:ascii="Times New Roman" w:hAnsi="Times New Roman" w:eastAsia="宋体" w:cs="Times New Roman"/>
                                  <w:kern w:val="0"/>
                                </w:rPr>
                                <w:t>A09</w:t>
                              </w:r>
                              <w:r>
                                <w:rPr>
                                  <w:rFonts w:hint="eastAsia" w:ascii="Times New Roman" w:hAnsi="Times New Roman" w:eastAsia="宋体" w:cs="Times New Roman"/>
                                  <w:kern w:val="0"/>
                                </w:rPr>
                                <w:t>铝合金</w:t>
                              </w:r>
                            </w:p>
                          </w:txbxContent>
                        </v:textbox>
                      </v:rect>
                      <v:rect id="矩形 40" o:spid="_x0000_s1026" o:spt="1" style="position:absolute;left:1275080;top:2494913;height:279400;width:692150;" filled="f" stroked="t" coordsize="21600,21600" o:gfxdata="UEsDBAoAAAAAAIdO4kAAAAAAAAAAAAAAAAAEAAAAZHJzL1BLAwQUAAAACACHTuJAtgie6NUAAAAF&#10;AQAADwAAAGRycy9kb3ducmV2LnhtbE2PQU8CMRCF7yT8h2ZMvEF3MQiu2yVg5EoimqC3sh3bDdvp&#10;ZltY/PeOXvQyeZM3ee+bcnX1rbhgH5tACvJpBgKpDqYhq+DtdTtZgohJk9FtIFTwhRFW1XhU6sKE&#10;gV7wsk9WcAjFQitwKXWFlLF26HWchg6Jvc/Qe5147a00vR443LdylmX30uuGuMHpDp8c1qf92St4&#10;7j5267mNcn1I7v0UNsPW7axStzd59ggi4TX9HcMPPqNDxUzHcCYTRauAH0m/k73FYpaDOLK4e5iD&#10;rEr5n776BlBLAwQUAAAACACHTuJAzLJQH00CAAB0BAAADgAAAGRycy9lMm9Eb2MueG1srVTNbtQw&#10;EL4j8Q6W7zSbkP1J1GxV7aoIqUClwgN4HWdjYXuM7d1seRkkbjwEj4N4DcbOtl3KpQdyiGYy429m&#10;vvmc84uDVmQvnJdgGpqfTSgRhkMrzbahnz5evVpQ4gMzLVNgREPvhKcXy5cvzgdbiwJ6UK1wBEGM&#10;rwfb0D4EW2eZ573QzJ+BFQaDHTjNArpum7WODYiuVVZMJrNsANdaB1x4j1/XY5AeEd1zAKHrJBdr&#10;4DstTBhRnVAs4Ei+l9bTZeq26wQPH7rOi0BUQ3HSkN5YBO1NfGfLc1ZvHbO95McW2HNaeDKTZtJg&#10;0QeoNQuM7Jz8B0pL7sBDF8446GwcJDGCU+STJ9zc9syKNAtS7e0D6f7/wfL3+xtHZItKKKppWc7m&#10;s4oSwzRu/ve3H79+fidlYmmwvsbkW3vj4pzeXgP/7ImBVc/MVlw6B0MvWIu95ZHV7K8D0fF4lGyG&#10;d9AiNtsFSIQdOqcjIFJBDrGL+XSywO3cNbQoq7LKX487EodAOCbMqiKfYpzHhHlVTlJ3Gavvgazz&#10;4Y0ATaLRUIcSSIXY/tqH2Bir71NiXQNXUqkkA2XI0NBqWkzTAQ9KtjGY5nXbzUo5smdRSOlJUyIT&#10;p2laBrwcSuqGLk6TlIkgIgny2MY9JVGqvg6HzQGbiOYG2jtkysEoVryqaPTgvlIyoFAb6r/smBOU&#10;qLcG2a7yEjdEQnLK6bxAx51GNqcRZjhCNTRQMpqrMN6GnXVy22OlPA1v4BI31MnE2GNXx72iGBOR&#10;x4sT1X7qp6zHn8Xy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YInujVAAAABQEAAA8AAAAAAAAA&#10;AQAgAAAAIgAAAGRycy9kb3ducmV2LnhtbFBLAQIUABQAAAAIAIdO4kDMslAfTQIAAHQEAAAOAAAA&#10;AAAAAAEAIAAAACQBAABkcnMvZTJvRG9jLnhtbFBLBQYAAAAABgAGAFkBAADjBQAAAAA=&#10;">
                        <v:fill on="f" focussize="0,0"/>
                        <v:stroke color="#000000" miterlimit="8" joinstyle="miter"/>
                        <v:imagedata o:title=""/>
                        <o:lock v:ext="edit" aspectratio="f"/>
                        <v:textbox>
                          <w:txbxContent>
                            <w:p>
                              <w:pPr>
                                <w:jc w:val="center"/>
                              </w:pPr>
                              <w:r>
                                <w:rPr>
                                  <w:rFonts w:hint="eastAsia"/>
                                </w:rPr>
                                <w:t>清理</w:t>
                              </w:r>
                            </w:p>
                          </w:txbxContent>
                        </v:textbox>
                      </v:rect>
                      <v:line id="直线 46" o:spid="_x0000_s1026" o:spt="20" style="position:absolute;left:1602105;top:2771771;height:342265;width:635;" filled="f" stroked="t" coordsize="21600,21600" o:gfxdata="UEsDBAoAAAAAAIdO4kAAAAAAAAAAAAAAAAAEAAAAZHJzL1BLAwQUAAAACACHTuJA9YXaktUAAAAF&#10;AQAADwAAAGRycy9kb3ducmV2LnhtbE2PS0/EMAyE70j8h8hI3Nik5bHd0nSFQMBlhWBBnLONaSsS&#10;p0qyD/49hgtcrLHGmvncLA/eiR3GNAbSUMwUCKQu2JF6DW+v92cViJQNWeMCoYYvTLBsj48aU9uw&#10;pxfcrXMvOIRSbTQMOU+1lKkb0Js0CxMSex8hepN5jb200ew53DtZKnUlvRmJGwYz4e2A3ed66zU8&#10;OlrFiyqaslI3i6f+rnx+tw9an54U6hpExkP+O4YffEaHlpk2YUs2CaeBH8m/k735vCxAbFicLy5B&#10;to38T99+A1BLAwQUAAAACACHTuJAKhsEYAsCAADyAwAADgAAAGRycy9lMm9Eb2MueG1srVNBbtsw&#10;ELwX6B8I3hvJsi23guUc7KaXtDWQ9AE0SUlEKS5B0pb9ln6jp176nHwjS1pOm/SSQwWB4HJ3Z3eG&#10;y+X1sdfkIJ1XYGo6ucopkYaDUKat6bf7m3fvKfGBGcE0GFnTk/T0evX2zXKwlSygAy2kIwhifDXY&#10;mnYh2CrLPO9kz/wVWGnQ2YDrWUDTtZlwbED0XmdFnpfZAE5YB1x6j6ebs5OOiO41gNA0issN8H0v&#10;TTijOqlZQEq+U9bTVeq2aSQPX5vGy0B0TZFpSCsWwf0urtlqyarWMdspPrbAXtPCC049UwaLPkFt&#10;WGBk79Q/UL3iDjw04YpDn52JJEWQxSR/oc1dx6xMXFBqb59E9/8Pln85bB1RoqbTab4oysVsTolh&#10;PV78w4+fD79+k1kZRRqsrzB2bbYu0uRHc2dvgX/3xMC6Y6aVqdn7k8XMSczInqVEw1sstRs+g8AY&#10;tg+QFDs2ro+QqAU5Ym6ZF5McmzjVtFgsJvifL0keA+EYUE7RydE7nRVFOU+lWHVBsc6HTxJ6Ejc1&#10;1cpEAVnFDrc+xK5YdQmJxwZulNZpCLQhQ00/zIt5SvCglYjOGOZdu1trRw4sjlH6xrrPwhzsjUhg&#10;gSn90QgSkh7BKVRISxor9FJQoiW+Pd2OINrEIjKN69jmRa+z8jsQp627iIqjkIiMYxtn7W87Sf/n&#10;qa4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WF2pLVAAAABQEAAA8AAAAAAAAAAQAgAAAAIgAA&#10;AGRycy9kb3ducmV2LnhtbFBLAQIUABQAAAAIAIdO4kAqGwRgCwIAAPIDAAAOAAAAAAAAAAEAIAAA&#10;ACQBAABkcnMvZTJvRG9jLnhtbFBLBQYAAAAABgAGAFkBAAChBQAAAAA=&#10;">
                        <v:fill on="f" focussize="0,0"/>
                        <v:stroke color="#000000" joinstyle="round" endarrow="block" endarrowlength="long"/>
                        <v:imagedata o:title=""/>
                        <o:lock v:ext="edit" aspectratio="f"/>
                      </v:line>
                      <v:line id="直线 50" o:spid="_x0000_s1026" o:spt="20" style="position:absolute;left:1967230;top:2627699;height:0;width:546100;" filled="f" stroked="t" coordsize="21600,21600" o:gfxdata="UEsDBAoAAAAAAIdO4kAAAAAAAAAAAAAAAAAEAAAAZHJzL1BLAwQUAAAACACHTuJAqxGFktcAAAAF&#10;AQAADwAAAGRycy9kb3ducmV2LnhtbE2PzU7DMBCE70i8g7WVuFEn5ac0jVMBogdUgUSDOLvx1oka&#10;r6PYadq3Z+ECl9WsZjXzbb46uVYcsQ+NJwXpNAGBVHnTkFXwWa6vH0CEqMno1hMqOGOAVXF5kevM&#10;+JE+8LiNVnAIhUwrqGPsMilDVaPTYeo7JPb2vnc68tpbaXo9crhr5SxJ7qXTDXFDrTt8rrE6bAen&#10;YFyXXy/29u3wOpzlEMyT3ZTvj0pdTdJkCSLiKf4dww8+o0PBTDs/kAmiVcCPxN/J3nw+S0HsWNws&#10;7kAWufxPX3wDUEsDBBQAAAAIAIdO4kAtsteQFgIAAAgEAAAOAAAAZHJzL2Uyb0RvYy54bWytU8Fy&#10;2yAQvXem/8Bwr2UrsVxrLOdgN72krWeSfgAGJDEFlgFs2d/S3+ipl35OfqMLttM0veRQHTTA7r59&#10;77Esbg5Gk730QYFt6GQ0pkRaDkLZrqFfH27fvackRGYF02BlQ48y0Jvl2zeLwdWyhB60kJ4giA31&#10;4Brax+jqogi8l4aFEThpMdiCNyzi1neF8GxAdKOLcjyuigG8cB64DAFP16cgPSP61wBC2you18B3&#10;Rtp4QvVSs4iSQq9coMvMtm0lj1/aNshIdENRacx/bILrbfoXywWrO89cr/iZAnsNhReaDFMWmz5B&#10;rVlkZOfVP1BGcQ8B2jjiYIqTkOwIqpiMX3hz3zMnsxa0Orgn08P/g+Wf9xtPlGhoeT27qqrpbEKJ&#10;ZQYv/vH7j8efv8g0mzS4UGPuym58kskP9t7dAf8WiIVVz2wnM9mHo8PKSbK1+KskbYLDVtvhEwjM&#10;YbsI2bFD602CRC/IAWvn1ay8wus5IqWqnFXz+emS5CESjgnT62oyxjjHhEytYPUFw/kQP0owJC0a&#10;qpVN9rGa7e9CTJxYfUlJxxZuldZ5BLQlQ0Pn03KaCwJoJVIwpQXfbVfakz1LQ5S/LBAjz9MS8pqF&#10;/pQncHUi7mFnRW4SmdIfrCAxuxS9Qt+0pKmzkYISLfFF6u4Mrm1qLvMQn+lfXEzjHeotiOPGX6zG&#10;AckCz8OcJvD5Pl/Inwe8/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rEYWS1wAAAAUBAAAPAAAA&#10;AAAAAAEAIAAAACIAAABkcnMvZG93bnJldi54bWxQSwECFAAUAAAACACHTuJALbLXkBYCAAAIBAAA&#10;DgAAAAAAAAABACAAAAAmAQAAZHJzL2Uyb0RvYy54bWxQSwUGAAAAAAYABgBZAQAArgUAAAAA&#10;">
                        <v:fill on="f" focussize="0,0"/>
                        <v:stroke color="#000000" joinstyle="round" dashstyle="dash" endarrow="block" endarrowlength="long"/>
                        <v:imagedata o:title=""/>
                        <o:lock v:ext="edit" aspectratio="f"/>
                      </v:line>
                      <v:rect id="矩形 51" o:spid="_x0000_s1026" o:spt="1" style="position:absolute;left:2500630;top:2494350;height:327028;width:2004696;" filled="f" stroked="t" coordsize="21600,21600" o:gfxdata="UEsDBAoAAAAAAIdO4kAAAAAAAAAAAAAAAAAEAAAAZHJzL1BLAwQUAAAACACHTuJAtuLsMtQAAAAF&#10;AQAADwAAAGRycy9kb3ducmV2LnhtbE2PzU7DMBCE70i8g7VIXFBrp0BaQpweEJU4IVGQenXtJYmw&#10;11Hs9OftWbjAZbWrWc18U69PwYsDjqmPpKGYKxBINrqeWg0f75vZCkTKhpzxkVDDGROsm8uL2lQu&#10;HukND9vcCjahVBkNXc5DJWWyHQaT5nFAYu0zjsFkPsdWutEc2Tx4uVCqlMH0xAmdGfCpQ/u1nQKH&#10;2OdJ+Rf/uqHzrszlnR1vaKX19VWhHkFkPOW/Z/jBZ3RomGkfJ3JJeA1cJP9O1pbLRQFiz8vtwz3I&#10;ppb/6ZtvUEsDBBQAAAAIAIdO4kBAg47nVQIAAIwEAAAOAAAAZHJzL2Uyb0RvYy54bWytVEtu2zAQ&#10;3RfoHQjua8myHH8QOQhspCiQtgHSHoCmKIsofx3SltPLFOguh+hxil6jQ0pJnXSTRbUQZsThm5k3&#10;b3R+cdSKHAR4aU1Fx6OcEmG4raXZVfTzp6s3c0p8YKZmyhpR0Tvh6cXq9avzzi1FYVuragEEQYxf&#10;dq6ibQhumWWet0IzP7JOGDxsLGgW0IVdVgPrEF2rrMjzs6yzUDuwXHiPXzf9IR0Q4SWAtmkkFxvL&#10;91qY0KOCUCxgS76VztNVqrZpBA8fm8aLQFRFsdOQ3pgE7W18Z6tzttwBc63kQwnsJSU860kzaTDp&#10;I9SGBUb2IP+B0pKD9bYJI2511jeSGMEuxvkzbm5b5kTqBan27pF0//9g+YfDDRBZV3SxWEzK2byc&#10;UWKYxsH//n7/6+cPMh1Hkjrnlxh7624gtundteVfPDF23TKzE5cAtmsFq7G0FJ89uRAdj1fJtntv&#10;a8Rm+2ATX8cGdAREJsixosUUFTLB4dyhXS7KyXQYkTgGwmNAnpdnizNKOEZMillezGN5GVs+IDnw&#10;4a2wmkSjooASSJnY4dqHPvQhJCY29koqlWSgDOmQh2kxTRe8VbKOh6lh2G3XCsiBRSGlZ8j7JCwi&#10;b5hv+7garV5hWgZcGiV1Reenl5WJ4CIJdSjvgaue83DcHgf6t7a+QwrB9iLGFUajtfCNkg4FXFH/&#10;dc9AUKLeGRzDYlyWUfHJKaezAh04PdmenjDDEaqigZLeXId+S/YO5K7FTONEirGXOLpGJiZjqX1V&#10;OIHooEjTLIaFiltw6qeovz+R1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24uwy1AAAAAUBAAAP&#10;AAAAAAAAAAEAIAAAACIAAABkcnMvZG93bnJldi54bWxQSwECFAAUAAAACACHTuJAQIOO51UCAACM&#10;BAAADgAAAAAAAAABACAAAAAjAQAAZHJzL2Uyb0RvYy54bWxQSwUGAAAAAAYABgBZAQAA6gUAAAAA&#10;">
                        <v:fill on="f" focussize="0,0"/>
                        <v:stroke color="#000000" miterlimit="8" joinstyle="miter" dashstyle="dash"/>
                        <v:imagedata o:title=""/>
                        <o:lock v:ext="edit" aspectratio="f"/>
                        <v:textbox>
                          <w:txbxContent>
                            <w:p>
                              <w:pPr>
                                <w:jc w:val="left"/>
                              </w:pPr>
                              <w:r>
                                <w:rPr>
                                  <w:rFonts w:hint="eastAsia"/>
                                </w:rPr>
                                <w:t>V</w:t>
                              </w:r>
                              <w:r>
                                <w:t>OCs</w:t>
                              </w:r>
                              <w:r>
                                <w:rPr>
                                  <w:rFonts w:hint="eastAsia"/>
                                </w:rPr>
                                <w:t>、含污废抹布、废手套</w:t>
                              </w:r>
                            </w:p>
                          </w:txbxContent>
                        </v:textbox>
                      </v:rect>
                      <v:shape id="_x0000_s1026" o:spid="_x0000_s1026" o:spt="32" type="#_x0000_t32" style="position:absolute;left:768985;top:1390013;height:0;width:350520;" filled="f" stroked="t" coordsize="21600,21600" o:gfxdata="UEsDBAoAAAAAAIdO4kAAAAAAAAAAAAAAAAAEAAAAZHJzL1BLAwQUAAAACACHTuJAXWbq/tcAAAAF&#10;AQAADwAAAGRycy9kb3ducmV2LnhtbE2PzU7DMBCE70i8g7VI3KiTIlIa4lSCCpELlWgR4ujGS2wR&#10;r6PY/ePpWbjAZTWrWc18Wy2Ovhd7HKMLpCCfZCCQ2mAcdQpeN49XtyBi0mR0HwgVnDDCoj4/q3Rp&#10;woFecL9OneAQiqVWYFMaSilja9HrOAkDEnsfYfQ68Tp20oz6wOG+l9MsK6TXjrjB6gEfLLaf651X&#10;kJbvJ1u8tfdzt9o8PRfuq2mapVKXF3l2ByLhMf0dww8+o0PNTNuwIxNFr4AfSb+TvdlsmoPYsrie&#10;34CsK/mfvv4GUEsDBBQAAAAIAIdO4kCPXSkQJwIAABQEAAAOAAAAZHJzL2Uyb0RvYy54bWytU0uO&#10;EzEQ3SNxB8t70p0vSSudWSQMGwQjAQeouN3dlvyT7Uknl+ACSKyAFcNq9pwGhmNQdiczw7CZBb2w&#10;7K6q53qvnpdneyXJjjsvjC7pcJBTwjUzldBNSd+/O382p8QH0BVIo3lJD9zTs9XTJ8vOFnxkWiMr&#10;7giCaF90tqRtCLbIMs9arsAPjOUag7VxCgIeXZNVDjpEVzIb5fks64yrrDOMe49/N32QHhHdYwBN&#10;XQvGN4ZdKq5Dj+q4hICUfCusp6vUbV1zFt7UteeByJIi05BWvAT327hmqyUUjQPbCnZsAR7TwgNO&#10;CoTGS2+hNhCAXDrxD5QSzBlv6jBgRmU9kaQIshjmD7R524LliQtK7e2t6P7/wbLXuwtHRFXS+Xw2&#10;nkzyfEiJBoWDv/l4/evDl5vvVz8/X//+8Snuv30ld2koXWd9gQhrfeEiea6r9V4ntOFsMprOJosZ&#10;Ci2qPRotSp39VRAP3val+9qpCIGKEMx+Ppsv5lNKDlg4XmBT435SfB8Iw/h4mk9HCM0wIQ0xg+IE&#10;YZ0PL7lRJG5K6oMD0bRhbbRGOxg3TIOC3SsfYktQnAri/dqcCymTK6QmXUkX0xH2wQCdXqPDcKss&#10;quV1QwnIBp8QCy4heiNFFasjjnfNdi0d2UE0XvqSABi5nxav3oBv+7wU6okGEPKFrkg4WBxFcAJ0&#10;I/kRQuqjlL16UcetqQ4X7iQxmiUxOxo7uvH+OVXfPeb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1m6v7XAAAABQEAAA8AAAAAAAAAAQAgAAAAIgAAAGRycy9kb3ducmV2LnhtbFBLAQIUABQAAAAI&#10;AIdO4kCPXSkQJwIAABQEAAAOAAAAAAAAAAEAIAAAACYBAABkcnMvZTJvRG9jLnhtbFBLBQYAAAAA&#10;BgAGAFkBAAC/BQAAAAA=&#10;">
                        <v:fill on="f" focussize="0,0"/>
                        <v:stroke color="#000000 [3213]" joinstyle="round" endarrow="block"/>
                        <v:imagedata o:title=""/>
                        <o:lock v:ext="edit" aspectratio="f"/>
                      </v:shape>
                      <v:rect id="矩形 20" o:spid="_x0000_s1026" o:spt="1" style="position:absolute;left:84290;top:1065704;height:619103;width:768985;" filled="f" stroked="f" coordsize="21600,21600" o:gfxdata="UEsDBAoAAAAAAIdO4kAAAAAAAAAAAAAAAAAEAAAAZHJzL1BLAwQUAAAACACHTuJAKnoNm9gAAAAF&#10;AQAADwAAAGRycy9kb3ducmV2LnhtbE2PT0vDQBDF74LfYRnBi9hNKrWaZtNDQSwiFNM/5212mgSz&#10;s2l2m9Rv79RLvQxveMN7v0nnZ9uIHjtfO1IQjyIQSIUzNZUKNuu3xxcQPmgyunGECn7Qwzy7vUl1&#10;YtxAX9jnoRQcQj7RCqoQ2kRKX1RotR+5Fom9g+usDrx2pTSdHjjcNnIcRc/S6pq4odItLiosvvOT&#10;VTAUq363/nyXq4fd0tFxeVzk2w+l7u/iaAYi4Dlcj+GCz+iQMdPench40SjgR8LfZG86Hccg9iye&#10;Xicgs1T+p89+AVBLAwQUAAAACACHTuJA4RlaRjkCAABJBAAADgAAAGRycy9lMm9Eb2MueG1srVRL&#10;btswEN0X6B0I7mtJtuXIguUgiJGiQNoGSHsAmqIsovyVpC25lynQXQ7R4xS9RoeUnLjpJotqIQw1&#10;5Jt5bx61uuylQAdmHdeqwtkkxYgpqmuudhX+/OnmTYGR80TVRGjFKnxkDl+uX79adaZkU91qUTOL&#10;AES5sjMVbr03ZZI42jJJ3EQbpiDZaCuJh6XdJbUlHaBLkUzTdJF02tbGasqcg6+bIYlHRPsSQN00&#10;nLKNpnvJlB9QLRPEAyXXcuPwOnbbNIz6j03jmEeiwsDUxzcUgXgb3sl6RcqdJabldGyBvKSFZ5wk&#10;4QqKPkJtiCdob/k/UJJTq51u/IRqmQxEoiLAIkufaXPfEsMiF5DamUfR3f+DpR8OdxbxGpyQL7Js&#10;VhSzKUaKSJj87+8Pv37+QNOoUmdcCZvvzZ0NPJ251fSLQ0pft0Tt2JW1umsZqaG3LKia/HUgLBwc&#10;Rdvuva4Bm+y9joL1jZUBEKRAfYWL+XQJszkCSrrIL9L5MCHWe0QhfbEolkWOEYUNi2yZpbNYi5Qn&#10;GGOdf8u0RCGosAUDxDLkcOt8aIuUpy2hqtI3XIhoAqFQV+FlPs3jgbOM5B4cL7iE9tLwjDWFChAs&#10;umxEP/EM/nOl77c9YIdwq+sj0Ld6cCDcPwhabb9h1IH7Kuy+7ollGIl3CiRcZvN5sGtczPMLmAGy&#10;55nteYYoClAV9hgN4bUfLL43lu9aqJSNnK5A9oZHIZ66GocFDov6jLchWPh8HXc9/QH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qeg2b2AAAAAUBAAAPAAAAAAAAAAEAIAAAACIAAABkcnMvZG93&#10;bnJldi54bWxQSwECFAAUAAAACACHTuJA4RlaRjkCAABJBAAADgAAAAAAAAABACAAAAAnAQAAZHJz&#10;L2Uyb0RvYy54bWxQSwUGAAAAAAYABgBZAQAA0gUAAAAA&#10;">
                        <v:fill on="f" focussize="0,0"/>
                        <v:stroke on="f" miterlimit="8" joinstyle="miter"/>
                        <v:imagedata o:title=""/>
                        <o:lock v:ext="edit" aspectratio="f"/>
                        <v:textbox>
                          <w:txbxContent>
                            <w:p>
                              <w:pPr>
                                <w:adjustRightInd w:val="0"/>
                                <w:snapToGrid w:val="0"/>
                                <w:jc w:val="center"/>
                              </w:pPr>
                              <w:r>
                                <w:rPr>
                                  <w:rFonts w:hint="eastAsia" w:ascii="Times New Roman" w:hAnsi="Times New Roman" w:eastAsia="宋体" w:cs="Times New Roman"/>
                                  <w:kern w:val="0"/>
                                </w:rPr>
                                <w:t>成品发动机壳体、结构件</w:t>
                              </w:r>
                            </w:p>
                          </w:txbxContent>
                        </v:textbox>
                      </v:rect>
                      <v:rect id="矩形 35" o:spid="_x0000_s1026" o:spt="1" style="position:absolute;left:12065;top:2821378;height:971260;width:859790;" filled="f" stroked="f" coordsize="21600,21600" o:gfxdata="UEsDBAoAAAAAAIdO4kAAAAAAAAAAAAAAAAAEAAAAZHJzL1BLAwQUAAAACACHTuJAKnoNm9gAAAAF&#10;AQAADwAAAGRycy9kb3ducmV2LnhtbE2PT0vDQBDF74LfYRnBi9hNKrWaZtNDQSwiFNM/5212mgSz&#10;s2l2m9Rv79RLvQxveMN7v0nnZ9uIHjtfO1IQjyIQSIUzNZUKNuu3xxcQPmgyunGECn7Qwzy7vUl1&#10;YtxAX9jnoRQcQj7RCqoQ2kRKX1RotR+5Fom9g+usDrx2pTSdHjjcNnIcRc/S6pq4odItLiosvvOT&#10;VTAUq363/nyXq4fd0tFxeVzk2w+l7u/iaAYi4Dlcj+GCz+iQMdPench40SjgR8LfZG86Hccg9iye&#10;Xicgs1T+p89+AVBLAwQUAAAACACHTuJAasDUxiQCAAAoBAAADgAAAGRycy9lMm9Eb2MueG1srVNL&#10;btswEN0X6B0I7mt94p8Ey0EQI0WBtA2Q9gA0RVlEJQ5L0pbcyxToLofocYpeo0NKTp10k0U3Aocz&#10;fDPvzdPqsm8bchDGSlAFTSYxJUJxKKXaFfTzp5s3S0qsY6pkDShR0KOw9HL9+tWq07lIoYamFIYg&#10;iLJ5pwtaO6fzKLK8Fi2zE9BCYbIC0zKHodlFpWEdordNlMbxPOrAlNoAF9bi7WZI0hHRvAQQqkpy&#10;sQG+b4VyA6oRDXNIydZSW7oO01aV4O5jVVnhSFNQZOrCF5vgeeu/0XrF8p1hupZ8HIG9ZIRnnFom&#10;FTZ9hNowx8jeyH+gWskNWKjchEMbDUSCIsgiiZ9pc18zLQIXlNrqR9Ht/4PlHw53hsiyoLNpPM+y&#10;ZTqjRLEWF//7+8Ovnz/IxcyL1GmbY+29vjOeptW3wL9YouC6ZmonroyBrhasxNESXx89eeADi0/J&#10;tnsPJWKzvYOgV1+Z1gOiEqTHt2k8xwGOBU2XaXKxWA4LEr0jHNPLWbbIcHUcC7JFks7DAiOWn2C0&#10;se6tgJb4Q0EN7j+0YYdb6/xYLD+V+K4KbmTTBA806skFFg43IphofH3iMejh+m0/SrOF8oj0DAwG&#10;w98LDzWYb5R0aK6C2q97ZgQlzTuFEmXJdOrdGILpbJFiYM4z2/MMUxyhCuooGY7XbnDwXhu5q7FT&#10;EkgquEJZKxmI+lGHqcZloIEC/9Hs3qHncaj6+4O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eg2b2AAAAAUBAAAPAAAAAAAAAAEAIAAAACIAAABkcnMvZG93bnJldi54bWxQSwECFAAUAAAACACH&#10;TuJAasDUxiQCAAAoBAAADgAAAAAAAAABACAAAAAnAQAAZHJzL2Uyb0RvYy54bWxQSwUGAAAAAAYA&#10;BgBZAQAAvQUAAAAA&#10;">
                        <v:fill on="f" focussize="0,0"/>
                        <v:stroke on="f"/>
                        <v:imagedata o:title=""/>
                        <o:lock v:ext="edit" aspectratio="f"/>
                        <v:textbox>
                          <w:txbxContent>
                            <w:p>
                              <w:pPr>
                                <w:jc w:val="center"/>
                              </w:pPr>
                              <w:r>
                                <w:rPr>
                                  <w:rFonts w:hint="eastAsia" w:ascii="Times New Roman" w:hAnsi="Times New Roman" w:eastAsia="宋体" w:cs="Times New Roman"/>
                                  <w:kern w:val="0"/>
                                </w:rPr>
                                <w:t>防热涂料、油性面漆、油性底漆、水性面漆</w:t>
                              </w:r>
                            </w:p>
                          </w:txbxContent>
                        </v:textbox>
                      </v:rect>
                      <v:line id="直线 810" o:spid="_x0000_s1026" o:spt="20" style="position:absolute;left:870585;top:2035401;height:635;width:404495;" filled="f" stroked="t" coordsize="21600,21600" o:gfxdata="UEsDBAoAAAAAAIdO4kAAAAAAAAAAAAAAAAAEAAAAZHJzL1BLAwQUAAAACACHTuJAoOKwjdUAAAAF&#10;AQAADwAAAGRycy9kb3ducmV2LnhtbE2PQU/DMAyF70j8h8hI3FjSIRiUpjsgBifE2Ng9a7y20DhV&#10;krWFX4/hAhfrWc9673OxnFwnBgyx9aQhmykQSJW3LdUa3rarixsQMRmypvOEGj4xwrI8PSlMbv1I&#10;rzhsUi04hGJuNDQp9bmUsWrQmTjzPRJ7Bx+cSbyGWtpgRg53nZwrdS2daYkbGtPjfYPVx+boNDw9&#10;hl2Y1Gorv6rhedy9v6zTw0Hr87NM3YFIOKW/Y/jBZ3QomWnvj2Sj6DTwI+l3srdYzDMQexaXt1cg&#10;y0L+py+/AVBLAwQUAAAACACHTuJAF47pmBQCAAAOBAAADgAAAGRycy9lMm9Eb2MueG1srVPBctsg&#10;EL13pv/AcK8ly5bjaCLnYDe9pK1nkn7AGpDEFAED2LK/pb/RUy/9nPxGFmwnTdpDDtWBEezbt/se&#10;y9X1vldkJ5yXRtd0PMopEZoZLnVb02/3Nx/mlPgAmoMyWtT0IDy9Xrx/dzXYShSmM4oLR5BE+2qw&#10;Ne1CsFWWedaJHvzIWKEx2BjXQ8CtazPuYED2XmVFns+ywThunWHCezxdHYP0xOjeQmiaRjKxMmzb&#10;Cx2OrE4oCCjJd9J6ukjdNo1g4WvTeBGIqikqDWnFIvi/iWu2uIKqdWA7yU4twFtaeKWpB6mx6BPV&#10;CgKQrZN/UfWSOeNNE0bM9NlRSHIEVYzzV97cdWBF0oJWe/tkuv9/tOzLbu2I5DgJxUU5LmaTGd6/&#10;hh5v/uHHz4dfv8l8nGwarK8QvdRrF4Wyvb6zt4Z990SbZQe6Fand+4PF1HE0NnuREjfeYrHN8Nlw&#10;xMA2mOTZvnF9pEQ3yL6m84u8nJeUHGpa5JNymicyqMQ+EIbxaT6dXmKcIWA2KVMlqM4k1vnwSZie&#10;xJ+aKqmjg1DB7taH2BRUZ0g81uZGKpWmQGky1PSyLMqU4I2SPAYjzLt2s1SO7CDOUfpOdV/AnNlq&#10;nsg6Afyj5iQkOzS+JBrZe8EpUQIfnmqPsxdAqmdgcBKdVP8GY+tKn2yNTsYh99XG8MPane3GMUka&#10;TyMd5/DPfcp+fsaLR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DisI3VAAAABQEAAA8AAAAAAAAA&#10;AQAgAAAAIgAAAGRycy9kb3ducmV2LnhtbFBLAQIUABQAAAAIAIdO4kAXjumYFAIAAA4EAAAOAAAA&#10;AAAAAAEAIAAAACQBAABkcnMvZTJvRG9jLnhtbFBLBQYAAAAABgAGAFkBAACqBQAAAAA=&#10;">
                        <v:fill on="f" focussize="0,0"/>
                        <v:stroke color="#000000" joinstyle="round" startarrowlength="long" endarrow="block" endarrowlength="long"/>
                        <v:imagedata o:title=""/>
                        <o:lock v:ext="edit" aspectratio="f"/>
                      </v:line>
                      <v:rect id="矩形 35" o:spid="_x0000_s1026" o:spt="1" style="position:absolute;left:286874;top:1899105;height:280319;width:704927;" filled="f" stroked="f" coordsize="21600,21600" o:gfxdata="UEsDBAoAAAAAAIdO4kAAAAAAAAAAAAAAAAAEAAAAZHJzL1BLAwQUAAAACACHTuJAKnoNm9gAAAAF&#10;AQAADwAAAGRycy9kb3ducmV2LnhtbE2PT0vDQBDF74LfYRnBi9hNKrWaZtNDQSwiFNM/5212mgSz&#10;s2l2m9Rv79RLvQxveMN7v0nnZ9uIHjtfO1IQjyIQSIUzNZUKNuu3xxcQPmgyunGECn7Qwzy7vUl1&#10;YtxAX9jnoRQcQj7RCqoQ2kRKX1RotR+5Fom9g+usDrx2pTSdHjjcNnIcRc/S6pq4odItLiosvvOT&#10;VTAUq363/nyXq4fd0tFxeVzk2w+l7u/iaAYi4Dlcj+GCz+iQMdPench40SjgR8LfZG86Hccg9iye&#10;Xicgs1T+p89+AVBLAwQUAAAACACHTuJAyq75OiUCAAApBAAADgAAAGRycy9lMm9Eb2MueG1srVNL&#10;btswEN0X6B0I7mt9LNuSYDkIYqQokLYB0h6ApiiLqMRhSdpSepkC3eUQPU7Ra3REyamTbrLohuBw&#10;hm/mPT6uL/q2IUdhrARV0GgWUiIUh1KqfUE/f7p+k1JiHVMla0CJgt4LSy82r1+tO52LGGpoSmEI&#10;giibd7qgtXM6DwLLa9EyOwMtFCYrMC1zGJp9UBrWIXrbBHEYLoMOTKkNcGEtnm7HJJ0QzUsAoaok&#10;F1vgh1YoN6Ia0TCHlGwttaUbP21VCe4+VpUVjjQFRabOr9gE97thDTZrlu8N07Xk0wjsJSM849Qy&#10;qbDpI9SWOUYORv4D1UpuwELlZhzaYCTiFUEWUfhMm7uaaeG5oNRWP4pu/x8s/3C8NUSWBc3SJIqW&#10;8wU+v2ItPvzv7w+/fv4g88UgUqdtjrV3+tYMNK2+Af7FEgVXNVN7cWkMdLVgJY4WDfXBkwtDYPEq&#10;2XXvoURsdnDg9eor0w6AqATpCxqny3SVUHKPMGmWRaFvznLRO8IxvwqTLF5RwrEgTsN5lPlmLD/h&#10;aGPdWwEtGTYFNWgA34cdb6wb5mL5qWRoq+BaNo03QaOeHGDheCK8i6bbJyKjIK7f9ZM2OyjvkZ+B&#10;0WH4v3BTg/lGSYfuKqj9emBGUNK8U6hRFiXJYEcfJItVjIE5z+zOM0xxhCqoo2TcXrnRwgdt5L7G&#10;TpEnqeASda2kJzqMOk41vQY6yPOf3D5Y9Dz2VX9/+O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noNm9gAAAAFAQAADwAAAAAAAAABACAAAAAiAAAAZHJzL2Rvd25yZXYueG1sUEsBAhQAFAAAAAgA&#10;h07iQMqu+TolAgAAKQQAAA4AAAAAAAAAAQAgAAAAJwEAAGRycy9lMm9Eb2MueG1sUEsFBgAAAAAG&#10;AAYAWQEAAL4FAAAAAA==&#10;">
                        <v:fill on="f" focussize="0,0"/>
                        <v:stroke on="f"/>
                        <v:imagedata o:title=""/>
                        <o:lock v:ext="edit" aspectratio="f"/>
                        <v:textbox>
                          <w:txbxContent>
                            <w:p>
                              <w:pPr>
                                <w:jc w:val="center"/>
                              </w:pPr>
                              <w:r>
                                <w:rPr>
                                  <w:rFonts w:hint="eastAsia" w:ascii="Times New Roman" w:hAnsi="Times New Roman" w:eastAsia="宋体" w:cs="Times New Roman"/>
                                  <w:kern w:val="0"/>
                                </w:rPr>
                                <w:t>砂纸</w:t>
                              </w:r>
                            </w:p>
                          </w:txbxContent>
                        </v:textbox>
                      </v:rect>
                      <v:line id="直线 810" o:spid="_x0000_s1026" o:spt="20" style="position:absolute;left:857885;top:2619601;height:635;width:404495;" filled="f" stroked="t" coordsize="21600,21600" o:gfxdata="UEsDBAoAAAAAAIdO4kAAAAAAAAAAAAAAAAAEAAAAZHJzL1BLAwQUAAAACACHTuJAoOKwjdUAAAAF&#10;AQAADwAAAGRycy9kb3ducmV2LnhtbE2PQU/DMAyF70j8h8hI3FjSIRiUpjsgBifE2Ng9a7y20DhV&#10;krWFX4/hAhfrWc9673OxnFwnBgyx9aQhmykQSJW3LdUa3rarixsQMRmypvOEGj4xwrI8PSlMbv1I&#10;rzhsUi04hGJuNDQp9bmUsWrQmTjzPRJ7Bx+cSbyGWtpgRg53nZwrdS2daYkbGtPjfYPVx+boNDw9&#10;hl2Y1Gorv6rhedy9v6zTw0Hr87NM3YFIOKW/Y/jBZ3QomWnvj2Sj6DTwI+l3srdYzDMQexaXt1cg&#10;y0L+py+/AVBLAwQUAAAACACHTuJAFSi/RRQCAAANBAAADgAAAGRycy9lMm9Eb2MueG1srVPBctsg&#10;EL13pv/AcK8lObZiayLnYDe9pK1nkn7AGpDEFAED2LK/pb/RUy/9nPxGFmwnTdpDDtWBAfbt231P&#10;y9X1vldkJ5yXRte0GOWUCM0Ml7qt6bf7mw8zSnwAzUEZLWp6EJ5eL96/uxpsJcamM4oLR5BE+2qw&#10;Ne1CsFWWedaJHvzIWKEx2BjXQ8CjazPuYED2XmXjPC+zwThunWHCe7xdHYP0xOjeQmiaRjKxMmzb&#10;Cx2OrE4oCCjJd9J6ukjdNo1g4WvTeBGIqikqDWnFIrjfxDVbXEHVOrCdZKcW4C0tvNLUg9RY9Ilq&#10;BQHI1sm/qHrJnPGmCSNm+uwoJDmCKor8lTd3HViRtKDV3j6Z7v8fLfuyWzsieU0vy9lFWeZlQYmG&#10;Hn/8w4+fD79+k1mRXBqsrxC81GsXdbK9vrO3hn33RJtlB7oVqdv7g8XUIvqavUiJB2+x1mb4bDhi&#10;YBtMsmzfuD5SohlkX9PZ9HI2m1JyqOm4LOZlnsigEvtAGMYn+WQyxzhDQHkxTZWgOpNY58MnYXoS&#10;NzVVUkcDoYLdrQ+xKajOkHitzY1UKg2B0mSo6Xw6nqYEb5TkMRhh3rWbpXJkB3GM0neq+wLmzFbz&#10;RNYJ4B81JyHZofEh0cjeC06JEvjuVHscvQBSPQODk+ik+jcYW1f6ZGt0Ms64rzaGH9bubDdOSdJ4&#10;mug4hn+eU/bzK14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DisI3VAAAABQEAAA8AAAAAAAAA&#10;AQAgAAAAIgAAAGRycy9kb3ducmV2LnhtbFBLAQIUABQAAAAIAIdO4kAVKL9FFAIAAA0EAAAOAAAA&#10;AAAAAAEAIAAAACQBAABkcnMvZTJvRG9jLnhtbFBLBQYAAAAABgAGAFkBAACqBQAAAAA=&#10;">
                        <v:fill on="f" focussize="0,0"/>
                        <v:stroke color="#000000" joinstyle="round" startarrowlength="long" endarrow="block" endarrowlength="long"/>
                        <v:imagedata o:title=""/>
                        <o:lock v:ext="edit" aspectratio="f"/>
                      </v:line>
                      <v:rect id="矩形 35" o:spid="_x0000_s1026" o:spt="1" style="position:absolute;left:88901;top:2334569;height:468703;width:863042;" filled="f" stroked="f" coordsize="21600,21600" o:gfxdata="UEsDBAoAAAAAAIdO4kAAAAAAAAAAAAAAAAAEAAAAZHJzL1BLAwQUAAAACACHTuJAKnoNm9gAAAAF&#10;AQAADwAAAGRycy9kb3ducmV2LnhtbE2PT0vDQBDF74LfYRnBi9hNKrWaZtNDQSwiFNM/5212mgSz&#10;s2l2m9Rv79RLvQxveMN7v0nnZ9uIHjtfO1IQjyIQSIUzNZUKNuu3xxcQPmgyunGECn7Qwzy7vUl1&#10;YtxAX9jnoRQcQj7RCqoQ2kRKX1RotR+5Fom9g+usDrx2pTSdHjjcNnIcRc/S6pq4odItLiosvvOT&#10;VTAUq363/nyXq4fd0tFxeVzk2w+l7u/iaAYi4Dlcj+GCz+iQMdPench40SjgR8LfZG86Hccg9iye&#10;Xicgs1T+p89+AVBLAwQUAAAACACHTuJAjNMr7SQCAAApBAAADgAAAGRycy9lMm9Eb2MueG1srVNL&#10;btswEN0X6B0I7mtJlvwTLAdBjBQF0jZA2gPQFGURlTgsSVtKL1Oguxyixyl6jQ4pOXXSTRbdEEPO&#10;8M28x8f1Rd825CiMlaAKmkxiSoTiUEq1L+jnT9dvlpRYx1TJGlCioPfC0ovN61frTudiCjU0pTAE&#10;QZTNO13Q2jmdR5HltWiZnYAWCpMVmJY53Jp9VBrWIXrbRNM4nkcdmFIb4MJaPN0OSToimpcAQlVJ&#10;LrbAD61QbkA1omEOKdlaaks3YdqqEtx9rCorHGkKikxdWLEJxju/Rps1y/eG6VrycQT2khGecWqZ&#10;VNj0EWrLHCMHI/+BaiU3YKFyEw5tNBAJiiCLJH6mzV3NtAhcUGqrH0W3/w+WfzjeGiJLdMI0y9LF&#10;YjVFaRRr8eV/f3/49fMHSWdepU7bHIvv9K3xPK2+Af7FEgVXNVN7cWkMdLVgJc6W+ProyQW/sXiV&#10;7Lr3UCI2OzgIgvWVaT0gSkH6gi6Xqzih5L6g0zTNZvPV8EKid4T79DyNsyklHAuy+XIRp6EXy08w&#10;2lj3VkBLfFBQgwYIbdjxxjo/FstPJb6rgmvZNMEEjXpygIXDiQguGm+feAx6uH7Xj9LsoLxHegYG&#10;h+H/wqAG842SDt1VUPv1wIygpHmnUKJVkmXejmGTzRZedHOe2Z1nmOIIVVBHyRBeucHCB23kvsZO&#10;SSCp4BJlrWQg6kcdphofAx0U+I9u9xY934eqvz988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eg2b2AAAAAUBAAAPAAAAAAAAAAEAIAAAACIAAABkcnMvZG93bnJldi54bWxQSwECFAAUAAAACACH&#10;TuJAjNMr7SQCAAApBAAADgAAAAAAAAABACAAAAAnAQAAZHJzL2Uyb0RvYy54bWxQSwUGAAAAAAYA&#10;BgBZAQAAvQUAAAAA&#10;">
                        <v:fill on="f" focussize="0,0"/>
                        <v:stroke on="f"/>
                        <v:imagedata o:title=""/>
                        <o:lock v:ext="edit" aspectratio="f"/>
                        <v:textbox>
                          <w:txbxContent>
                            <w:p>
                              <w:pPr>
                                <w:jc w:val="center"/>
                              </w:pPr>
                              <w:r>
                                <w:rPr>
                                  <w:rFonts w:hint="eastAsia" w:ascii="Times New Roman" w:hAnsi="Times New Roman" w:eastAsia="宋体" w:cs="Times New Roman"/>
                                  <w:kern w:val="0"/>
                                </w:rPr>
                                <w:t>清洗剂、抹布、手套</w:t>
                              </w:r>
                            </w:p>
                          </w:txbxContent>
                        </v:textbox>
                      </v:rect>
                      <v:rect id="矩形 35" o:spid="_x0000_s1026" o:spt="1" style="position:absolute;left:88901;top:1625601;height:291122;width:1256741;" filled="f" stroked="f" coordsize="21600,21600" o:gfxdata="UEsDBAoAAAAAAIdO4kAAAAAAAAAAAAAAAAAEAAAAZHJzL1BLAwQUAAAACACHTuJAKnoNm9gAAAAF&#10;AQAADwAAAGRycy9kb3ducmV2LnhtbE2PT0vDQBDF74LfYRnBi9hNKrWaZtNDQSwiFNM/5212mgSz&#10;s2l2m9Rv79RLvQxveMN7v0nnZ9uIHjtfO1IQjyIQSIUzNZUKNuu3xxcQPmgyunGECn7Qwzy7vUl1&#10;YtxAX9jnoRQcQj7RCqoQ2kRKX1RotR+5Fom9g+usDrx2pTSdHjjcNnIcRc/S6pq4odItLiosvvOT&#10;VTAUq363/nyXq4fd0tFxeVzk2w+l7u/iaAYi4Dlcj+GCz+iQMdPench40SjgR8LfZG86Hccg9iye&#10;Xicgs1T+p89+AVBLAwQUAAAACACHTuJA2VTT+CICAAAqBAAADgAAAGRycy9lMm9Eb2MueG1srVNB&#10;btswELwX6B8I3mtZsuzYguUgiJGiQNoGSPsAmqIsohKXXdKW3M8U6K2P6HOKfqMryk6c9JJDL8Jy&#10;dzm7MxwtL7umZnuFToPJeTwac6aMhEKbbc4/f7p5M+fMeWEKUYNROT8oxy9Xr18tW5upBCqoC4WM&#10;QIzLWpvzynubRZGTlWqEG4FVhoolYCM8HXEbFShaQm/qKBmPZ1ELWFgEqZyj7Hoo8iMivgQQylJL&#10;tQa5a5TxAyqqWnii5CptHV+FbctSSf+xLJ3yrM45MfXhS0Mo3vTfaLUU2RaFrbQ8riBessIzTo3Q&#10;hoY+QK2FF2yH+h+oRksEB6UfSWiigUhQhFjE42fa3FfCqsCFpHb2QXT3/2Dlh/0dMl2QE+aTizRJ&#10;pxN6fyMaevk/33/+/vWDTaa9Sq11GTXf2zvseTp7C/KLYwauK2G26goR2kqJgnaL+/7oyYX+4Ogq&#10;27TvoSBssfMQBOtKbHpAkoJ1OZ/PF+OYswOhzJLpjOLwQqrzTFI5ptxFSg2SOpJFHCdJGCayE45F&#10;598qaFgf5BzJAWGO2N863+8lslNLP9bAja7rMKM2TxLUOGRUsNHx9onIIIjvNh3d7ZMbKA7ED2Gw&#10;GP1gFFSA3zhryV45d193AhVn9TtDGi3iNO39GA7p9CKhA55XNucVYSRB5dxzNoTXfvDwzqLeVjQp&#10;DiQNXJGupQ5EH7c6vgZZKPA/2r336Pk5dD3+4q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noN&#10;m9gAAAAFAQAADwAAAAAAAAABACAAAAAiAAAAZHJzL2Rvd25yZXYueG1sUEsBAhQAFAAAAAgAh07i&#10;QNlU0/giAgAAKgQAAA4AAAAAAAAAAQAgAAAAJwEAAGRycy9lMm9Eb2MueG1sUEsFBgAAAAAGAAYA&#10;WQEAALsFAAAAAA==&#10;">
                        <v:fill on="f" focussize="0,0"/>
                        <v:stroke on="f"/>
                        <v:imagedata o:title=""/>
                        <o:lock v:ext="edit" aspectratio="f"/>
                        <v:textbox>
                          <w:txbxContent>
                            <w:p>
                              <w:pPr>
                                <w:jc w:val="center"/>
                              </w:pPr>
                              <w:r>
                                <w:rPr>
                                  <w:rFonts w:hint="eastAsia" w:ascii="Times New Roman" w:hAnsi="Times New Roman" w:eastAsia="宋体" w:cs="Times New Roman"/>
                                  <w:kern w:val="0"/>
                                </w:rPr>
                                <w:t>磨料、金属砂砾</w:t>
                              </w:r>
                            </w:p>
                          </w:txbxContent>
                        </v:textbox>
                      </v:rect>
                      <v:line id="_x0000_s1026" o:spid="_x0000_s1026" o:spt="20" style="position:absolute;left:1210429;top:1763016;height:0;width:230244;" filled="f" stroked="t" coordsize="21600,21600" o:gfxdata="UEsDBAoAAAAAAIdO4kAAAAAAAAAAAAAAAAAEAAAAZHJzL1BLAwQUAAAACACHTuJAlH4z5NQAAAAF&#10;AQAADwAAAGRycy9kb3ducmV2LnhtbE2PT0/DMAzF70h8h8hIXCaWtBMMStMdgN64MEBcvca0FY3T&#10;Ndkf+PQYLnCxnvWs934uV0c/qD1NsQ9sIZsbUMRNcD23Fl6e64trUDEhOxwCk4VPirCqTk9KLFw4&#10;8BPt16lVEsKxQAtdSmOhdWw68hjnYSQW7z1MHpOsU6vdhAcJ94POjbnSHnuWhg5Huuuo+VjvvIVY&#10;v9K2/po1M/O2aAPl2/vHB7T2/Cwzt6ASHdPfMfzgCzpUwrQJO3ZRDRbkkfQ7xVsu8wzURsTi5hJ0&#10;Ver/9NU3UEsDBBQAAAAIAIdO4kCFnHYt7wEAALcDAAAOAAAAZHJzL2Uyb0RvYy54bWytU8uO0zAU&#10;3SPxD5b3NGmmDdOo6SymGjYIKgEf4DpOYskv+Xqa9if4ASR2sGLJnr+Z4TO4djIPhs0syMK5to/P&#10;vef4en1x1IochAdpTU3ns5wSYbhtpOlq+unj1atzSiAw0zBljajpSQC92Lx8sR5cJQrbW9UIT5DE&#10;QDW4mvYhuCrLgPdCM5hZJwxuttZrFnDqu6zxbEB2rbIiz8tssL5x3nIBgKvbcZNOjP45hLZtJRdb&#10;y6+1MGFk9UKxgJKglw7oJlXbtoKH920LIhBVU1Qa0ohJMN7HMdusWdV55nrJpxLYc0p4okkzaTDp&#10;PdWWBUauvfyHSkvuLdg2zLjV2SgkOYIq5vkTbz70zImkBa0Gd286/D9a/u6w80Q22AllOV8tV2W5&#10;oMQwjTd/++Xnzedvv399xfH2x3fyCIG2DQ4qPH1pdn6agdv56MGx9Tr+UR05InExzxfFipITxq/L&#10;s3xejraLYyAcAcVZXiwwK0dAupHsgcN5CG+E1SQGNVXSRENYxQ5vIWBehN5B4rKxV1KpdKnKkKGm&#10;q2WxRGaGjdpig2CoHYoF01HCVIcvgAefGMEq2cTTkQd8t79UnhxY7Jv0xZox21+wmHrLoB9xaWuC&#10;KYPoaNFoSoz2tjklr9I63mfim3ovNszjeTr98N42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fjPk1AAAAAUBAAAPAAAAAAAAAAEAIAAAACIAAABkcnMvZG93bnJldi54bWxQSwECFAAUAAAACACH&#10;TuJAhZx2Le8BAAC3AwAADgAAAAAAAAABACAAAAAjAQAAZHJzL2Uyb0RvYy54bWxQSwUGAAAAAAYA&#10;BgBZAQAAhAUAAAAA&#10;">
                        <v:fill on="f" focussize="0,0"/>
                        <v:stroke color="#000000 [3213]" joinstyle="round"/>
                        <v:imagedata o:title=""/>
                        <o:lock v:ext="edit" aspectratio="f"/>
                      </v:line>
                      <v:shape id="_x0000_s1026" o:spid="_x0000_s1026" o:spt="32" type="#_x0000_t32" style="position:absolute;left:1440673;top:1539236;flip:y;height:223780;width:0;" filled="f" stroked="t" coordsize="21600,21600" o:gfxdata="UEsDBAoAAAAAAIdO4kAAAAAAAAAAAAAAAAAEAAAAZHJzL1BLAwQUAAAACACHTuJAbfrCgNYAAAAF&#10;AQAADwAAAGRycy9kb3ducmV2LnhtbE2PQU/CQBCF7yb+h82QeDGybQ2CtVsOKnoixIr3pTu0Dd3Z&#10;prtA++8Zuehl8iZv8t432XKwrThh7xtHCuJpBAKpdKahSsH2e/WwAOGDJqNbR6hgRA/L/PYm06lx&#10;Z/rCUxEqwSHkU62gDqFLpfRljVb7qeuQ2Nu73urAa19J0+szh9tWJlH0JK1uiBtq3eFrjeWhOFoF&#10;b8Vmtvq53w7JWH6ui4/FYUPju1J3kzh6ARFwCH/H8IvP6JAz084dyXjRKuBHwnWyN58nMYgdi8fn&#10;Gcg8k//p8wtQSwMEFAAAAAgAh07iQC5URyEYAgAA8QMAAA4AAABkcnMvZTJvRG9jLnhtbK1TzY7T&#10;MBC+I/EOlu80afqzbdV0Dy3LBUElfu6u4ySW/Kext2lfghdA4gScFk5752lgeQzGTlmW5bIHcohm&#10;PJ5v5vtmvDw/aEX2Ary0pqTDQU6JMNxW0jQlffP64smMEh+YqZiyRpT0KDw9Xz1+tOzcQhS2taoS&#10;QBDE+EXnStqG4BZZ5nkrNPMD64TBYG1Bs4AuNFkFrEN0rbIiz6dZZ6FyYLnwHk83fZCeEOEhgLau&#10;JRcbyy+1MKFHBaFYQEq+lc7TVeq2rgUPL+vai0BUSZFpSH8sgvYu/rPVki0aYK6V/NQCe0gL9zhp&#10;Jg0WvYXasMDIJch/oLTkYL2tw4BbnfVEkiLIYpjf0+ZVy5xIXFBq725F9/8Plr/Yb4HIqqRFPh/P&#10;hvksH1NimMbJ37y//vHu083XL98/Xv/89iHaV5/JnXsoXuf8AjHWZgsnz7stRCUONWhSK+ne4pYl&#10;bZAtOaAzHufTsxElR7Qno3kxmvZjEIdAOF7A2XCMFcXobJYmlPVoEdWBD8+E1SQaJfUBmGzasLbG&#10;4Kwt9JXY/rkP2A8m/k6IycZeSKXSyJUhXUnnk2KCxRiucY3rg6Z2KIU3DSVMNfg+eIDUu7dKVjE7&#10;4nhodmsFZM/iVqUvMsBqf12LpTfMt/29FOqJBibVU1ORcHQocwDJTKPECUIZRIqy9kJGa2erY9I3&#10;neMmpFqnrY2rdtdP2X9e6u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frCgNYAAAAFAQAADwAA&#10;AAAAAAABACAAAAAiAAAAZHJzL2Rvd25yZXYueG1sUEsBAhQAFAAAAAgAh07iQC5URyEYAgAA8QMA&#10;AA4AAAAAAAAAAQAgAAAAJQEAAGRycy9lMm9Eb2MueG1sUEsFBgAAAAAGAAYAWQEAAK8FAAAAAA==&#10;">
                        <v:fill on="f" focussize="0,0"/>
                        <v:stroke color="#000000 [3213]" joinstyle="round" endarrow="block"/>
                        <v:imagedata o:title=""/>
                        <o:lock v:ext="edit" aspectratio="f"/>
                      </v:shape>
                      <v:line id="直线 810" o:spid="_x0000_s1026" o:spt="20" style="position:absolute;left:768985;top:3900415;height:635;width:404495;" filled="f" stroked="t" coordsize="21600,21600" o:gfxdata="UEsDBAoAAAAAAIdO4kAAAAAAAAAAAAAAAAAEAAAAZHJzL1BLAwQUAAAACACHTuJAoOKwjdUAAAAF&#10;AQAADwAAAGRycy9kb3ducmV2LnhtbE2PQU/DMAyF70j8h8hI3FjSIRiUpjsgBifE2Ng9a7y20DhV&#10;krWFX4/hAhfrWc9673OxnFwnBgyx9aQhmykQSJW3LdUa3rarixsQMRmypvOEGj4xwrI8PSlMbv1I&#10;rzhsUi04hGJuNDQp9bmUsWrQmTjzPRJ7Bx+cSbyGWtpgRg53nZwrdS2daYkbGtPjfYPVx+boNDw9&#10;hl2Y1Gorv6rhedy9v6zTw0Hr87NM3YFIOKW/Y/jBZ3QomWnvj2Sj6DTwI+l3srdYzDMQexaXt1cg&#10;y0L+py+/AVBLAwQUAAAACACHTuJAM62HRBMCAAANBAAADgAAAGRycy9lMm9Eb2MueG1srVNBctsg&#10;FN13pndg2NeSHNmxNZGzsJtu0tYzSQ/wDUhiioABbNln6TW66qbHyTXywXaSpl1kURYM8N9//Pf4&#10;XF3ve0V2wnlpdE2LUU6J0Mxwqduafru/+TCjxAfQHJTRoqYH4en14v27q8FWYmw6o7hwBEm0rwZb&#10;0y4EW2WZZ53owY+MFRqDjXE9BNy6NuMOBmTvVTbO82k2GMetM0x4j6erY5CeGN1bCE3TSCZWhm17&#10;ocOR1QkFASX5TlpPF6naphEsfG0aLwJRNUWlIc14Ca43cc4WV1C1Dmwn2akEeEsJrzT1IDVe+kS1&#10;ggBk6+RfVL1kznjThBEzfXYUkhxBFUX+ypu7DqxIWtBqb59M9/+Pln3ZrR2RvKblpLgsi3w2oURD&#10;jw//8OPnw6/fZFYklwbrKwQv9dpFnWyv7+ytYd890WbZgW5Fqvb+YDG1iL5mf6TEjbd412b4bDhi&#10;YBtMsmzfuD5SohlkX9PL6WweizjU9GKe52UxOT6S2AfCMF7mZTnHOEPA9CIFM6jOJNb58EmYnsRF&#10;TZXU0UCoYHfrQywKqjMkHmtzI5VKTaA0GWo6n4wnKcEbJXkMRph37WapHNlBbKM0kkKMvIQ5s9U8&#10;kXUC+EfNSUh2aPxINLL3glOiBP471R5VBZDqGRicRCfVv8FYutInW6OTscd9tTH8sHZnu7FLksZT&#10;R8c2fLlP2c+/ePEI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OKwjdUAAAAFAQAADwAAAAAAAAAB&#10;ACAAAAAiAAAAZHJzL2Rvd25yZXYueG1sUEsBAhQAFAAAAAgAh07iQDOth0QTAgAADQQAAA4AAAAA&#10;AAAAAQAgAAAAJAEAAGRycy9lMm9Eb2MueG1sUEsFBgAAAAAGAAYAWQEAAKkFAAAAAA==&#10;">
                        <v:fill on="f" focussize="0,0"/>
                        <v:stroke color="#000000" joinstyle="round" startarrowlength="long" endarrow="block" endarrowlength="long"/>
                        <v:imagedata o:title=""/>
                        <o:lock v:ext="edit" aspectratio="f"/>
                      </v:line>
                      <v:rect id="矩形 35" o:spid="_x0000_s1026" o:spt="1" style="position:absolute;left:166454;top:3710084;height:454797;width:704927;" filled="f" stroked="f" coordsize="21600,21600" o:gfxdata="UEsDBAoAAAAAAIdO4kAAAAAAAAAAAAAAAAAEAAAAZHJzL1BLAwQUAAAACACHTuJAKnoNm9gAAAAF&#10;AQAADwAAAGRycy9kb3ducmV2LnhtbE2PT0vDQBDF74LfYRnBi9hNKrWaZtNDQSwiFNM/5212mgSz&#10;s2l2m9Rv79RLvQxveMN7v0nnZ9uIHjtfO1IQjyIQSIUzNZUKNuu3xxcQPmgyunGECn7Qwzy7vUl1&#10;YtxAX9jnoRQcQj7RCqoQ2kRKX1RotR+5Fom9g+usDrx2pTSdHjjcNnIcRc/S6pq4odItLiosvvOT&#10;VTAUq363/nyXq4fd0tFxeVzk2w+l7u/iaAYi4Dlcj+GCz+iQMdPench40SjgR8LfZG86Hccg9iye&#10;Xicgs1T+p89+AVBLAwQUAAAACACHTuJAVwbZ/iQCAAApBAAADgAAAGRycy9lMm9Eb2MueG1srVNB&#10;btswELwX6B8I3mtJtmzFguUgiJGiQNoGSPsAmqIsohKXJWlL7mcK9JZH9DlFv9ElJadOesmhF4LL&#10;Xc7uDIery75tyEEYK0EVNJnElAjFoZRqV9DPn27eXFBiHVMla0CJgh6FpZfr169Wnc7FFGpoSmEI&#10;giibd7qgtXM6jyLLa9EyOwEtFCYrMC1zGJpdVBrWIXrbRNM4XkQdmFIb4MJaPN0MSToimpcAQlVJ&#10;LjbA961QbkA1omEOKdlaakvXYdqqEtx9rCorHGkKikxdWLEJ7rd+jdYrlu8M07Xk4wjsJSM849Qy&#10;qbDpI9SGOUb2Rv4D1UpuwELlJhzaaCASFEEWSfxMm/uaaRG4oNRWP4pu/x8s/3C4M0SWBU1ns2Qa&#10;L2cLShRr8eF/f3/49fMHmc29SJ22Odbe6zvjaVp9C/yLJQqua6Z24soY6GrBShwt8fXRkws+sHiV&#10;bLv3UCI22zsIevWVaT0gKkF6vLtYpPOUkmNBZ1kSxxfp8EKid4RjPovT5TSjhGMBFmbLLDRj+QlH&#10;G+veCmiJ3xTUoAFCH3a4tc7PxfJTiW+r4EY2TTBBo54cYOFwIoKLxtsnIoMgrt/2ozZbKI/Iz8Dg&#10;MPxfuKnBfKOkQ3cV1H7dMyMoad4p1GiZpKm3YwjSeTbFwJxntucZpjhCFdRRMmyv3WDhvTZyV2On&#10;JJBUcIW6VjIQ9aMOU42vgQ4K/Ee3e4uex6Hq7w9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eg2b2AAAAAUBAAAPAAAAAAAAAAEAIAAAACIAAABkcnMvZG93bnJldi54bWxQSwECFAAUAAAACACH&#10;TuJAVwbZ/iQCAAApBAAADgAAAAAAAAABACAAAAAnAQAAZHJzL2Uyb0RvYy54bWxQSwUGAAAAAAYA&#10;BgBZAQAAvQUAAAAA&#10;">
                        <v:fill on="f" focussize="0,0"/>
                        <v:stroke on="f"/>
                        <v:imagedata o:title=""/>
                        <o:lock v:ext="edit" aspectratio="f"/>
                        <v:textbox>
                          <w:txbxContent>
                            <w:p>
                              <w:pPr>
                                <w:jc w:val="center"/>
                              </w:pPr>
                              <w:r>
                                <w:rPr>
                                  <w:rFonts w:hint="eastAsia" w:ascii="Times New Roman" w:hAnsi="Times New Roman" w:eastAsia="宋体" w:cs="Times New Roman"/>
                                  <w:kern w:val="0"/>
                                </w:rPr>
                                <w:t>胶带、牛皮纸</w:t>
                              </w:r>
                            </w:p>
                          </w:txbxContent>
                        </v:textbox>
                      </v:rect>
                      <w10:wrap type="none"/>
                      <w10:anchorlock/>
                    </v:group>
                  </w:pict>
                </mc:Fallback>
              </mc:AlternateContent>
            </w:r>
          </w:p>
          <w:p>
            <w:pPr>
              <w:pStyle w:val="18"/>
              <w:rPr>
                <w:color w:val="auto"/>
              </w:rPr>
            </w:pPr>
            <w:r>
              <w:rPr>
                <w:color w:val="auto"/>
              </w:rPr>
              <w:t>图2-3  工艺流程及产污环节图</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工艺流程简述：</w:t>
            </w:r>
          </w:p>
          <w:p>
            <w:pPr>
              <w:adjustRightInd w:val="0"/>
              <w:snapToGrid w:val="0"/>
              <w:spacing w:line="360" w:lineRule="auto"/>
              <w:ind w:firstLine="482"/>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本企业外购铝合金原料进行航空航天发动机结构件加工并喷涂；同时为上游企业外协喷涂航空航天发动机结构件、发动机壳体。</w:t>
            </w:r>
          </w:p>
          <w:p>
            <w:pPr>
              <w:numPr>
                <w:ilvl w:val="0"/>
                <w:numId w:val="2"/>
              </w:num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机加：项目自行生产发动机结构件的原料为7</w:t>
            </w:r>
            <w:r>
              <w:rPr>
                <w:rFonts w:ascii="Times New Roman" w:hAnsi="Times New Roman" w:eastAsia="宋体"/>
                <w:sz w:val="24"/>
                <w:szCs w:val="24"/>
              </w:rPr>
              <w:t>A09</w:t>
            </w:r>
            <w:r>
              <w:rPr>
                <w:rFonts w:hint="eastAsia" w:ascii="Times New Roman" w:hAnsi="Times New Roman" w:eastAsia="宋体"/>
                <w:sz w:val="24"/>
                <w:szCs w:val="24"/>
              </w:rPr>
              <w:t>铝合金，通过数控车床进行机加后，再经喷涂处理后作为产品，</w:t>
            </w:r>
            <w:r>
              <w:rPr>
                <w:rFonts w:hint="eastAsia" w:ascii="Times New Roman" w:hAnsi="Times New Roman" w:eastAsia="宋体"/>
                <w:bCs/>
                <w:sz w:val="24"/>
              </w:rPr>
              <w:t>该过程</w:t>
            </w:r>
            <w:r>
              <w:rPr>
                <w:rFonts w:hint="eastAsia" w:ascii="Times New Roman" w:hAnsi="Times New Roman" w:eastAsia="宋体"/>
                <w:sz w:val="24"/>
              </w:rPr>
              <w:t>使用切削液，不会产生粉尘，</w:t>
            </w:r>
            <w:r>
              <w:rPr>
                <w:rFonts w:hint="eastAsia" w:ascii="Times New Roman" w:hAnsi="Times New Roman" w:eastAsia="宋体"/>
                <w:sz w:val="24"/>
                <w:szCs w:val="24"/>
              </w:rPr>
              <w:t>此工序产生的污染物主要为边角料、噪声、废切削液；</w:t>
            </w:r>
          </w:p>
          <w:p>
            <w:pPr>
              <w:numPr>
                <w:ilvl w:val="0"/>
                <w:numId w:val="2"/>
              </w:num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喷砂/抛丸：为了保证</w:t>
            </w:r>
            <w:r>
              <w:rPr>
                <w:rFonts w:hint="eastAsia" w:ascii="Times New Roman" w:hAnsi="Times New Roman"/>
                <w:sz w:val="24"/>
                <w:szCs w:val="24"/>
              </w:rPr>
              <w:t>外购及本项目生产的</w:t>
            </w:r>
            <w:r>
              <w:rPr>
                <w:rFonts w:hint="eastAsia" w:ascii="Times New Roman" w:hAnsi="Times New Roman" w:eastAsia="宋体"/>
                <w:sz w:val="24"/>
                <w:szCs w:val="24"/>
              </w:rPr>
              <w:t>发动机结构件、发动机壳体漆面能够牢固依附在结构件表面，需要在喷漆前进行表面除锈处理。</w:t>
            </w:r>
            <w:r>
              <w:rPr>
                <w:rFonts w:ascii="Times New Roman" w:hAnsi="Times New Roman" w:eastAsia="宋体"/>
                <w:sz w:val="24"/>
                <w:szCs w:val="24"/>
              </w:rPr>
              <w:t>喷砂磨料小，喷砂过程相对较慢，因此其表面处理效果相对较轻；而抛丸</w:t>
            </w:r>
            <w:r>
              <w:rPr>
                <w:rFonts w:hint="eastAsia" w:ascii="Times New Roman" w:hAnsi="Times New Roman" w:eastAsia="宋体"/>
                <w:sz w:val="24"/>
                <w:szCs w:val="24"/>
              </w:rPr>
              <w:t>采用的金属砂砾</w:t>
            </w:r>
            <w:r>
              <w:rPr>
                <w:rFonts w:ascii="Times New Roman" w:hAnsi="Times New Roman" w:eastAsia="宋体"/>
                <w:sz w:val="24"/>
                <w:szCs w:val="24"/>
              </w:rPr>
              <w:t>相对较大，抛丸速度较快，能够达到更强的清洁效果。</w:t>
            </w:r>
            <w:r>
              <w:rPr>
                <w:rFonts w:hint="eastAsia" w:ascii="Times New Roman" w:hAnsi="Times New Roman" w:eastAsia="宋体"/>
                <w:sz w:val="24"/>
                <w:szCs w:val="24"/>
              </w:rPr>
              <w:t>项目部分工件选用抛丸进行表面除锈，部分工件选用喷砂进行表面除锈。</w:t>
            </w:r>
          </w:p>
          <w:p>
            <w:pPr>
              <w:adjustRightInd w:val="0"/>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（1）喷砂：部分工件进入封闭式喷砂房进行喷砂，此工序产生的污染物主要是噪声和粉尘；项目喷砂房室体内部在风力作用下形成由上而下的空气气流层，</w:t>
            </w:r>
            <w:r>
              <w:rPr>
                <w:rFonts w:ascii="Times New Roman" w:hAnsi="Times New Roman" w:eastAsia="宋体"/>
                <w:sz w:val="24"/>
                <w:szCs w:val="24"/>
              </w:rPr>
              <w:t>直径约在0.3～</w:t>
            </w:r>
            <w:r>
              <w:rPr>
                <w:rFonts w:hint="eastAsia" w:ascii="Times New Roman" w:hAnsi="Times New Roman" w:eastAsia="宋体"/>
                <w:sz w:val="24"/>
                <w:szCs w:val="24"/>
              </w:rPr>
              <w:t>0</w:t>
            </w:r>
            <w:r>
              <w:rPr>
                <w:rFonts w:ascii="Times New Roman" w:hAnsi="Times New Roman" w:eastAsia="宋体"/>
                <w:sz w:val="24"/>
                <w:szCs w:val="24"/>
              </w:rPr>
              <w:t>.6</w:t>
            </w:r>
            <w:r>
              <w:rPr>
                <w:rFonts w:hint="eastAsia" w:ascii="Times New Roman" w:hAnsi="Times New Roman" w:eastAsia="宋体"/>
                <w:sz w:val="24"/>
                <w:szCs w:val="24"/>
              </w:rPr>
              <w:t>mm</w:t>
            </w:r>
            <w:r>
              <w:rPr>
                <w:rFonts w:ascii="Times New Roman" w:hAnsi="Times New Roman" w:eastAsia="宋体"/>
                <w:sz w:val="24"/>
                <w:szCs w:val="24"/>
              </w:rPr>
              <w:t>的</w:t>
            </w:r>
            <w:r>
              <w:rPr>
                <w:rFonts w:hint="eastAsia" w:ascii="Times New Roman" w:hAnsi="Times New Roman" w:eastAsia="宋体"/>
                <w:sz w:val="24"/>
                <w:szCs w:val="24"/>
              </w:rPr>
              <w:t>磨料</w:t>
            </w:r>
            <w:r>
              <w:rPr>
                <w:rFonts w:ascii="Times New Roman" w:hAnsi="Times New Roman" w:eastAsia="宋体"/>
                <w:sz w:val="24"/>
                <w:szCs w:val="24"/>
              </w:rPr>
              <w:t>储存在喷砂机</w:t>
            </w:r>
            <w:r>
              <w:rPr>
                <w:rFonts w:hint="eastAsia" w:ascii="Times New Roman" w:hAnsi="Times New Roman" w:eastAsia="宋体"/>
                <w:sz w:val="24"/>
                <w:szCs w:val="24"/>
              </w:rPr>
              <w:t>的</w:t>
            </w:r>
            <w:r>
              <w:rPr>
                <w:rFonts w:ascii="Times New Roman" w:hAnsi="Times New Roman" w:eastAsia="宋体"/>
                <w:sz w:val="24"/>
                <w:szCs w:val="24"/>
              </w:rPr>
              <w:t>喷砂</w:t>
            </w:r>
            <w:r>
              <w:rPr>
                <w:rFonts w:hint="eastAsia" w:ascii="Times New Roman" w:hAnsi="Times New Roman" w:eastAsia="宋体"/>
                <w:sz w:val="24"/>
                <w:szCs w:val="24"/>
              </w:rPr>
              <w:t>箱</w:t>
            </w:r>
            <w:r>
              <w:rPr>
                <w:rFonts w:ascii="Times New Roman" w:hAnsi="Times New Roman" w:eastAsia="宋体"/>
                <w:sz w:val="24"/>
                <w:szCs w:val="24"/>
              </w:rPr>
              <w:t>内，当进行喷砂作业时，将</w:t>
            </w:r>
            <w:r>
              <w:rPr>
                <w:rFonts w:hint="eastAsia" w:ascii="Times New Roman" w:hAnsi="Times New Roman" w:eastAsia="宋体"/>
                <w:sz w:val="24"/>
                <w:szCs w:val="24"/>
              </w:rPr>
              <w:t>磨料</w:t>
            </w:r>
            <w:r>
              <w:rPr>
                <w:rFonts w:ascii="Times New Roman" w:hAnsi="Times New Roman" w:eastAsia="宋体"/>
                <w:sz w:val="24"/>
                <w:szCs w:val="24"/>
              </w:rPr>
              <w:t>从进砂口压出到出砂口，加速后的</w:t>
            </w:r>
            <w:r>
              <w:rPr>
                <w:rFonts w:hint="eastAsia" w:ascii="Times New Roman" w:hAnsi="Times New Roman" w:eastAsia="宋体"/>
                <w:sz w:val="24"/>
                <w:szCs w:val="24"/>
              </w:rPr>
              <w:t>磨料</w:t>
            </w:r>
            <w:r>
              <w:rPr>
                <w:rFonts w:ascii="Times New Roman" w:hAnsi="Times New Roman" w:eastAsia="宋体"/>
                <w:sz w:val="24"/>
                <w:szCs w:val="24"/>
              </w:rPr>
              <w:t>气流混合流通过喷砂管至高速喷砂枪内，在高速喷砂枪内进一步将</w:t>
            </w:r>
            <w:r>
              <w:rPr>
                <w:rFonts w:hint="eastAsia" w:ascii="Times New Roman" w:hAnsi="Times New Roman" w:eastAsia="宋体"/>
                <w:sz w:val="24"/>
                <w:szCs w:val="24"/>
              </w:rPr>
              <w:t>磨料</w:t>
            </w:r>
            <w:r>
              <w:rPr>
                <w:rFonts w:ascii="Times New Roman" w:hAnsi="Times New Roman" w:eastAsia="宋体"/>
                <w:sz w:val="24"/>
                <w:szCs w:val="24"/>
              </w:rPr>
              <w:t>加速，使其以很高的速度喷射到被处理工件的表面，实现喷砂作业的表面除锈清理及强化目的</w:t>
            </w:r>
            <w:r>
              <w:rPr>
                <w:rFonts w:hint="eastAsia" w:ascii="Times New Roman" w:hAnsi="Times New Roman" w:eastAsia="宋体"/>
                <w:sz w:val="24"/>
                <w:szCs w:val="24"/>
              </w:rPr>
              <w:t>。该过程年运行1</w:t>
            </w:r>
            <w:r>
              <w:rPr>
                <w:rFonts w:ascii="Times New Roman" w:hAnsi="Times New Roman" w:eastAsia="宋体"/>
                <w:sz w:val="24"/>
                <w:szCs w:val="24"/>
              </w:rPr>
              <w:t>000</w:t>
            </w:r>
            <w:r>
              <w:rPr>
                <w:rFonts w:hint="eastAsia" w:ascii="Times New Roman" w:hAnsi="Times New Roman" w:eastAsia="宋体"/>
                <w:sz w:val="24"/>
                <w:szCs w:val="24"/>
              </w:rPr>
              <w:t>h，会产生粉尘、噪声、固废污染。</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（2）抛丸：部分工件处理工艺采用自动抛丸除锈工艺，清除结构件表面铁锈及焊缝氧化皮，同时消除因焊接产生的内应力，为提高喷涂底漆附着力打下良好基础。</w:t>
            </w:r>
            <w:r>
              <w:rPr>
                <w:rFonts w:ascii="Times New Roman" w:hAnsi="Times New Roman" w:eastAsia="宋体"/>
                <w:sz w:val="24"/>
                <w:szCs w:val="24"/>
              </w:rPr>
              <w:t>用电动机带动叶轮体旋转(直接带动或用V型</w:t>
            </w:r>
            <w:r>
              <w:fldChar w:fldCharType="begin"/>
            </w:r>
            <w:r>
              <w:instrText xml:space="preserve"> HYPERLINK "https://baike.baidu.com/item/%E7%9A%AE%E5%B8%A6%E4%BC%A0%E5%8A%A8/7072199?fromModule=lemma_inlink" \t "_blank" </w:instrText>
            </w:r>
            <w:r>
              <w:fldChar w:fldCharType="separate"/>
            </w:r>
            <w:r>
              <w:rPr>
                <w:rFonts w:ascii="Times New Roman" w:hAnsi="Times New Roman" w:eastAsia="宋体"/>
                <w:sz w:val="24"/>
                <w:szCs w:val="24"/>
              </w:rPr>
              <w:t>皮带传动</w:t>
            </w:r>
            <w:r>
              <w:rPr>
                <w:rFonts w:ascii="Times New Roman" w:hAnsi="Times New Roman" w:eastAsia="宋体"/>
                <w:sz w:val="24"/>
                <w:szCs w:val="24"/>
              </w:rPr>
              <w:fldChar w:fldCharType="end"/>
            </w:r>
            <w:r>
              <w:rPr>
                <w:rFonts w:ascii="Times New Roman" w:hAnsi="Times New Roman" w:eastAsia="宋体"/>
                <w:sz w:val="24"/>
                <w:szCs w:val="24"/>
              </w:rPr>
              <w:t>)，靠</w:t>
            </w:r>
            <w:r>
              <w:fldChar w:fldCharType="begin"/>
            </w:r>
            <w:r>
              <w:instrText xml:space="preserve"> HYPERLINK "https://baike.baidu.com/item/%E7%A6%BB%E5%BF%83%E5%8A%9B/290769?fromModule=lemma_inlink" \t "_blank" </w:instrText>
            </w:r>
            <w:r>
              <w:fldChar w:fldCharType="separate"/>
            </w:r>
            <w:r>
              <w:rPr>
                <w:rFonts w:ascii="Times New Roman" w:hAnsi="Times New Roman" w:eastAsia="宋体"/>
                <w:sz w:val="24"/>
                <w:szCs w:val="24"/>
              </w:rPr>
              <w:t>离心力</w:t>
            </w:r>
            <w:r>
              <w:rPr>
                <w:rFonts w:ascii="Times New Roman" w:hAnsi="Times New Roman" w:eastAsia="宋体"/>
                <w:sz w:val="24"/>
                <w:szCs w:val="24"/>
              </w:rPr>
              <w:fldChar w:fldCharType="end"/>
            </w:r>
            <w:r>
              <w:rPr>
                <w:rFonts w:ascii="Times New Roman" w:hAnsi="Times New Roman" w:eastAsia="宋体"/>
                <w:sz w:val="24"/>
                <w:szCs w:val="24"/>
              </w:rPr>
              <w:t>的作用，将直径约在0.5～2.0的弹丸</w:t>
            </w:r>
            <w:r>
              <w:rPr>
                <w:rFonts w:hint="eastAsia" w:ascii="Times New Roman" w:hAnsi="Times New Roman" w:eastAsia="宋体"/>
                <w:sz w:val="24"/>
                <w:szCs w:val="24"/>
              </w:rPr>
              <w:t>（</w:t>
            </w:r>
            <w:r>
              <w:fldChar w:fldCharType="begin"/>
            </w:r>
            <w:r>
              <w:instrText xml:space="preserve"> HYPERLINK "https://baike.baidu.com/item/%E9%93%B8%E9%92%A2%E4%B8%B8/1326366?fromModule=lemma_inlink" \t "_blank" </w:instrText>
            </w:r>
            <w:r>
              <w:fldChar w:fldCharType="separate"/>
            </w:r>
            <w:r>
              <w:rPr>
                <w:rFonts w:ascii="Times New Roman" w:hAnsi="Times New Roman" w:eastAsia="宋体"/>
                <w:sz w:val="24"/>
                <w:szCs w:val="24"/>
              </w:rPr>
              <w:t>铸钢丸</w:t>
            </w:r>
            <w:r>
              <w:rPr>
                <w:rFonts w:ascii="Times New Roman" w:hAnsi="Times New Roman" w:eastAsia="宋体"/>
                <w:sz w:val="24"/>
                <w:szCs w:val="24"/>
              </w:rPr>
              <w:fldChar w:fldCharType="end"/>
            </w:r>
            <w:r>
              <w:rPr>
                <w:rFonts w:hint="eastAsia" w:ascii="Times New Roman" w:hAnsi="Times New Roman" w:eastAsia="宋体"/>
                <w:sz w:val="24"/>
                <w:szCs w:val="24"/>
              </w:rPr>
              <w:t>）</w:t>
            </w:r>
            <w:r>
              <w:rPr>
                <w:rFonts w:ascii="Times New Roman" w:hAnsi="Times New Roman" w:eastAsia="宋体"/>
                <w:sz w:val="24"/>
                <w:szCs w:val="24"/>
              </w:rPr>
              <w:t>抛向工件的表面，使工件的表面达到一定的</w:t>
            </w:r>
            <w:r>
              <w:fldChar w:fldCharType="begin"/>
            </w:r>
            <w:r>
              <w:instrText xml:space="preserve"> HYPERLINK "https://baike.baidu.com/item/%E7%B2%97%E7%B3%99%E5%BA%A6/26761?fromModule=lemma_inlink" \t "_blank" </w:instrText>
            </w:r>
            <w:r>
              <w:fldChar w:fldCharType="separate"/>
            </w:r>
            <w:r>
              <w:rPr>
                <w:rFonts w:ascii="Times New Roman" w:hAnsi="Times New Roman" w:eastAsia="宋体"/>
                <w:sz w:val="24"/>
                <w:szCs w:val="24"/>
              </w:rPr>
              <w:t>粗糙度</w:t>
            </w:r>
            <w:r>
              <w:rPr>
                <w:rFonts w:ascii="Times New Roman" w:hAnsi="Times New Roman" w:eastAsia="宋体"/>
                <w:sz w:val="24"/>
                <w:szCs w:val="24"/>
              </w:rPr>
              <w:fldChar w:fldCharType="end"/>
            </w:r>
            <w:r>
              <w:rPr>
                <w:rFonts w:ascii="Times New Roman" w:hAnsi="Times New Roman" w:eastAsia="宋体"/>
                <w:sz w:val="24"/>
                <w:szCs w:val="24"/>
              </w:rPr>
              <w:t>，使工件变得美观，或者改变工件的焊接拉应力为</w:t>
            </w:r>
            <w:r>
              <w:fldChar w:fldCharType="begin"/>
            </w:r>
            <w:r>
              <w:instrText xml:space="preserve"> HYPERLINK "https://baike.baidu.com/item/%E5%8E%8B%E5%BA%94%E5%8A%9B/10993900?fromModule=lemma_inlink" \t "_blank" </w:instrText>
            </w:r>
            <w:r>
              <w:fldChar w:fldCharType="separate"/>
            </w:r>
            <w:r>
              <w:rPr>
                <w:rFonts w:ascii="Times New Roman" w:hAnsi="Times New Roman" w:eastAsia="宋体"/>
                <w:sz w:val="24"/>
                <w:szCs w:val="24"/>
              </w:rPr>
              <w:t>压应力</w:t>
            </w:r>
            <w:r>
              <w:rPr>
                <w:rFonts w:ascii="Times New Roman" w:hAnsi="Times New Roman" w:eastAsia="宋体"/>
                <w:sz w:val="24"/>
                <w:szCs w:val="24"/>
              </w:rPr>
              <w:fldChar w:fldCharType="end"/>
            </w:r>
            <w:r>
              <w:rPr>
                <w:rFonts w:ascii="Times New Roman" w:hAnsi="Times New Roman" w:eastAsia="宋体"/>
                <w:sz w:val="24"/>
                <w:szCs w:val="24"/>
              </w:rPr>
              <w:t>，提高工件的使用寿命。通过提高工件表面的</w:t>
            </w:r>
            <w:r>
              <w:fldChar w:fldCharType="begin"/>
            </w:r>
            <w:r>
              <w:instrText xml:space="preserve"> HYPERLINK "https://baike.baidu.com/item/%E5%85%89%E6%B4%81%E5%BA%A6/1849390?fromModule=lemma_inlink" \t "_blank" </w:instrText>
            </w:r>
            <w:r>
              <w:fldChar w:fldCharType="separate"/>
            </w:r>
            <w:r>
              <w:rPr>
                <w:rFonts w:ascii="Times New Roman" w:hAnsi="Times New Roman" w:eastAsia="宋体"/>
                <w:sz w:val="24"/>
                <w:szCs w:val="24"/>
              </w:rPr>
              <w:t>光洁度</w:t>
            </w:r>
            <w:r>
              <w:rPr>
                <w:rFonts w:ascii="Times New Roman" w:hAnsi="Times New Roman" w:eastAsia="宋体"/>
                <w:sz w:val="24"/>
                <w:szCs w:val="24"/>
              </w:rPr>
              <w:fldChar w:fldCharType="end"/>
            </w:r>
            <w:r>
              <w:rPr>
                <w:rFonts w:ascii="Times New Roman" w:hAnsi="Times New Roman" w:eastAsia="宋体"/>
                <w:sz w:val="24"/>
                <w:szCs w:val="24"/>
              </w:rPr>
              <w:t>，也提高了工件后续喷漆的漆膜</w:t>
            </w:r>
            <w:r>
              <w:fldChar w:fldCharType="begin"/>
            </w:r>
            <w:r>
              <w:instrText xml:space="preserve"> HYPERLINK "https://baike.baidu.com/item/%E9%99%84%E7%9D%80%E5%8A%9B/8708665?fromModule=lemma_inlink" \t "_blank" </w:instrText>
            </w:r>
            <w:r>
              <w:fldChar w:fldCharType="separate"/>
            </w:r>
            <w:r>
              <w:rPr>
                <w:rFonts w:ascii="Times New Roman" w:hAnsi="Times New Roman" w:eastAsia="宋体"/>
                <w:sz w:val="24"/>
                <w:szCs w:val="24"/>
              </w:rPr>
              <w:t>附着力</w:t>
            </w:r>
            <w:r>
              <w:rPr>
                <w:rFonts w:ascii="Times New Roman" w:hAnsi="Times New Roman" w:eastAsia="宋体"/>
                <w:sz w:val="24"/>
                <w:szCs w:val="24"/>
              </w:rPr>
              <w:fldChar w:fldCharType="end"/>
            </w:r>
            <w:r>
              <w:rPr>
                <w:rFonts w:ascii="Times New Roman" w:hAnsi="Times New Roman" w:eastAsia="宋体"/>
                <w:sz w:val="24"/>
                <w:szCs w:val="24"/>
              </w:rPr>
              <w:t>。</w:t>
            </w:r>
            <w:r>
              <w:rPr>
                <w:rFonts w:hint="eastAsia" w:ascii="Times New Roman" w:hAnsi="Times New Roman" w:eastAsia="宋体"/>
                <w:sz w:val="24"/>
                <w:szCs w:val="24"/>
              </w:rPr>
              <w:t>该过程年运行1</w:t>
            </w:r>
            <w:r>
              <w:rPr>
                <w:rFonts w:ascii="Times New Roman" w:hAnsi="Times New Roman" w:eastAsia="宋体"/>
                <w:sz w:val="24"/>
                <w:szCs w:val="24"/>
              </w:rPr>
              <w:t>000</w:t>
            </w:r>
            <w:r>
              <w:rPr>
                <w:rFonts w:hint="eastAsia" w:ascii="Times New Roman" w:hAnsi="Times New Roman" w:eastAsia="宋体"/>
                <w:sz w:val="24"/>
                <w:szCs w:val="24"/>
              </w:rPr>
              <w:t>h，会产生粉尘、噪声、固废污染。</w:t>
            </w:r>
          </w:p>
          <w:p>
            <w:pPr>
              <w:numPr>
                <w:ilvl w:val="0"/>
                <w:numId w:val="2"/>
              </w:numPr>
              <w:adjustRightInd w:val="0"/>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打磨：喷砂后的工件部分进入打磨间，打磨间结构为彩钢复合板形成的密闭房间，打磨采用人工砂纸打磨，年运行</w:t>
            </w:r>
            <w:r>
              <w:rPr>
                <w:rFonts w:ascii="Times New Roman" w:hAnsi="Times New Roman" w:eastAsia="宋体"/>
                <w:sz w:val="24"/>
                <w:szCs w:val="24"/>
              </w:rPr>
              <w:t>500</w:t>
            </w:r>
            <w:r>
              <w:rPr>
                <w:rFonts w:hint="eastAsia" w:ascii="Times New Roman" w:hAnsi="Times New Roman" w:eastAsia="宋体"/>
                <w:sz w:val="24"/>
                <w:szCs w:val="24"/>
              </w:rPr>
              <w:t>h，此工序产生的污染物主要为粉尘、噪声和废砂纸。</w:t>
            </w:r>
          </w:p>
          <w:p>
            <w:pPr>
              <w:numPr>
                <w:ilvl w:val="0"/>
                <w:numId w:val="2"/>
              </w:numPr>
              <w:adjustRightInd w:val="0"/>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清理：打磨完成后，手持抹布蘸用清洗剂将表面浮灰擦干净，该过程会产生V</w:t>
            </w:r>
            <w:r>
              <w:rPr>
                <w:rFonts w:ascii="Times New Roman" w:hAnsi="Times New Roman" w:eastAsia="宋体"/>
                <w:sz w:val="24"/>
                <w:szCs w:val="24"/>
              </w:rPr>
              <w:t>OC</w:t>
            </w:r>
            <w:r>
              <w:rPr>
                <w:rFonts w:hint="eastAsia" w:ascii="Times New Roman" w:hAnsi="Times New Roman" w:eastAsia="宋体"/>
                <w:sz w:val="24"/>
                <w:szCs w:val="24"/>
              </w:rPr>
              <w:t>s及含污废抹布、废手套。</w:t>
            </w:r>
          </w:p>
          <w:p>
            <w:pPr>
              <w:pStyle w:val="36"/>
              <w:ind w:firstLine="480"/>
              <w:rPr>
                <w:b w:val="0"/>
                <w:bCs/>
              </w:rPr>
            </w:pPr>
            <w:r>
              <w:rPr>
                <w:b w:val="0"/>
                <w:bCs/>
              </w:rPr>
              <w:t>5</w:t>
            </w:r>
            <w:r>
              <w:rPr>
                <w:rFonts w:hint="eastAsia"/>
                <w:b w:val="0"/>
                <w:bCs/>
              </w:rPr>
              <w:t>、涂装：涂装包括防热涂料、底漆喷涂和面漆喷涂三道工序，其中部分工件由于用途、环境需求等原因，需采用油性漆喷涂，其余工件均采用水性漆喷涂。涂装前在配料间进行人工调配，每日根据喷涂面积适量取用涂料，防热涂料喷涂包括喷涂和烘干，底漆喷涂包括喷漆、流平、烘干，底漆喷涂完后对不平整地方进行刮腻子、腻子打磨；面漆喷涂包括喷漆和烘干，其中喷涂位于喷漆间，流平位于自流平间，烘干位于烘干间，温度约7</w:t>
            </w:r>
            <w:r>
              <w:rPr>
                <w:b w:val="0"/>
                <w:bCs/>
              </w:rPr>
              <w:t>0</w:t>
            </w:r>
            <w:r>
              <w:rPr>
                <w:rFonts w:hint="eastAsia"/>
                <w:b w:val="0"/>
                <w:bCs/>
              </w:rPr>
              <w:t>℃，采取电加热方式，项目喷头每日清洗一次，采用抹布蘸取清洗剂清洗。涂装工序产生的污染物主要为VOC</w:t>
            </w:r>
            <w:r>
              <w:rPr>
                <w:rFonts w:hint="eastAsia"/>
                <w:b w:val="0"/>
                <w:bCs/>
                <w:vertAlign w:val="subscript"/>
              </w:rPr>
              <w:t>S</w:t>
            </w:r>
            <w:r>
              <w:rPr>
                <w:rFonts w:hint="eastAsia"/>
                <w:b w:val="0"/>
                <w:bCs/>
              </w:rPr>
              <w:t>（以非甲烷总烃计）、二甲苯、漆雾、废涂料桶、废活性炭、废过滤纸盒、废催化剂等；涂装工序工艺流程见图</w:t>
            </w:r>
            <w:r>
              <w:rPr>
                <w:b w:val="0"/>
                <w:bCs/>
              </w:rPr>
              <w:t>2-4</w:t>
            </w:r>
            <w:r>
              <w:rPr>
                <w:rFonts w:hint="eastAsia"/>
                <w:b w:val="0"/>
                <w:bCs/>
              </w:rPr>
              <w:t>。</w:t>
            </w:r>
          </w:p>
          <w:p>
            <w:pPr>
              <w:pStyle w:val="36"/>
            </w:pPr>
          </w:p>
          <w:p>
            <w:pPr>
              <w:pStyle w:val="36"/>
            </w:pPr>
            <w:r>
              <w:rPr>
                <w:rFonts w:hint="eastAsia"/>
              </w:rPr>
              <mc:AlternateContent>
                <mc:Choice Requires="wps">
                  <w:drawing>
                    <wp:anchor distT="0" distB="0" distL="114300" distR="114300" simplePos="0" relativeHeight="251662336" behindDoc="0" locked="0" layoutInCell="1" allowOverlap="1">
                      <wp:simplePos x="0" y="0"/>
                      <wp:positionH relativeFrom="column">
                        <wp:posOffset>3173730</wp:posOffset>
                      </wp:positionH>
                      <wp:positionV relativeFrom="paragraph">
                        <wp:posOffset>102870</wp:posOffset>
                      </wp:positionV>
                      <wp:extent cx="1758315" cy="317500"/>
                      <wp:effectExtent l="0" t="0" r="0" b="6350"/>
                      <wp:wrapNone/>
                      <wp:docPr id="457329041" name="文本框 1"/>
                      <wp:cNvGraphicFramePr/>
                      <a:graphic xmlns:a="http://schemas.openxmlformats.org/drawingml/2006/main">
                        <a:graphicData uri="http://schemas.microsoft.com/office/word/2010/wordprocessingShape">
                          <wps:wsp>
                            <wps:cNvSpPr txBox="1"/>
                            <wps:spPr>
                              <a:xfrm>
                                <a:off x="0" y="0"/>
                                <a:ext cx="1758357" cy="317500"/>
                              </a:xfrm>
                              <a:prstGeom prst="rect">
                                <a:avLst/>
                              </a:prstGeom>
                              <a:noFill/>
                              <a:ln w="6350">
                                <a:noFill/>
                              </a:ln>
                            </wps:spPr>
                            <wps:txbx>
                              <w:txbxContent>
                                <w:p>
                                  <w:r>
                                    <w:rPr>
                                      <w:rFonts w:hint="eastAsia"/>
                                    </w:rPr>
                                    <w:t>油性底漆、稀释剂及固化剂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249.9pt;margin-top:8.1pt;height:25pt;width:138.45pt;z-index:251662336;mso-width-relative:page;mso-height-relative:page;" filled="f" stroked="f" coordsize="21600,21600" o:gfxdata="UEsDBAoAAAAAAIdO4kAAAAAAAAAAAAAAAAAEAAAAZHJzL1BLAwQUAAAACACHTuJAKsSB2toAAAAJ&#10;AQAADwAAAGRycy9kb3ducmV2LnhtbE2PzU7DMBCE70i8g7VI3KjTCJI2xKlQpAoJwaGlF25OvE0i&#10;7HWI3R94epZTOc7OaObbcnV2VhxxCoMnBfNZAgKp9WagTsHufX23ABGiJqOtJ1TwjQFW1fVVqQvj&#10;T7TB4zZ2gksoFFpBH+NYSBnaHp0OMz8isbf3k9OR5dRJM+kTlzsr0yTJpNMD8UKvR6x7bD+3B6fg&#10;pV6/6U2TusWPrZ9f90/j1+7jQanbm3nyCCLiOV7C8IfP6FAxU+MPZIKwCu6XS0aPbGQpCA7keZaD&#10;aBRkfJBVKf9/UP0CUEsDBBQAAAAIAIdO4kCH1f8QPwIAAG4EAAAOAAAAZHJzL2Uyb0RvYy54bWyt&#10;VM2O0zAQviPxDpbvNOnf/lRNV2WrIqSKXakgzq7jNJFsj7HdJuUB4A04ceHOc/U5GDtpt1o47IGL&#10;M+P5/b4ZZ3rXKEn2wroKdEb7vZQSoTnkld5m9NPH5ZsbSpxnOmcStMjoQTh6N3v9alqbiRhACTIX&#10;lmAS7Sa1yWjpvZkkieOlUMz1wAiNxgKsYh5Vu01yy2rMrmQySNOrpAabGwtcOIe3i9ZIu4z2JQmh&#10;KCouFsB3SmjfZrVCMo+QXFkZR2ex26IQ3D8UhROeyIwiUh9PLILyJpzJbMomW8tMWfGuBfaSFp5h&#10;UqzSWPScasE8Iztb/ZVKVdyCg8L3OKikBRIZQRT99Bk365IZEbEg1c6cSXf/Ly3/sH+0pMozOhpf&#10;Dwe36ahPiWYKB3/88f348/fx1zfSDzTVxk3Qe23Q3zdvocHlOd07vAzom8Kq8EVcBO1I8uFMsmg8&#10;4SHoenwzHF9TwtE2RC2NU0ieoo11/p0ARYKQUYtDjNyy/cp57ARdTy6hmIZlJWUcpNSkzujVcJzG&#10;gLMFI6TGwICh7TVIvtk0HbAN5AfEZaFdEGf4ssLiK+b8I7O4EQgF34x/wKOQgEWgkygpwX79133w&#10;x0GhlZIaNyyj7suOWUGJfK9xhLf90SisZFSQ/QEq9tKyubTonboHXGIcD3YXxeDv5UksLKjP+LTm&#10;oSqamOZYO6P+JN77du/xaXIxn0cnXELD/EqvDQ+pWzrnOw9FFZkONLXcdOzhGsYBdE8m7PmlHr2e&#10;fhOz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rEgdraAAAACQEAAA8AAAAAAAAAAQAgAAAAIgAA&#10;AGRycy9kb3ducmV2LnhtbFBLAQIUABQAAAAIAIdO4kCH1f8QPwIAAG4EAAAOAAAAAAAAAAEAIAAA&#10;ACkBAABkcnMvZTJvRG9jLnhtbFBLBQYAAAAABgAGAFkBAADaBQAAAAA=&#10;">
                      <v:fill on="f" focussize="0,0"/>
                      <v:stroke on="f" weight="0.5pt"/>
                      <v:imagedata o:title=""/>
                      <o:lock v:ext="edit" aspectratio="f"/>
                      <v:textbox>
                        <w:txbxContent>
                          <w:p>
                            <w:r>
                              <w:rPr>
                                <w:rFonts w:hint="eastAsia"/>
                              </w:rPr>
                              <w:t>油性底漆、稀释剂及固化剂</w:t>
                            </w:r>
                          </w:p>
                        </w:txbxContent>
                      </v:textbox>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201930</wp:posOffset>
                      </wp:positionH>
                      <wp:positionV relativeFrom="paragraph">
                        <wp:posOffset>77470</wp:posOffset>
                      </wp:positionV>
                      <wp:extent cx="1231900" cy="266700"/>
                      <wp:effectExtent l="0" t="0" r="0" b="0"/>
                      <wp:wrapNone/>
                      <wp:docPr id="928581727" name="文本框 1"/>
                      <wp:cNvGraphicFramePr/>
                      <a:graphic xmlns:a="http://schemas.openxmlformats.org/drawingml/2006/main">
                        <a:graphicData uri="http://schemas.microsoft.com/office/word/2010/wordprocessingShape">
                          <wps:wsp>
                            <wps:cNvSpPr txBox="1"/>
                            <wps:spPr>
                              <a:xfrm>
                                <a:off x="0" y="0"/>
                                <a:ext cx="1231900" cy="266700"/>
                              </a:xfrm>
                              <a:prstGeom prst="rect">
                                <a:avLst/>
                              </a:prstGeom>
                              <a:noFill/>
                              <a:ln w="6350">
                                <a:noFill/>
                              </a:ln>
                            </wps:spPr>
                            <wps:txbx>
                              <w:txbxContent>
                                <w:p>
                                  <w:r>
                                    <w:rPr>
                                      <w:rFonts w:hint="eastAsia"/>
                                    </w:rPr>
                                    <w:t>防热涂料及稀释剂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15.9pt;margin-top:6.1pt;height:21pt;width:97pt;z-index:251660288;mso-width-relative:page;mso-height-relative:page;" filled="f" stroked="f" coordsize="21600,21600" o:gfxdata="UEsDBAoAAAAAAIdO4kAAAAAAAAAAAAAAAAAEAAAAZHJzL1BLAwQUAAAACACHTuJADUqEc9gAAAAI&#10;AQAADwAAAGRycy9kb3ducmV2LnhtbE2PS0/DMBCE70j8B2uRuFEnhqAqxKlQpAoJwaGlF26beJtE&#10;+BFi9wG/nuUEx5lZzXxbrc7OiiPNcQxeQ77IQJDvghl9r2H3tr5ZgogJvUEbPGn4ogir+vKiwtKE&#10;k9/QcZt6wSU+lqhhSGkqpYzdQA7jIkzkOduH2WFiOffSzHjicmelyrJ76XD0vDDgRM1A3cf24DQ8&#10;N+tX3LTKLb9t8/Syf5w+d++F1tdXefYAItE5/R3DLz6jQ81MbTh4E4XVcJszeWJfKRCcK1Ww0Woo&#10;7hTIupL/H6h/AFBLAwQUAAAACACHTuJAzeda+EMCAABuBAAADgAAAGRycy9lMm9Eb2MueG1srVTN&#10;bhMxEL4j8Q6W72Sz2/y0UTdVaBSEFNFKBXF2vHZ3JdtjbCe74QHgDThx4c5z9TkYe5O0Khx64OId&#10;e8bf+PtmZi+vOq3ITjjfgClpPhhSIgyHqjH3Jf30cfXmnBIfmKmYAiNKuheeXs1fv7ps7UwUUIOq&#10;hCMIYvystSWtQ7CzLPO8Fpr5AVhh0CnBaRZw6+6zyrEW0bXKiuFwkrXgKuuAC+/xdNk76QHRvQQQ&#10;pGy4WALfamFCj+qEYgEp+bqxns7Ta6UUPNxI6UUgqqTINKQVk6C9iWs2v2Sze8ds3fDDE9hLnvCM&#10;k2aNwaQnqCULjGxd8xeUbrgDDzIMOOisJ5IUQRb58Jk2dzWzInFBqb09ie7/Hyz/sLt1pKlKelGc&#10;j8/zaTGlxDCNhX/48f3h5++HX99IHmVqrZ9h9J3F+NC9hQ6b53ju8TCy76TT8Yu8CPpR5P1JZNEF&#10;wuOl4iy/GKKLo6+YTKZoI3z2eNs6H94J0CQaJXVYxKQt26196EOPITGZgVWjVCqkMqQt6eRsPEwX&#10;Th4EVwZzRA79W6MVuk13ILaBao+8HPQN4i1fNZh8zXy4ZQ47At+LMxNucJEKMAkcLEpqcF//dR7j&#10;sVDopaTFDiup/7JlTlCi3hss4UU+GiFsSJvReFrgxj31bJ56zFZfAzZxjtNpeTJjfFBHUzrQn3G0&#10;FjErupjhmLuk4Wheh77vcTS5WCxSEDahZWFt7iyP0L2ci20A2SSlo0y9Ngf1sA1TrQ4jE/v86T5F&#10;Pf4m5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UqEc9gAAAAIAQAADwAAAAAAAAABACAAAAAi&#10;AAAAZHJzL2Rvd25yZXYueG1sUEsBAhQAFAAAAAgAh07iQM3nWvhDAgAAbgQAAA4AAAAAAAAAAQAg&#10;AAAAJwEAAGRycy9lMm9Eb2MueG1sUEsFBgAAAAAGAAYAWQEAANwFAAAAAA==&#10;">
                      <v:fill on="f" focussize="0,0"/>
                      <v:stroke on="f" weight="0.5pt"/>
                      <v:imagedata o:title=""/>
                      <o:lock v:ext="edit" aspectratio="f"/>
                      <v:textbox>
                        <w:txbxContent>
                          <w:p>
                            <w:r>
                              <w:rPr>
                                <w:rFonts w:hint="eastAsia"/>
                              </w:rPr>
                              <w:t>防热涂料及稀释剂</w:t>
                            </w:r>
                          </w:p>
                        </w:txbxContent>
                      </v:textbox>
                    </v:shape>
                  </w:pict>
                </mc:Fallback>
              </mc:AlternateContent>
            </w:r>
          </w:p>
          <w:p>
            <w:pPr>
              <w:jc w:val="center"/>
              <w:rPr>
                <w:rFonts w:ascii="Times New Roman" w:hAnsi="Times New Roman" w:eastAsia="宋体"/>
              </w:rPr>
            </w:pPr>
            <w:r>
              <w:rPr>
                <w:rFonts w:hint="eastAsia" w:ascii="Times New Roman" w:hAnsi="Times New Roman" w:eastAsia="宋体"/>
              </w:rPr>
              <mc:AlternateContent>
                <mc:Choice Requires="wps">
                  <w:drawing>
                    <wp:anchor distT="0" distB="0" distL="114300" distR="114300" simplePos="0" relativeHeight="251665408" behindDoc="0" locked="0" layoutInCell="1" allowOverlap="1">
                      <wp:simplePos x="0" y="0"/>
                      <wp:positionH relativeFrom="column">
                        <wp:posOffset>748030</wp:posOffset>
                      </wp:positionH>
                      <wp:positionV relativeFrom="paragraph">
                        <wp:posOffset>1322070</wp:posOffset>
                      </wp:positionV>
                      <wp:extent cx="0" cy="524510"/>
                      <wp:effectExtent l="76200" t="38100" r="57150" b="27940"/>
                      <wp:wrapNone/>
                      <wp:docPr id="2121418823" name="直接箭头连接符 3"/>
                      <wp:cNvGraphicFramePr/>
                      <a:graphic xmlns:a="http://schemas.openxmlformats.org/drawingml/2006/main">
                        <a:graphicData uri="http://schemas.microsoft.com/office/word/2010/wordprocessingShape">
                          <wps:wsp>
                            <wps:cNvCnPr/>
                            <wps:spPr>
                              <a:xfrm flipV="1">
                                <a:off x="0" y="0"/>
                                <a:ext cx="0" cy="524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 o:spid="_x0000_s1026" o:spt="32" type="#_x0000_t32" style="position:absolute;left:0pt;flip:y;margin-left:58.9pt;margin-top:104.1pt;height:41.3pt;width:0pt;z-index:251665408;mso-width-relative:page;mso-height-relative:page;" filled="f" stroked="t" coordsize="21600,21600" o:gfxdata="UEsDBAoAAAAAAIdO4kAAAAAAAAAAAAAAAAAEAAAAZHJzL1BLAwQUAAAACACHTuJAUBu4w9cAAAAL&#10;AQAADwAAAGRycy9kb3ducmV2LnhtbE2PwU7DMBBE70j8g7VIXBC1EwkIIU4PQOGEKkK5u/GSRI3X&#10;Uey2yd+z5VKOMzuafVMsJ9eLA46h86QhWSgQSLW3HTUaNl+r2wxEiIas6T2hhhkDLMvLi8Lk1h/p&#10;Ew9VbASXUMiNhjbGIZcy1C06ExZ+QOLbjx+diSzHRtrRHLnc9TJV6l460xF/aM2Azy3Wu2rvNLxU&#10;67vV981mSuf6/aN6y3Zrml+1vr5K1BOIiFM8h+GEz+hQMtPW78kG0bNOHhg9akhVloI4Jf6cLTuP&#10;KgNZFvL/hvIXUEsDBBQAAAAIAIdO4kCA0ZUxBwIAANwDAAAOAAAAZHJzL2Uyb0RvYy54bWytU72O&#10;EzEQ7pF4B8s92ezeBYUomysSjgZBJH56x+vdteQ/zfjy8xK8ABIVUAHV9TwNHI/B2BsCHM0VuLDG&#10;Y883830znl/srWFbBai9q3k5GnOmnPSNdl3NX728fDDlDKNwjTDeqZofFPKLxf17812Yqcr33jQK&#10;GIE4nO1CzfsYw6woUPbKChz5oBxdth6siHSErmhA7AjdmqIajx8WOw9NAC8VInlXwyU/IsJdAH3b&#10;aqlWXl5Z5eKACsqISJSw1wH5IlfbtkrG522LKjJTc2Ia805JyN6kvVjMxawDEXotjyWIu5Rwi5MV&#10;2lHSE9RKRMGuQP8DZbUEj76NI+ltMRDJihCLcnxLmxe9CCpzIakxnETH/wcrn23XwHRT86qsyvNy&#10;Oq3OOHPCUudv3l5/f/Ph5svnb++vf3x9l+xPH9lZ0mwXcEahS7eG4wnDGpIA+xYsa40Or2m4siRE&#10;ku2z4oeT4mofmRyckryT6nxS5mYUA0JCCoDxifKWJaPmGEHoro9L7xy11cOALrZPMVINFPgrIAU7&#10;f6mNyd01ju1q/mhSTTiTgia2pUkh0wZija7jTJiOvoKMkOtFb3STohMOQrdZGmBbkQYor8Sfsv31&#10;LKVeCeyHd/lqGK0otHnsGhYPgRSNoIXrjDpCGEdIScpBvGRtfHPImmY/NT3nOg5omqo/zzn696dc&#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G7jD1wAAAAsBAAAPAAAAAAAAAAEAIAAAACIAAABk&#10;cnMvZG93bnJldi54bWxQSwECFAAUAAAACACHTuJAgNGVMQcCAADcAwAADgAAAAAAAAABACAAAAAm&#10;AQAAZHJzL2Uyb0RvYy54bWxQSwUGAAAAAAYABgBZAQAAnwUAAAAA&#10;">
                      <v:fill on="f" focussize="0,0"/>
                      <v:stroke color="#000000 [3213]" joinstyle="round" endarrow="block"/>
                      <v:imagedata o:title=""/>
                      <o:lock v:ext="edit" aspectratio="f"/>
                    </v:shape>
                  </w:pict>
                </mc:Fallback>
              </mc:AlternateContent>
            </w:r>
            <w:r>
              <w:rPr>
                <w:rFonts w:hint="eastAsia" w:ascii="Times New Roman" w:hAnsi="Times New Roman" w:eastAsia="宋体"/>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1842770</wp:posOffset>
                      </wp:positionV>
                      <wp:extent cx="1460500" cy="520700"/>
                      <wp:effectExtent l="0" t="0" r="0" b="0"/>
                      <wp:wrapNone/>
                      <wp:docPr id="1249054531" name="文本框 1"/>
                      <wp:cNvGraphicFramePr/>
                      <a:graphic xmlns:a="http://schemas.openxmlformats.org/drawingml/2006/main">
                        <a:graphicData uri="http://schemas.microsoft.com/office/word/2010/wordprocessingShape">
                          <wps:wsp>
                            <wps:cNvSpPr txBox="1"/>
                            <wps:spPr>
                              <a:xfrm>
                                <a:off x="0" y="0"/>
                                <a:ext cx="1460500" cy="520700"/>
                              </a:xfrm>
                              <a:prstGeom prst="rect">
                                <a:avLst/>
                              </a:prstGeom>
                              <a:noFill/>
                              <a:ln w="6350">
                                <a:noFill/>
                              </a:ln>
                            </wps:spPr>
                            <wps:txbx>
                              <w:txbxContent>
                                <w:p>
                                  <w:r>
                                    <w:rPr>
                                      <w:rFonts w:hint="eastAsia"/>
                                    </w:rPr>
                                    <w:t>油性面漆、稀释剂及固化剂；水性面漆及水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0.9pt;margin-top:145.1pt;height:41pt;width:115pt;z-index:251664384;mso-width-relative:page;mso-height-relative:page;" filled="f" stroked="f" coordsize="21600,21600" o:gfxdata="UEsDBAoAAAAAAIdO4kAAAAAAAAAAAAAAAAAEAAAAZHJzL1BLAwQUAAAACACHTuJAqHjwm9kAAAAJ&#10;AQAADwAAAGRycy9kb3ducmV2LnhtbE2PzU7DMBCE70i8g7VI3KhdV0BJ41QoUoWE4NDSC7dNvE2i&#10;xnaI3R94erYnOM7OauabfHl2vTjSGLvgDUwnCgT5OtjONwa2H6u7OYiY0FvsgycD3xRhWVxf5ZjZ&#10;cPJrOm5SIzjExwwNtCkNmZSxbslhnISBPHu7MDpMLMdG2hFPHO56qZV6kA47zw0tDlS2VO83B2fg&#10;tVy947rSbv7Tly9vu+fha/t5b8ztzVQtQCQ6p79nuOAzOhTMVIWDt1H0rBk8GdBPSoNgX88ul8rA&#10;7FFrkEUu/y8ofgFQSwMEFAAAAAgAh07iQLi10tlBAgAAbwQAAA4AAABkcnMvZTJvRG9jLnhtbK1U&#10;S27bMBDdF+gdCO5ryY7tNEbkwI3hokDQBEiLrmmKsgTwV5K2lB6gvUFW3XTfc+UcfaRsJ0i7yKIb&#10;asgZvpn3Zqjzi05JshPON0YXdDjIKRGam7LRm4J+/rR685YSH5gumTRaFPROeHoxf/3qvLUzMTK1&#10;kaVwBCDaz1pb0DoEO8syz2uhmB8YKzSclXGKBWzdJisda4GuZDbK82nWGldaZ7jwHqfL3kn3iO4l&#10;gKaqGi6Whm+V0KFHdUKyAEq+bqyn81RtVQkerqvKi0BkQcE0pBVJYK/jms3P2WzjmK0bvi+BvaSE&#10;Z5wUazSSHqGWLDCydc1fUKrhznhThQE3KuuJJEXAYpg/0+a2ZlYkLpDa26Po/v/B8o+7G0eaEpMw&#10;Gp/lk/HkZEiJZgqdf7j/8fDz98Ov72QYdWqtnyH81uJC6N6ZDncO5x6HkX5XORW/IEbgh8p3R5VF&#10;FwiPl8bTfJLDxeGbjPJT2IDPHm9b58N7YRSJRkEdupjEZbsrH/rQQ0hMps2qkTJ1UmrSFnR6MsnT&#10;haMH4FIjR+TQ1xqt0K27PbG1Ke/Ay5l+QrzlqwbJr5gPN8xhJFAvHk24xlJJgyRmb1FSG/ftX+cx&#10;Hp2Cl5IWI1ZQ/3XLnKBEftDo4dlwPAZsSJvx5HSEjXvqWT/16K26NJhitAfVJTPGB3kwK2fUF7yt&#10;RcwKF9McuQsaDuZl6Acfb5OLxSIFYQotC1f61vII3cu52AZTNUnpKFOvzV49zGHq1f7NxEF/uk9R&#10;j/+J+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oePCb2QAAAAkBAAAPAAAAAAAAAAEAIAAAACIA&#10;AABkcnMvZG93bnJldi54bWxQSwECFAAUAAAACACHTuJAuLXS2UECAABvBAAADgAAAAAAAAABACAA&#10;AAAoAQAAZHJzL2Uyb0RvYy54bWxQSwUGAAAAAAYABgBZAQAA2wUAAAAA&#10;">
                      <v:fill on="f" focussize="0,0"/>
                      <v:stroke on="f" weight="0.5pt"/>
                      <v:imagedata o:title=""/>
                      <o:lock v:ext="edit" aspectratio="f"/>
                      <v:textbox>
                        <w:txbxContent>
                          <w:p>
                            <w:r>
                              <w:rPr>
                                <w:rFonts w:hint="eastAsia"/>
                              </w:rPr>
                              <w:t>油性面漆、稀释剂及固化剂；水性面漆及水</w:t>
                            </w:r>
                          </w:p>
                        </w:txbxContent>
                      </v:textbox>
                    </v:shape>
                  </w:pict>
                </mc:Fallback>
              </mc:AlternateContent>
            </w:r>
            <w:r>
              <w:rPr>
                <w:rFonts w:hint="eastAsia" w:ascii="Times New Roman" w:hAnsi="Times New Roman" w:eastAsia="宋体"/>
              </w:rPr>
              <mc:AlternateContent>
                <mc:Choice Requires="wps">
                  <w:drawing>
                    <wp:anchor distT="0" distB="0" distL="114300" distR="114300" simplePos="0" relativeHeight="251663360" behindDoc="0" locked="0" layoutInCell="1" allowOverlap="1">
                      <wp:simplePos x="0" y="0"/>
                      <wp:positionH relativeFrom="column">
                        <wp:posOffset>4149090</wp:posOffset>
                      </wp:positionH>
                      <wp:positionV relativeFrom="paragraph">
                        <wp:posOffset>79375</wp:posOffset>
                      </wp:positionV>
                      <wp:extent cx="0" cy="234950"/>
                      <wp:effectExtent l="76200" t="0" r="57150" b="50800"/>
                      <wp:wrapNone/>
                      <wp:docPr id="1052420470" name="直接箭头连接符 2"/>
                      <wp:cNvGraphicFramePr/>
                      <a:graphic xmlns:a="http://schemas.openxmlformats.org/drawingml/2006/main">
                        <a:graphicData uri="http://schemas.microsoft.com/office/word/2010/wordprocessingShape">
                          <wps:wsp>
                            <wps:cNvCnPr/>
                            <wps:spPr>
                              <a:xfrm>
                                <a:off x="0" y="0"/>
                                <a:ext cx="0" cy="234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 o:spid="_x0000_s1026" o:spt="32" type="#_x0000_t32" style="position:absolute;left:0pt;margin-left:326.7pt;margin-top:6.25pt;height:18.5pt;width:0pt;z-index:251663360;mso-width-relative:page;mso-height-relative:page;" filled="f" stroked="t" coordsize="21600,21600" o:gfxdata="UEsDBAoAAAAAAIdO4kAAAAAAAAAAAAAAAAAEAAAAZHJzL1BLAwQUAAAACACHTuJASrMXbtgAAAAJ&#10;AQAADwAAAGRycy9kb3ducmV2LnhtbE2PTU/DMAyG70j8h8hI3Fi6sVasNJ0EE6IXkNgQ4pg1polo&#10;nKrJvvj1GHGAo/0+ev24Wh59L/Y4RhdIwXSSgUBqg3HUKXjdPFzdgIhJk9F9IFRwwgjL+vys0qUJ&#10;B3rB/Tp1gksollqBTWkopYytRa/jJAxInH2E0evE49hJM+oDl/tezrKskF474gtWD3hvsf1c77yC&#10;tHo/2eKtvVu4583jU+G+mqZZKXV5Mc1uQSQ8pj8YfvRZHWp22oYdmSh6BUV+PWeUg1kOgoHfxVbB&#10;fJGDrCv5/4P6G1BLAwQUAAAACACHTuJAEcMR//8BAADSAwAADgAAAGRycy9lMm9Eb2MueG1srVNL&#10;jhMxEN0jcQfLe9KdJgEmSmcWCcMGQSTgAI7b3W3JP1V58rkEF0BiBayA1ew5DQzHoOwOGRg2s6AX&#10;7qqy65Xfq/L8fG8N2ypA7V3Nx6OSM+Wkb7Trav7m9cWDJ5xhFK4RxjtV84NCfr64f2++CzNV+d6b&#10;RgEjEIezXah5H2OYFQXKXlmBIx+Uo83WgxWRXOiKBsSO0K0pqrJ8VOw8NAG8VIgUXQ2b/IgIdwH0&#10;baulWnl5aZWLAyooIyJRwl4H5It827ZVMr5sW1SRmZoT05hXKkL2Jq3FYi5mHYjQa3m8grjLFW5x&#10;skI7KnqCWoko2CXof6CsluDRt3EkvS0GIlkRYjEub2nzqhdBZS4kNYaT6Pj/YOWL7RqYbmgSymk1&#10;qcrJY5LGCUudv3539ePtx+uvX75/uPr57X2yP39iVdJsF3BGqUu3hqOHYQ1JgH0LNv2JGttnnQ8n&#10;ndU+MjkEJUWrh5OzaW5BcZMXAOMz5S1LRs0xgtBdH5feOWqmh3GWWWyfY6TKlPg7IRV1/kIbk3tq&#10;HNvV/GxaTTmTgua0pfkg0wbiiq7jTJiOHoCMkBHRG92k7ISD0G2WBthWpLHJX2JN1f46lkqvBPbD&#10;ubw1DFQU2jx1DYuHQDpG0MJ1Rh0hjCOkJOAgWbI2vjlkJXOcWp1rHccyzdKffs6+eYq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qzF27YAAAACQEAAA8AAAAAAAAAAQAgAAAAIgAAAGRycy9kb3du&#10;cmV2LnhtbFBLAQIUABQAAAAIAIdO4kARwxH//wEAANIDAAAOAAAAAAAAAAEAIAAAACcBAABkcnMv&#10;ZTJvRG9jLnhtbFBLBQYAAAAABgAGAFkBAACYBQAAAAA=&#10;">
                      <v:fill on="f" focussize="0,0"/>
                      <v:stroke color="#000000 [3213]" joinstyle="round" endarrow="block"/>
                      <v:imagedata o:title=""/>
                      <o:lock v:ext="edit" aspectratio="f"/>
                    </v:shape>
                  </w:pict>
                </mc:Fallback>
              </mc:AlternateContent>
            </w:r>
            <w:r>
              <w:rPr>
                <w:rFonts w:hint="eastAsia" w:ascii="Times New Roman" w:hAnsi="Times New Roman" w:eastAsia="宋体"/>
              </w:rPr>
              <mc:AlternateContent>
                <mc:Choice Requires="wps">
                  <w:drawing>
                    <wp:anchor distT="0" distB="0" distL="114300" distR="114300" simplePos="0" relativeHeight="251661312" behindDoc="0" locked="0" layoutInCell="1" allowOverlap="1">
                      <wp:simplePos x="0" y="0"/>
                      <wp:positionH relativeFrom="column">
                        <wp:posOffset>875030</wp:posOffset>
                      </wp:positionH>
                      <wp:positionV relativeFrom="paragraph">
                        <wp:posOffset>79375</wp:posOffset>
                      </wp:positionV>
                      <wp:extent cx="0" cy="234950"/>
                      <wp:effectExtent l="76200" t="0" r="57150" b="50800"/>
                      <wp:wrapNone/>
                      <wp:docPr id="1466651392" name="直接箭头连接符 2"/>
                      <wp:cNvGraphicFramePr/>
                      <a:graphic xmlns:a="http://schemas.openxmlformats.org/drawingml/2006/main">
                        <a:graphicData uri="http://schemas.microsoft.com/office/word/2010/wordprocessingShape">
                          <wps:wsp>
                            <wps:cNvCnPr/>
                            <wps:spPr>
                              <a:xfrm>
                                <a:off x="0" y="0"/>
                                <a:ext cx="0" cy="234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 o:spid="_x0000_s1026" o:spt="32" type="#_x0000_t32" style="position:absolute;left:0pt;margin-left:68.9pt;margin-top:6.25pt;height:18.5pt;width:0pt;z-index:251661312;mso-width-relative:page;mso-height-relative:page;" filled="f" stroked="t" coordsize="21600,21600" o:gfxdata="UEsDBAoAAAAAAIdO4kAAAAAAAAAAAAAAAAAEAAAAZHJzL1BLAwQUAAAACACHTuJAK2XBMNgAAAAJ&#10;AQAADwAAAGRycy9kb3ducmV2LnhtbE2PzU7DMBCE70i8g7VI3KjTQgMNcSpBhcilSLQIcXTjJbaI&#10;11Hs/vH0bLnAbWd3NPtNOT/4TuxwiC6QgvEoA4HUBOOoVfC2frq6AxGTJqO7QKjgiBHm1flZqQsT&#10;9vSKu1VqBYdQLLQCm1JfSBkbi17HUeiR+PYZBq8Ty6GVZtB7DvednGRZLr12xB+s7vHRYvO12noF&#10;afFxtPl78zBzL+vnZe6+67peKHV5Mc7uQSQ8pD8znPAZHSpm2oQtmSg61te3jJ54mExBnAy/i42C&#10;m9kUZFXK/w2qH1BLAwQUAAAACACHTuJAfbxMMgECAADSAwAADgAAAGRycy9lMm9Eb2MueG1srVO9&#10;jhMxEO6ReAfLPdkkd4lIlM0VCUeDIBLwAI7Xu2vJf5rxZZOX4AWQqIAKrrqep4HjMRh7Qw6O5gq2&#10;8M6MPd/4+2a8uNhbw3YKUHtX8tFgyJly0lfaNSV/++byyVPOMApXCeOdKvlBIb9YPn606MJcjX3r&#10;TaWAEYjDeRdK3sYY5kWBslVW4MAH5Wiz9mBFJBeaogLREbo1xXg4nBadhyqAlwqRout+kx8R4SGA&#10;vq61VGsvr6xysUcFZUQkStjqgHyZb1vXSsZXdY0qMlNyYhrzSkXI3qa1WC7EvAERWi2PVxAPucI9&#10;TlZoR0VPUGsRBbsC/Q+U1RI8+joOpLdFTyQrQixGw3vavG5FUJkLSY3hJDr+P1j5crcBpiuahPPp&#10;dDoZnc3GnDlhqfO3729+vPt0e/31+8ebn98+JPvLZzZOmnUB55S6chs4ehg2kATY12DTn6ixfdb5&#10;cNJZ7SOTfVBSdHx2PpvkFhR3eQEwPlfesmSUHCMI3bRx5Z2jZnoYZZnF7gVGqkyJvxNSUecvtTG5&#10;p8axruSzyXjCmRQ0pzXNB5k2EFd0DWfCNPQAZISMiN7oKmUnHIRmuzLAdiKNTf4Sa6r217FUei2w&#10;7c/lrX6gotDmmatYPATSMYIWrjHqCGEcISUBe8mStfXVISuZ49TqXOs4lmmW/vRz9t1TXP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2XBMNgAAAAJAQAADwAAAAAAAAABACAAAAAiAAAAZHJzL2Rv&#10;d25yZXYueG1sUEsBAhQAFAAAAAgAh07iQH28TDIBAgAA0gMAAA4AAAAAAAAAAQAgAAAAJwEAAGRy&#10;cy9lMm9Eb2MueG1sUEsFBgAAAAAGAAYAWQEAAJoFAAAAAA==&#10;">
                      <v:fill on="f" focussize="0,0"/>
                      <v:stroke color="#000000 [3213]" joinstyle="round" endarrow="block"/>
                      <v:imagedata o:title=""/>
                      <o:lock v:ext="edit" aspectratio="f"/>
                    </v:shape>
                  </w:pict>
                </mc:Fallback>
              </mc:AlternateContent>
            </w:r>
            <w:r>
              <w:rPr>
                <w:rFonts w:ascii="Times New Roman" w:hAnsi="Times New Roman" w:eastAsia="宋体"/>
              </w:rPr>
              <mc:AlternateContent>
                <mc:Choice Requires="wpc">
                  <w:drawing>
                    <wp:inline distT="0" distB="0" distL="0" distR="0">
                      <wp:extent cx="4819650" cy="1993900"/>
                      <wp:effectExtent l="0" t="0" r="57150" b="0"/>
                      <wp:docPr id="1512793283" name="画布 2"/>
                      <wp:cNvGraphicFramePr/>
                      <a:graphic xmlns:a="http://schemas.openxmlformats.org/drawingml/2006/main">
                        <a:graphicData uri="http://schemas.microsoft.com/office/word/2010/wordprocessingCanvas">
                          <wpc:wpc>
                            <wpc:bg>
                              <a:noFill/>
                            </wpc:bg>
                            <wpc:whole>
                              <a:ln>
                                <a:noFill/>
                              </a:ln>
                            </wpc:whole>
                            <wps:wsp>
                              <wps:cNvPr id="2144697098" name="矩形 64"/>
                              <wps:cNvSpPr>
                                <a:spLocks noChangeArrowheads="1"/>
                              </wps:cNvSpPr>
                              <wps:spPr bwMode="auto">
                                <a:xfrm>
                                  <a:off x="2717576" y="923290"/>
                                  <a:ext cx="756285" cy="304800"/>
                                </a:xfrm>
                                <a:prstGeom prst="rect">
                                  <a:avLst/>
                                </a:prstGeom>
                                <a:noFill/>
                                <a:ln w="9525">
                                  <a:solidFill>
                                    <a:srgbClr val="000000"/>
                                  </a:solidFill>
                                  <a:miter lim="800000"/>
                                </a:ln>
                                <a:effectLst/>
                              </wps:spPr>
                              <wps:txbx>
                                <w:txbxContent>
                                  <w:p>
                                    <w:pPr>
                                      <w:jc w:val="center"/>
                                    </w:pPr>
                                    <w:r>
                                      <w:rPr>
                                        <w:rFonts w:hint="eastAsia"/>
                                      </w:rPr>
                                      <w:t>底漆流平</w:t>
                                    </w:r>
                                  </w:p>
                                  <w:p>
                                    <w:pPr>
                                      <w:jc w:val="center"/>
                                    </w:pPr>
                                  </w:p>
                                </w:txbxContent>
                              </wps:txbx>
                              <wps:bodyPr rot="0" vert="horz" wrap="square" lIns="91440" tIns="45720" rIns="91440" bIns="45720" anchor="t" anchorCtr="0" upright="1">
                                <a:noAutofit/>
                              </wps:bodyPr>
                            </wps:wsp>
                            <wps:wsp>
                              <wps:cNvPr id="470989162" name="矩形 69"/>
                              <wps:cNvSpPr>
                                <a:spLocks noChangeArrowheads="1"/>
                              </wps:cNvSpPr>
                              <wps:spPr bwMode="auto">
                                <a:xfrm>
                                  <a:off x="377762" y="923290"/>
                                  <a:ext cx="766284" cy="304800"/>
                                </a:xfrm>
                                <a:prstGeom prst="rect">
                                  <a:avLst/>
                                </a:prstGeom>
                                <a:noFill/>
                                <a:ln w="9525">
                                  <a:solidFill>
                                    <a:srgbClr val="000000"/>
                                  </a:solidFill>
                                  <a:miter lim="800000"/>
                                </a:ln>
                                <a:effectLst/>
                              </wps:spPr>
                              <wps:txbx>
                                <w:txbxContent>
                                  <w:p>
                                    <w:pPr>
                                      <w:jc w:val="center"/>
                                    </w:pPr>
                                    <w:r>
                                      <w:rPr>
                                        <w:rFonts w:hint="eastAsia"/>
                                      </w:rPr>
                                      <w:t>面漆调配</w:t>
                                    </w:r>
                                  </w:p>
                                </w:txbxContent>
                              </wps:txbx>
                              <wps:bodyPr rot="0" vert="horz" wrap="square" lIns="91440" tIns="45720" rIns="91440" bIns="45720" anchor="t" anchorCtr="0" upright="1">
                                <a:noAutofit/>
                              </wps:bodyPr>
                            </wps:wsp>
                            <wps:wsp>
                              <wps:cNvPr id="46353866" name="矩形 70"/>
                              <wps:cNvSpPr>
                                <a:spLocks noChangeArrowheads="1"/>
                              </wps:cNvSpPr>
                              <wps:spPr bwMode="auto">
                                <a:xfrm>
                                  <a:off x="1492661" y="916305"/>
                                  <a:ext cx="876300" cy="304800"/>
                                </a:xfrm>
                                <a:prstGeom prst="rect">
                                  <a:avLst/>
                                </a:prstGeom>
                                <a:noFill/>
                                <a:ln w="9525">
                                  <a:solidFill>
                                    <a:srgbClr val="000000"/>
                                  </a:solidFill>
                                  <a:miter lim="800000"/>
                                </a:ln>
                                <a:effectLst/>
                              </wps:spPr>
                              <wps:txbx>
                                <w:txbxContent>
                                  <w:p>
                                    <w:pPr>
                                      <w:jc w:val="center"/>
                                    </w:pPr>
                                    <w:r>
                                      <w:rPr>
                                        <w:rFonts w:hint="eastAsia"/>
                                      </w:rPr>
                                      <w:t>底漆烘干</w:t>
                                    </w:r>
                                  </w:p>
                                  <w:p>
                                    <w:pPr>
                                      <w:jc w:val="center"/>
                                    </w:pPr>
                                  </w:p>
                                </w:txbxContent>
                              </wps:txbx>
                              <wps:bodyPr rot="0" vert="horz" wrap="square" lIns="91440" tIns="45720" rIns="91440" bIns="45720" anchor="t" anchorCtr="0" upright="1">
                                <a:noAutofit/>
                              </wps:bodyPr>
                            </wps:wsp>
                            <wps:wsp>
                              <wps:cNvPr id="2049740409" name="矩形 60"/>
                              <wps:cNvSpPr>
                                <a:spLocks noChangeArrowheads="1"/>
                              </wps:cNvSpPr>
                              <wps:spPr bwMode="auto">
                                <a:xfrm>
                                  <a:off x="241300" y="231140"/>
                                  <a:ext cx="1002401" cy="304800"/>
                                </a:xfrm>
                                <a:prstGeom prst="rect">
                                  <a:avLst/>
                                </a:prstGeom>
                                <a:noFill/>
                                <a:ln w="9525">
                                  <a:solidFill>
                                    <a:srgbClr val="000000"/>
                                  </a:solidFill>
                                  <a:miter lim="800000"/>
                                </a:ln>
                                <a:effectLst/>
                              </wps:spPr>
                              <wps:txbx>
                                <w:txbxContent>
                                  <w:p>
                                    <w:pPr>
                                      <w:jc w:val="center"/>
                                    </w:pPr>
                                    <w:r>
                                      <w:rPr>
                                        <w:rFonts w:hint="eastAsia"/>
                                      </w:rPr>
                                      <w:t>防热涂料调配</w:t>
                                    </w:r>
                                  </w:p>
                                </w:txbxContent>
                              </wps:txbx>
                              <wps:bodyPr rot="0" vert="horz" wrap="square" lIns="91440" tIns="45720" rIns="91440" bIns="45720" anchor="t" anchorCtr="0" upright="1">
                                <a:noAutofit/>
                              </wps:bodyPr>
                            </wps:wsp>
                            <wps:wsp>
                              <wps:cNvPr id="60951347" name="矩形 62"/>
                              <wps:cNvSpPr>
                                <a:spLocks noChangeArrowheads="1"/>
                              </wps:cNvSpPr>
                              <wps:spPr bwMode="auto">
                                <a:xfrm>
                                  <a:off x="3822476" y="923290"/>
                                  <a:ext cx="782124" cy="304800"/>
                                </a:xfrm>
                                <a:prstGeom prst="rect">
                                  <a:avLst/>
                                </a:prstGeom>
                                <a:noFill/>
                                <a:ln w="9525">
                                  <a:solidFill>
                                    <a:srgbClr val="000000"/>
                                  </a:solidFill>
                                  <a:miter lim="800000"/>
                                </a:ln>
                                <a:effectLst/>
                              </wps:spPr>
                              <wps:txbx>
                                <w:txbxContent>
                                  <w:p>
                                    <w:pPr>
                                      <w:jc w:val="center"/>
                                    </w:pPr>
                                    <w:r>
                                      <w:rPr>
                                        <w:rFonts w:hint="eastAsia"/>
                                      </w:rPr>
                                      <w:t>底漆喷涂</w:t>
                                    </w:r>
                                  </w:p>
                                  <w:p>
                                    <w:pPr>
                                      <w:jc w:val="center"/>
                                    </w:pPr>
                                  </w:p>
                                </w:txbxContent>
                              </wps:txbx>
                              <wps:bodyPr rot="0" vert="horz" wrap="square" lIns="91440" tIns="45720" rIns="91440" bIns="45720" anchor="t" anchorCtr="0" upright="1">
                                <a:noAutofit/>
                              </wps:bodyPr>
                            </wps:wsp>
                            <wps:wsp>
                              <wps:cNvPr id="1956097856" name="直接箭头连接符 1956097856"/>
                              <wps:cNvCnPr/>
                              <wps:spPr>
                                <a:xfrm>
                                  <a:off x="4806357" y="379730"/>
                                  <a:ext cx="0" cy="70358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86800261" name="矩形 60"/>
                              <wps:cNvSpPr>
                                <a:spLocks noChangeArrowheads="1"/>
                              </wps:cNvSpPr>
                              <wps:spPr bwMode="auto">
                                <a:xfrm>
                                  <a:off x="3739557" y="222250"/>
                                  <a:ext cx="742950" cy="304800"/>
                                </a:xfrm>
                                <a:prstGeom prst="rect">
                                  <a:avLst/>
                                </a:prstGeom>
                                <a:noFill/>
                                <a:ln w="9525">
                                  <a:solidFill>
                                    <a:srgbClr val="000000"/>
                                  </a:solidFill>
                                  <a:miter lim="800000"/>
                                </a:ln>
                                <a:effectLst/>
                              </wps:spPr>
                              <wps:txbx>
                                <w:txbxContent>
                                  <w:p>
                                    <w:pPr>
                                      <w:jc w:val="center"/>
                                    </w:pPr>
                                    <w:r>
                                      <w:rPr>
                                        <w:rFonts w:hint="eastAsia"/>
                                      </w:rPr>
                                      <w:t>底漆调配</w:t>
                                    </w:r>
                                  </w:p>
                                </w:txbxContent>
                              </wps:txbx>
                              <wps:bodyPr rot="0" vert="horz" wrap="square" lIns="91440" tIns="45720" rIns="91440" bIns="45720" anchor="t" anchorCtr="0" upright="1">
                                <a:noAutofit/>
                              </wps:bodyPr>
                            </wps:wsp>
                            <wps:wsp>
                              <wps:cNvPr id="1130212725" name="矩形 60"/>
                              <wps:cNvSpPr>
                                <a:spLocks noChangeArrowheads="1"/>
                              </wps:cNvSpPr>
                              <wps:spPr bwMode="auto">
                                <a:xfrm>
                                  <a:off x="2655502" y="222250"/>
                                  <a:ext cx="771524" cy="304800"/>
                                </a:xfrm>
                                <a:prstGeom prst="rect">
                                  <a:avLst/>
                                </a:prstGeom>
                                <a:noFill/>
                                <a:ln w="9525">
                                  <a:solidFill>
                                    <a:srgbClr val="000000"/>
                                  </a:solidFill>
                                  <a:miter lim="800000"/>
                                </a:ln>
                                <a:effectLst/>
                              </wps:spPr>
                              <wps:txbx>
                                <w:txbxContent>
                                  <w:p>
                                    <w:pPr>
                                      <w:jc w:val="center"/>
                                    </w:pPr>
                                    <w:r>
                                      <w:rPr>
                                        <w:rFonts w:hint="eastAsia"/>
                                      </w:rPr>
                                      <w:t>涂料烘干</w:t>
                                    </w:r>
                                  </w:p>
                                </w:txbxContent>
                              </wps:txbx>
                              <wps:bodyPr rot="0" vert="horz" wrap="square" lIns="91440" tIns="45720" rIns="91440" bIns="45720" anchor="t" anchorCtr="0" upright="1">
                                <a:noAutofit/>
                              </wps:bodyPr>
                            </wps:wsp>
                            <wps:wsp>
                              <wps:cNvPr id="1727211556" name="直接箭头连接符 1727211556"/>
                              <wps:cNvCnPr/>
                              <wps:spPr>
                                <a:xfrm>
                                  <a:off x="1243701" y="37973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11584418" name="直接箭头连接符 1811584418"/>
                              <wps:cNvCnPr/>
                              <wps:spPr>
                                <a:xfrm>
                                  <a:off x="3423892" y="37084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56377" name="直接箭头连接符 17656377"/>
                              <wps:cNvCnPr/>
                              <wps:spPr>
                                <a:xfrm>
                                  <a:off x="4482507" y="37084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98662" name="直接箭头连接符 12198662"/>
                              <wps:cNvCnPr/>
                              <wps:spPr>
                                <a:xfrm flipH="1">
                                  <a:off x="2368961" y="1083310"/>
                                  <a:ext cx="348615"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0477205" name="直接箭头连接符 560477205"/>
                              <wps:cNvCnPr/>
                              <wps:spPr>
                                <a:xfrm flipH="1">
                                  <a:off x="1144046" y="1083310"/>
                                  <a:ext cx="348615"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0246932" name="直接箭头连接符 620246932"/>
                              <wps:cNvCnPr/>
                              <wps:spPr>
                                <a:xfrm flipH="1">
                                  <a:off x="3473861" y="1083310"/>
                                  <a:ext cx="348615"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87831890" name="直接箭头连接符 1387831890"/>
                              <wps:cNvCnPr/>
                              <wps:spPr>
                                <a:xfrm flipH="1">
                                  <a:off x="4604600" y="1085850"/>
                                  <a:ext cx="20175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3437843" name="矩形 60"/>
                              <wps:cNvSpPr>
                                <a:spLocks noChangeArrowheads="1"/>
                              </wps:cNvSpPr>
                              <wps:spPr bwMode="auto">
                                <a:xfrm>
                                  <a:off x="1567551" y="222250"/>
                                  <a:ext cx="764101" cy="304800"/>
                                </a:xfrm>
                                <a:prstGeom prst="rect">
                                  <a:avLst/>
                                </a:prstGeom>
                                <a:noFill/>
                                <a:ln w="9525">
                                  <a:solidFill>
                                    <a:srgbClr val="000000"/>
                                  </a:solidFill>
                                  <a:miter lim="800000"/>
                                </a:ln>
                                <a:effectLst/>
                              </wps:spPr>
                              <wps:txbx>
                                <w:txbxContent>
                                  <w:p>
                                    <w:pPr>
                                      <w:jc w:val="center"/>
                                    </w:pPr>
                                    <w:r>
                                      <w:rPr>
                                        <w:rFonts w:hint="eastAsia"/>
                                      </w:rPr>
                                      <w:t>涂料喷涂</w:t>
                                    </w:r>
                                  </w:p>
                                </w:txbxContent>
                              </wps:txbx>
                              <wps:bodyPr rot="0" vert="horz" wrap="square" lIns="91440" tIns="45720" rIns="91440" bIns="45720" anchor="t" anchorCtr="0" upright="1">
                                <a:noAutofit/>
                              </wps:bodyPr>
                            </wps:wsp>
                            <wps:wsp>
                              <wps:cNvPr id="1175049987" name="直接箭头连接符 1175049987"/>
                              <wps:cNvCnPr/>
                              <wps:spPr>
                                <a:xfrm>
                                  <a:off x="2331652" y="37084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5201300" name="矩形 69"/>
                              <wps:cNvSpPr>
                                <a:spLocks noChangeArrowheads="1"/>
                              </wps:cNvSpPr>
                              <wps:spPr bwMode="auto">
                                <a:xfrm>
                                  <a:off x="1520762" y="1494790"/>
                                  <a:ext cx="766284" cy="304800"/>
                                </a:xfrm>
                                <a:prstGeom prst="rect">
                                  <a:avLst/>
                                </a:prstGeom>
                                <a:noFill/>
                                <a:ln w="9525">
                                  <a:solidFill>
                                    <a:srgbClr val="000000"/>
                                  </a:solidFill>
                                  <a:miter lim="800000"/>
                                </a:ln>
                                <a:effectLst/>
                              </wps:spPr>
                              <wps:txbx>
                                <w:txbxContent>
                                  <w:p>
                                    <w:pPr>
                                      <w:jc w:val="center"/>
                                    </w:pPr>
                                    <w:r>
                                      <w:rPr>
                                        <w:rFonts w:hint="eastAsia"/>
                                      </w:rPr>
                                      <w:t>面漆喷涂</w:t>
                                    </w:r>
                                  </w:p>
                                </w:txbxContent>
                              </wps:txbx>
                              <wps:bodyPr rot="0" vert="horz" wrap="square" lIns="91440" tIns="45720" rIns="91440" bIns="45720" anchor="t" anchorCtr="0" upright="1">
                                <a:noAutofit/>
                              </wps:bodyPr>
                            </wps:wsp>
                            <wps:wsp>
                              <wps:cNvPr id="1882955227" name="矩形 70"/>
                              <wps:cNvSpPr>
                                <a:spLocks noChangeArrowheads="1"/>
                              </wps:cNvSpPr>
                              <wps:spPr bwMode="auto">
                                <a:xfrm>
                                  <a:off x="2636452" y="1494790"/>
                                  <a:ext cx="876300" cy="304800"/>
                                </a:xfrm>
                                <a:prstGeom prst="rect">
                                  <a:avLst/>
                                </a:prstGeom>
                                <a:noFill/>
                                <a:ln w="9525">
                                  <a:solidFill>
                                    <a:srgbClr val="000000"/>
                                  </a:solidFill>
                                  <a:miter lim="800000"/>
                                </a:ln>
                                <a:effectLst/>
                              </wps:spPr>
                              <wps:txbx>
                                <w:txbxContent>
                                  <w:p>
                                    <w:pPr>
                                      <w:jc w:val="center"/>
                                    </w:pPr>
                                    <w:r>
                                      <w:rPr>
                                        <w:rFonts w:hint="eastAsia"/>
                                      </w:rPr>
                                      <w:t>面漆烘干</w:t>
                                    </w:r>
                                  </w:p>
                                </w:txbxContent>
                              </wps:txbx>
                              <wps:bodyPr rot="0" vert="horz" wrap="square" lIns="91440" tIns="45720" rIns="91440" bIns="45720" anchor="t" anchorCtr="0" upright="1">
                                <a:noAutofit/>
                              </wps:bodyPr>
                            </wps:wsp>
                            <wps:wsp>
                              <wps:cNvPr id="1593523236" name="直接箭头连接符 1593523236"/>
                              <wps:cNvCnPr/>
                              <wps:spPr>
                                <a:xfrm>
                                  <a:off x="2287046" y="164973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272793" name="直接箭头连接符 92272793"/>
                              <wps:cNvCnPr/>
                              <wps:spPr>
                                <a:xfrm>
                                  <a:off x="901700" y="1228090"/>
                                  <a:ext cx="0" cy="421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6892146" name="直接箭头连接符 586892146"/>
                              <wps:cNvCnPr>
                                <a:endCxn id="1025201300" idx="1"/>
                              </wps:cNvCnPr>
                              <wps:spPr>
                                <a:xfrm flipV="1">
                                  <a:off x="901700" y="1647190"/>
                                  <a:ext cx="619062"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2" o:spid="_x0000_s1026" o:spt="203" style="height:157pt;width:379.5pt;" coordsize="4819650,1993900" editas="canvas" o:gfxdata="UEsDBAoAAAAAAIdO4kAAAAAAAAAAAAAAAAAEAAAAZHJzL1BLAwQUAAAACACHTuJAg/YT2dcAAAAF&#10;AQAADwAAAGRycy9kb3ducmV2LnhtbE2PzU7DMBCE70i8g7VIXBC1A5SfEKeHSogKIVVNoWc3XpKI&#10;eJ3GbtK+PVsucBlpNKuZb7PZwbViwD40njQkEwUCqfS2oUrDx/rl+hFEiIasaT2hhiMGmOXnZ5lJ&#10;rR9phUMRK8ElFFKjoY6xS6UMZY3OhInvkDj78r0zkW1fSdubkctdK2+UupfONMQLtelwXmP5Xeyd&#10;hrFcDpv1+6tcXm0WnnaL3bz4fNP68iJRzyAiHuLfMZzwGR1yZtr6PdkgWg38SPxVzh6mT2y3Gm6T&#10;OwUyz+R/+vwHUEsDBBQAAAAIAIdO4kB9y9LYkgYAAN01AAAOAAAAZHJzL2Uyb0RvYy54bWztW09v&#10;3EQUvyPxHSzf6Xr+j1fdVFXSFqQClQrcHdu7a2F7zNjJJly5c+KGBBICJCTg1AMSQnyaUj4Gb2a8&#10;6113m22CuoTEe0j853k88+Y3773fm+e7986K3DtNdZ2pcuKjO4HvpWWskqycTfyPP3r4jvS9uonK&#10;JMpVmU7887T27x28/dbdRTVOsZqrPEm1B42U9XhRTfx501Tj0aiO52kR1XdUlZZwc6p0ETVwqmej&#10;REcLaL3IRzgI+GihdFJpFad1DVeP3E2/bVG/ToNqOs3i9EjFJ0VaNq5VneZRA0Oq51lV+we2t9Np&#10;GjcfTqd12nj5xIeRNvYvvASOj83f0cHdaDzTUTXP4rYL0et0oTemIspKeOmqqaOoibwTnb3UVJHF&#10;WtVq2tyJVTFyA7EagVGgoKebR1qdVHYss/FiVq2UDhPV0/qVm40/OH2ivSwBJDCERUiwJL5XRgXM&#10;/Iuvfn/+2xceNkpaVLMxyD7S1dPqiW4vzNyZGffZVBfmP4zIO7PqPV+pNz1rvBguUolCzkDzMdxD&#10;YUjCoJ2AeA6z9NJz8fzBjidHyxePTP9W3VlUAM2601f97/T1dB5VqZ2G2uig1RdGlPJQBCGsl1Zf&#10;3/70/I/vPE6dwqyw0ZbRS109VvGntVeqw3lUztL7WqvFPI0S6Bsy8jCCtQfMSQ2PeseL91UCcxGd&#10;NMoCrKdoLJBggvseqDTEBIetRpc6F4xjyZzKSUCl0/hKb9G40nXzKFWFZw4mvoYVY98TnT6uG9Ov&#10;TsSMo1QPszyH69E4L70FvJRhZh+oVZ4l5qYdrp4dH+baO43MurM/O0hQxLpYkTVgS/KsmPjQM/i1&#10;QnlpGknt+m27sdSIgWI9bs6OzywI6/GxSs5BUVq5tQ2WDQ7mSn/uewtY1xO//uwk0qnv5e+VoOwQ&#10;ps0YAntCmcBwotfvHK/ficoYmpr4je+5w8PGGY+TSmezObwJ2cGX6j5M0DSzGjMddL1qpxWw6Lr9&#10;xkFJDR5DxHEfk+EeMUmEEKYHr4IkB0jSAZK3BZKcMCI5mKgNKynsWjdLBUzqm7aSiIaYc+QgiTgJ&#10;mFkOYGFa/yIFXGsd02Alb7yVxAENBQ1oEPZAyfcJSkyRBR2YSUwQAq+0gUkUBJgGgFkTLQ2gvPGg&#10;5EHIEKGiD8k2/N6LnSQSY3pRNCkxwoPrvi3RJAoZoFJI1jnvr5/99eUPL3795fn3z/7+8xtz/POP&#10;3ppcG5SDTz8sW57omIxxtz3uAmwEYgMAvDFwIhSkZwFbhywCwqS99WraUjc6MvH4oSpLYDBKu7D8&#10;UiTGiw1bmEIaAWxuUSXAHMoZxP35DPIkcaOvzHIMszqK6rljQ5YAOVNv+N+DMvGa8wooXgnpFuAs&#10;E79IE2ArKbzVHFmn0ERZ/jqSoCHDnSyZNPzR0Q5HRqAhe31/bIRJDrQOm8BrI/bbq5slgoSsRRmG&#10;HyQgNvysoDhcJiUGN3vj3SyCoAucmICsxX8ISswZY4HjyFtBKRAbHO2tSdsgAYBEiO10tJ3cZRwt&#10;xGxEGCrxCkdLMJFLE3gjHe2m+2x0BinYPDV+4Ho5TCQBBJJS1OWUtwdcndxlcEAoTHTorA4AQvYp&#10;54CDaxI4IcEZhzTqykVtR8FS6jIYoFRCCLQMugcMXF9bgFEIadMuk78dA0upnRjwpnlWvbvcsGj3&#10;6TDhMmwToyiQhKBedEyo5AhCJZOEwswZjJtGw/4v3gHIOBWwYdVFrlsh0YldDROQioTcqNtSHDBh&#10;qfn1jRg4hiwxh237i11FJ3Y1TEBeEvZwXAQ5YOKaYwIRKSRBEmoBlhR3q6FYk7saKigYJG72zcA5&#10;ACqYIRHQUrevBjUtUJ3gvMdALFZlAaCjPWfiMCNAASXtanvaWhU7K/vahWVcMOaMyNakB6do2PC6&#10;PUkPsA2wERvKXTSnk9tppozxWYW2BHE2kN12d+H6hjAowAwchd0L39wm2GfREuRbg2XVEpSLUPFS&#10;Jd1QtnSbKumQlLAvxDDurJNzmXstXMKccNoasa2oHCqXblV9J2IhYVDmS3btyHdyl/KZWIoV9edQ&#10;JNXfkh8yxNckQxyCYTLl+hczvJXUZUAQAmlbkjqMZdB3hG1ZBsWID/nArtZ7/6TOlFeE8BnCDlvQ&#10;iW2iwBL1Mjk8K933H2thWJbA5xobnyWYah5XTOLKSlwxj80pf9LLKa/jh1OB+vjhcMWktYeU8oUV&#10;OmBo7Fc/do+y/ULJfFa0fm7zCN1XWQ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IJAABbQ29udGVudF9UeXBlc10ueG1sUEsBAhQACgAAAAAA&#10;h07iQAAAAAAAAAAAAAAAAAYAAAAAAAAAAAAQAAAA5AcAAF9yZWxzL1BLAQIUABQAAAAIAIdO4kCK&#10;FGY80QAAAJQBAAALAAAAAAAAAAEAIAAAAAgIAABfcmVscy8ucmVsc1BLAQIUAAoAAAAAAIdO4kAA&#10;AAAAAAAAAAAAAAAEAAAAAAAAAAAAEAAAAAAAAABkcnMvUEsBAhQAFAAAAAgAh07iQIP2E9nXAAAA&#10;BQEAAA8AAAAAAAAAAQAgAAAAIgAAAGRycy9kb3ducmV2LnhtbFBLAQIUABQAAAAIAIdO4kB9y9LY&#10;kgYAAN01AAAOAAAAAAAAAAEAIAAAACYBAABkcnMvZTJvRG9jLnhtbFBLBQYAAAAABgAGAFkBAAAq&#10;CgAAAAA=&#10;">
                      <o:lock v:ext="edit" aspectratio="f"/>
                      <v:shape id="画布 2" o:spid="_x0000_s1026" style="position:absolute;left:0;top:0;height:1993900;width:4819650;" filled="f" stroked="f" coordsize="21600,21600" o:gfxdata="UEsDBAoAAAAAAIdO4kAAAAAAAAAAAAAAAAAEAAAAZHJzL1BLAwQUAAAACACHTuJAg/YT2dcAAAAF&#10;AQAADwAAAGRycy9kb3ducmV2LnhtbE2PzU7DMBCE70i8g7VIXBC1A5SfEKeHSogKIVVNoWc3XpKI&#10;eJ3GbtK+PVsucBlpNKuZb7PZwbViwD40njQkEwUCqfS2oUrDx/rl+hFEiIasaT2hhiMGmOXnZ5lJ&#10;rR9phUMRK8ElFFKjoY6xS6UMZY3OhInvkDj78r0zkW1fSdubkctdK2+UupfONMQLtelwXmP5Xeyd&#10;hrFcDpv1+6tcXm0WnnaL3bz4fNP68iJRzyAiHuLfMZzwGR1yZtr6PdkgWg38SPxVzh6mT2y3Gm6T&#10;OwUyz+R/+vwHUEsDBBQAAAAIAIdO4kCk/2f8RgYAAFE1AAAOAAAAZHJzL2Uyb0RvYy54bWztW92O&#10;20QUvkfiHSzf03jG82NHzVbVLgWkApUK3Du2k1j4j7F3k+UheAEkkBAgIQFXvUU8TSmPwTdjO07S&#10;tNtdaLo0zkVie07GZ2Y+n3O+M8d3762y1LqIVZUU+cQmdxzbivOwiJJ8PrE//+zBe55tVXWQR0Fa&#10;5PHEvowr+97Ju+/cXZbjmBaLIo1iZaGTvBovy4m9qOtyPBpV4SLOgupOUcY5GmeFyoIap2o+ilSw&#10;RO9ZOqKOI0bLQkWlKsK4qnD1rGm02x7Vq3RYzGZJGJ8V4XkW53XTq4rToMaQqkVSVvaJ0XY2i8P6&#10;09msimsrndgYaW2+cRMcT/X36ORuMJ6roFwkYatC8Coq7IwpC5IcN113dRbUgXWukue6ypJQFVUx&#10;q++ERTZqBmJmBKMgzs7cnAb5RdAMJsRcdwri6D/sdzrXeufFgyRNMRsj9D7W1/TvEqsd6+Y03xZq&#10;rhjZVmZZAg5VuQZG9e9UfLwIytgsYzUOP7l4pKwkmtiUMCZ86fjAaB5kQOez7395+scPlmB6JbUO&#10;EH5cPlJa3ap8WIRfVlZenC6CfB7fV6pYLuIggm5Ey0P/jT/okwp/tabLj4sIfQfndWEWdTVTme4Q&#10;y2WtoIUkkkthW5cT26cu9VsYxavaCtEuuaAet60Q7a7DPMe0j4Jx10+pqvqDuMgsfTCxFVBq7hNc&#10;PKxqrVcw7kS2pl3PurXETTnl5g9VkSaRXjgzXDWfnqbKugg01s3HDBITsSmWJTWe3zTJJjY0w6cV&#10;apY4Ns9Mq0Y3I83M1qvpqp3kaRFdYqJU0TxPsCY4WBTqa9ta4lma2NVX54GKbSv9KMdk+1g2/fCZ&#10;E8YlxYnabJlutgR5iK4mdm1bzeFp3Tyw56VK5gvciZjB58V9LNAsMTOmVW20apcVWGzUfu2gZBqP&#10;PhF0F5P+ATHpSim1Bi+CpAAk2QDJY4GkcLnrCZioLSspzbO+ZfRen5UkzKdCkAaSRLgO149DMO6s&#10;pCdxDYZgsJJHYSWpw3zJHOb4O6AUhwQlZcSADmaSuoTAK21hkjgOZQ4wO4DyKEApHJ8Tl8ldSNJD&#10;em6PUvayaNKjhA6u+1iiSeJzoFJ6vHfe3z7565ufnv3+29Mfn/z953f6+NefrQ25NigH8znNH6n2&#10;TDMZ7W47ztFyF7ARxAYAvOYm0pfujgVsHbJ0XO6ZphfTlqpWgY7HT4s8B4MpVBOWX4vEWKFmCzNQ&#10;d9jcrIzAHPI54v50jtxEWKsbsxzNn86CatGwIUOAGlOv+d/7eWTVlyUoXo4UBzjLxM7iCGwlxl31&#10;kXEKdZCkryKJGdLcyZDJZtZ7MoKOzPXDsRHuCdA6qgOvrdjvoG7Wla7PW5RRfPgOyiSjPq4NbvY4&#10;GDJB0AUnJpG1eIOgpIJz7jQceS8oJeGDoz2atA2RACQh/EpH28tdx9EiZnOlphIvcLQudb3OBL6V&#10;jnbbfdYqQQo2jbVrvV0Ok3gAgccY6XPK+wOuXu46OHAZFtpvrA4A4e1SzgEHtyRwIlJwgTTq2kXt&#10;R0EndR0MMOYhBOqC7gEDt9cWUOIjbdpn8vdjoJO6EgPWLE3KD7sNi277yBWe3yZGieO5LtmJjl3m&#10;CYJQSSehKG8MxttGw/4v3gFknElsWPWR615I9GI3wwRSkciNNluKAyYMNb+9EYOgyBIL373CTPRi&#10;N8ME8pLYw2kiyAETtxwTxPWk5xIPtQAdxd1rKDbkboYKBoMk9L4ZnANQwTWJQE/9vhrqSFCd0HiP&#10;gVisywIwRwfOxFHuggJ6zF0joq1VMatyqF1YLiTnjRHZm/QQjAwbXseT9IBtwEas711Fc3q5K82U&#10;Nj7r0NYlgg9kt91duL0hDHEoh6Mwe+Hb2wSHLFpCvtXpqpZQLsLkc5V0Q9nSMVXSEc/DvhCntLdO&#10;jcs8aOESFa5grRHbi8qhcumo6jsJ912OMl/3qh35Xu5aPpN6ck39BYqkdrfkhwzxLckQ+zBMVPp9&#10;PL+X4a2lrgMCH6StI3WUes6uI2z3yhklYsgHvunyCh+vIVxhC3QVRiO2jQJD1PPodJWb9xk2w7Ak&#10;wqsDW68l6GqepoZ9s5jH5JS/2Mkpb+JHMEl28SNwRae1h5TySyt0YGjMizZmj7J9K0i/yrN5bvII&#10;/ZtQ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ggAAFtDb250ZW50X1R5cGVzXS54bWxQSwECFAAKAAAAAACHTuJAAAAAAAAAAAAAAAAABgAA&#10;AAAAAAAAABAAAACYBwAAX3JlbHMvUEsBAhQAFAAAAAgAh07iQIoUZjzRAAAAlAEAAAsAAAAAAAAA&#10;AQAgAAAAvAcAAF9yZWxzLy5yZWxzUEsBAhQACgAAAAAAh07iQAAAAAAAAAAAAAAAAAQAAAAAAAAA&#10;AAAQAAAAAAAAAGRycy9QSwECFAAUAAAACACHTuJAg/YT2dcAAAAFAQAADwAAAAAAAAABACAAAAAi&#10;AAAAZHJzL2Rvd25yZXYueG1sUEsBAhQAFAAAAAgAh07iQKT/Z/xGBgAAUTUAAA4AAAAAAAAAAQAg&#10;AAAAJgEAAGRycy9lMm9Eb2MueG1sUEsFBgAAAAAGAAYAWQEAAN4JAAAAAA==&#10;">
                        <v:fill on="f" focussize="0,0"/>
                        <v:stroke on="f"/>
                        <v:imagedata o:title=""/>
                        <o:lock v:ext="edit" aspectratio="f"/>
                      </v:shape>
                      <v:rect id="矩形 64" o:spid="_x0000_s1026" o:spt="1" style="position:absolute;left:2717576;top:923290;height:304800;width:756285;" filled="f" stroked="t" coordsize="21600,21600" o:gfxdata="UEsDBAoAAAAAAIdO4kAAAAAAAAAAAAAAAAAEAAAAZHJzL1BLAwQUAAAACACHTuJAH4SAqtQAAAAF&#10;AQAADwAAAGRycy9kb3ducmV2LnhtbE2PwU7DMBBE70j8g7VI3KgdoBRCnKogeq3UglS4ufFiR43X&#10;Uew25e9ZuMBlpNGsZt5W81PoxBGH1EbSUEwUCKQm2pachrfX5dU9iJQNWdNFQg1fmGBen59VprRx&#10;pDUeN9kJLqFUGg0+576UMjUeg0mT2CNx9hmHYDLbwUk7mJHLQyevlbqTwbTEC970+Oyx2W8OQcNL&#10;/7FaTF2Si2327/v4NC79yml9eVGoRxAZT/nvGH7wGR1qZtrFA9kkOg38SP5VzmbTB7Y7DTfFrQJZ&#10;V/I/ff0NUEsDBBQAAAAIAIdO4kDiBm2gTQIAAHMEAAAOAAAAZHJzL2Uyb0RvYy54bWytVM1u1DAQ&#10;viPxDpbvNNl0f6Nmq6pVEVKBSoUH8DrOxsLxmLF3s+VlkLjxEDwO4jUYO2lZyqUHcojszPib7/tm&#10;nLPzQ2fYXqHXYCs+Ock5U1ZCre224h8/XL9acuaDsLUwYFXF75Xn5+uXL856V6oCWjC1QkYg1pe9&#10;q3gbgiuzzMtWdcKfgFOWgg1gJwJtcZvVKHpC70xW5Pk86wFrhyCV9/T1agjyERGfAwhNo6W6Arnr&#10;lA0DKiojAknyrXaerxPbplEyvG8arwIzFSelIb2pCK038Z2tz0S5ReFaLUcK4jkUnmjqhLZU9BHq&#10;SgTBdqj/geq0RPDQhBMJXTYISY6Qikn+xJu7VjiVtJDV3j2a7v8frHy3v0Wm64oXk+l0vlrkK+q/&#10;FR11/tfX7z9/fGPzaXSpd76k5Dt3i1GndzcgP3lm4bIVdqsuEKFvlaiJ2yTmZ38diBtPR9mmfws1&#10;YYtdgGTYocEuApIV7EAsFpPFbDHn7L7iq+K0WI0tUofAJMUXs3mxnHEmKX6aT5d5imeifMBx6MNr&#10;BR2Li4ojTUCqI/Y3PkReonxIiWUtXGtj0hQYy3oqOitm6YAHo+sYTHJxu7k0yPYizlF6kkgy4jit&#10;04HuhtFdxYkZPWOSsRFEpXkcaTw4MjgbDpvDaPIG6nsyCmGYVbqptGgBv3DW05xW3H/eCVScmTeW&#10;zF5R2+Jgp810tihog8eRzXFEWElQFQ+cDcvLMFyGnUO9banSJIm3cEENanRyLFIdWI1tpVlMRo73&#10;Jg778T5l/flXr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4SAqtQAAAAFAQAADwAAAAAAAAAB&#10;ACAAAAAiAAAAZHJzL2Rvd25yZXYueG1sUEsBAhQAFAAAAAgAh07iQOIGbaBNAgAAcwQAAA4AAAAA&#10;AAAAAQAgAAAAIwEAAGRycy9lMm9Eb2MueG1sUEsFBgAAAAAGAAYAWQEAAOIFAAAAAA==&#10;">
                        <v:fill on="f" focussize="0,0"/>
                        <v:stroke color="#000000" miterlimit="8" joinstyle="miter"/>
                        <v:imagedata o:title=""/>
                        <o:lock v:ext="edit" aspectratio="f"/>
                        <v:textbox>
                          <w:txbxContent>
                            <w:p>
                              <w:pPr>
                                <w:jc w:val="center"/>
                              </w:pPr>
                              <w:r>
                                <w:rPr>
                                  <w:rFonts w:hint="eastAsia"/>
                                </w:rPr>
                                <w:t>底漆流平</w:t>
                              </w:r>
                            </w:p>
                            <w:p>
                              <w:pPr>
                                <w:jc w:val="center"/>
                              </w:pPr>
                            </w:p>
                          </w:txbxContent>
                        </v:textbox>
                      </v:rect>
                      <v:rect id="矩形 69" o:spid="_x0000_s1026" o:spt="1" style="position:absolute;left:377762;top:923290;height:304800;width:766284;" filled="f" stroked="t" coordsize="21600,21600" o:gfxdata="UEsDBAoAAAAAAIdO4kAAAAAAAAAAAAAAAAAEAAAAZHJzL1BLAwQUAAAACACHTuJAH4SAqtQAAAAF&#10;AQAADwAAAGRycy9kb3ducmV2LnhtbE2PwU7DMBBE70j8g7VI3KgdoBRCnKogeq3UglS4ufFiR43X&#10;Uew25e9ZuMBlpNGsZt5W81PoxBGH1EbSUEwUCKQm2pachrfX5dU9iJQNWdNFQg1fmGBen59VprRx&#10;pDUeN9kJLqFUGg0+576UMjUeg0mT2CNx9hmHYDLbwUk7mJHLQyevlbqTwbTEC970+Oyx2W8OQcNL&#10;/7FaTF2Si2327/v4NC79yml9eVGoRxAZT/nvGH7wGR1qZtrFA9kkOg38SP5VzmbTB7Y7DTfFrQJZ&#10;V/I/ff0NUEsDBBQAAAAIAIdO4kDr2s4UTAIAAHEEAAAOAAAAZHJzL2Uyb0RvYy54bWytVM1u1DAQ&#10;viPxDpbvNNl0uz9Rs1XVqgipQKXCA3gdZ2PheMzYu9nyMkjceAgeB/EajJ1sWcqlB3KIPJnxN9/3&#10;eZzzi31n2E6h12ArPjnJOVNWQq3tpuIfP9y8WnDmg7C1MGBVxR+U5xerly/Oe1eqAlowtUJGINaX&#10;vat4G4Irs8zLVnXCn4BTlpINYCcChbjJahQ9oXcmK/J8lvWAtUOQynv6ej0k+YiIzwGEptFSXYPc&#10;dsqGARWVEYEk+VY7z1eJbdMoGd43jVeBmYqT0pDe1ITW6/jOVuei3KBwrZYjBfEcCk80dUJbavoI&#10;dS2CYFvU/0B1WiJ4aMKJhC4bhCRHSMUkf+LNfSucSlrIau8eTff/D1a+290h03XFp/N8uVhOZgVn&#10;VnR08L++fv/54xubLaNJvfMl1d67O4wyvbsF+ckzC1etsBt1iQh9q0RN1CaxPvtrQww8bWXr/i3U&#10;hC22AZJf+wa7CEhOsH3FT+fzeWTwUPFlcVosxwNS+8AkpeezWbGYciYpf5pPF3nKZ6I8wDj04bWC&#10;jsVFxZHOP7URu1sfIi1RHkpiVws32pg0A8aynpqeFWdpgwej65hManGzvjLIdiJOUXqSRvLhuKzT&#10;gW6G0V3FiRk9Y5GxEUSlaRxpHAwZjA379X70eA31A/mEMEwq3VNatIBfOOtpSivuP28FKs7MG0te&#10;LyfTaRzrFEzP5gUFeJxZH2eElQRV8cDZsLwKw1XYOtSbljpNkngLl3Q+jU6ORaoDq/FUaRKTkeOt&#10;iaN+HKeqP3+K1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fhICq1AAAAAUBAAAPAAAAAAAAAAEA&#10;IAAAACIAAABkcnMvZG93bnJldi54bWxQSwECFAAUAAAACACHTuJA69rOFEwCAABxBAAADgAAAAAA&#10;AAABACAAAAAjAQAAZHJzL2Uyb0RvYy54bWxQSwUGAAAAAAYABgBZAQAA4QUAAAAA&#10;">
                        <v:fill on="f" focussize="0,0"/>
                        <v:stroke color="#000000" miterlimit="8" joinstyle="miter"/>
                        <v:imagedata o:title=""/>
                        <o:lock v:ext="edit" aspectratio="f"/>
                        <v:textbox>
                          <w:txbxContent>
                            <w:p>
                              <w:pPr>
                                <w:jc w:val="center"/>
                              </w:pPr>
                              <w:r>
                                <w:rPr>
                                  <w:rFonts w:hint="eastAsia"/>
                                </w:rPr>
                                <w:t>面漆调配</w:t>
                              </w:r>
                            </w:p>
                          </w:txbxContent>
                        </v:textbox>
                      </v:rect>
                      <v:rect id="矩形 70" o:spid="_x0000_s1026" o:spt="1" style="position:absolute;left:1492661;top:916305;height:304800;width:876300;" filled="f" stroked="t" coordsize="21600,21600" o:gfxdata="UEsDBAoAAAAAAIdO4kAAAAAAAAAAAAAAAAAEAAAAZHJzL1BLAwQUAAAACACHTuJAH4SAqtQAAAAF&#10;AQAADwAAAGRycy9kb3ducmV2LnhtbE2PwU7DMBBE70j8g7VI3KgdoBRCnKogeq3UglS4ufFiR43X&#10;Uew25e9ZuMBlpNGsZt5W81PoxBGH1EbSUEwUCKQm2pachrfX5dU9iJQNWdNFQg1fmGBen59VprRx&#10;pDUeN9kJLqFUGg0+576UMjUeg0mT2CNx9hmHYDLbwUk7mJHLQyevlbqTwbTEC970+Oyx2W8OQcNL&#10;/7FaTF2Si2327/v4NC79yml9eVGoRxAZT/nvGH7wGR1qZtrFA9kkOg38SP5VzmbTB7Y7DTfFrQJZ&#10;V/I/ff0NUEsDBBQAAAAIAIdO4kA0CdJoSAIAAHEEAAAOAAAAZHJzL2Uyb0RvYy54bWytVM1u2zAM&#10;vg/YOwi6r47z46ZGnKJI0WFAtxXo9gCKLMfCZFGjlDjdywzYbQ+xxxn2GqPktE27Sw/zwSBN6iP5&#10;8ZMX5/vOsJ1Cr8FWPD8ZcaashFrbTcU/f7p6M+fMB2FrYcCqit8pz8+Xr18teleqMbRgaoWMQKwv&#10;e1fxNgRXZpmXreqEPwGnLAUbwE4EcnGT1Sh6Qu9MNh6NiqwHrB2CVN7T18shyA+I+BJAaBot1SXI&#10;badsGFBRGRFoJN9q5/kydds0SoaPTeNVYKbiNGlIbypC9jq+s+VClBsUrtXy0IJ4SQvPZuqEtlT0&#10;AepSBMG2qP+B6rRE8NCEEwldNgySGKEp8tEzbm5b4VSahaj27oF0//9g5YfdDTJdV3xaTGaTeVFw&#10;ZkVHe//z/efvXz/YaeKod76k1Ft3g3FK765BfvHMwqoVdqMuEKFvlaipszxymj05EB1PR9m6fw81&#10;YYttgETXvsEuAhIRbE9np2fjosg5u6v4WV5MRrNhQWofmKT4/JS+0eokxSej6ZzsWEyU9zgOfXir&#10;oGPRqDjS/lMdsbv2YUi9T4llLVxpY5IGjGU9FZ2NZ+mAB6PrGEzj4ma9Msh2IqooPYe6T9I6Hehm&#10;GN1Ro8dJxkYQldR4aOOekahTX4b9ek9NRHMN9R0RhTAole4pGS3gN856UmnF/detQMWZeWeJ7LN8&#10;Oo2yTs50djomB48j6+OIsJKgKh44G8xVGK7C1qHetFQpT8NbuKAFNTox9tjVYa2kxMT54dZEqR/7&#10;KevxT7H8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EgKrUAAAABQEAAA8AAAAAAAAAAQAgAAAA&#10;IgAAAGRycy9kb3ducmV2LnhtbFBLAQIUABQAAAAIAIdO4kA0CdJoSAIAAHEEAAAOAAAAAAAAAAEA&#10;IAAAACMBAABkcnMvZTJvRG9jLnhtbFBLBQYAAAAABgAGAFkBAADdBQAAAAA=&#10;">
                        <v:fill on="f" focussize="0,0"/>
                        <v:stroke color="#000000" miterlimit="8" joinstyle="miter"/>
                        <v:imagedata o:title=""/>
                        <o:lock v:ext="edit" aspectratio="f"/>
                        <v:textbox>
                          <w:txbxContent>
                            <w:p>
                              <w:pPr>
                                <w:jc w:val="center"/>
                              </w:pPr>
                              <w:r>
                                <w:rPr>
                                  <w:rFonts w:hint="eastAsia"/>
                                </w:rPr>
                                <w:t>底漆烘干</w:t>
                              </w:r>
                            </w:p>
                            <w:p>
                              <w:pPr>
                                <w:jc w:val="center"/>
                              </w:pPr>
                            </w:p>
                          </w:txbxContent>
                        </v:textbox>
                      </v:rect>
                      <v:rect id="矩形 60" o:spid="_x0000_s1026" o:spt="1" style="position:absolute;left:241300;top:231140;height:304800;width:1002401;" filled="f" stroked="t" coordsize="21600,21600" o:gfxdata="UEsDBAoAAAAAAIdO4kAAAAAAAAAAAAAAAAAEAAAAZHJzL1BLAwQUAAAACACHTuJAH4SAqtQAAAAF&#10;AQAADwAAAGRycy9kb3ducmV2LnhtbE2PwU7DMBBE70j8g7VI3KgdoBRCnKogeq3UglS4ufFiR43X&#10;Uew25e9ZuMBlpNGsZt5W81PoxBGH1EbSUEwUCKQm2pachrfX5dU9iJQNWdNFQg1fmGBen59VprRx&#10;pDUeN9kJLqFUGg0+576UMjUeg0mT2CNx9hmHYDLbwUk7mJHLQyevlbqTwbTEC970+Oyx2W8OQcNL&#10;/7FaTF2Si2327/v4NC79yml9eVGoRxAZT/nvGH7wGR1qZtrFA9kkOg38SP5VzmbTB7Y7DTfFrQJZ&#10;V/I/ff0NUEsDBBQAAAAIAIdO4kDc7UcCSwIAAHMEAAAOAAAAZHJzL2Uyb0RvYy54bWytVM1u1DAQ&#10;viPxDpbvNMlu+rNRs1XVqgipQKXCA3gdZ2PheMzYu9nyMkjceAgeB/EajJ203ZZLD+QQzWTG38x8&#10;8zmnZ7vesK1Cr8HWvDjIOVNWQqPtuuafP129OeHMB2EbYcCqmt8pz8+Wr1+dDq5SM+jANAoZgVhf&#10;Da7mXQiuyjIvO9ULfwBOWQq2gL0I5OI6a1AMhN6bbJbnR9kA2DgEqbynr5djkE+I+BJAaFst1SXI&#10;Ta9sGFFRGRFoJN9p5/kyddu2SoaPbetVYKbmNGlIbypC9iq+s+WpqNYoXKfl1IJ4SQvPZuqFtlT0&#10;AepSBME2qP+B6rVE8NCGAwl9Ng6SGKEpivwZN7edcCrNQlR790C6/3+w8sP2Bpluaj7Ly8VxmZf5&#10;gjMretr8n+8/f//6wY4SS4PzFSXfuhuMc3p3DfKLZxYuOmHX6hwRhk6JhnorIqvZkwPR8XSUrYb3&#10;0BC22ARIhO1a7CMgUcF21EVZzHNazh2Z86Iopw2pXWCSwkWez8q84ExSwjwvTyg3FhPVPY5DH94q&#10;6Fk0ao6kgFRHbK99GFPvU2JZC1famKQCY9lQ88Xh7DAd8GB0E4NpXFyvLgyyrYg6Ss9U90larwPd&#10;DaP7mlNn9ExJxkYQlfQ4tXHPSFSqr8JutaMmormC5o6IQhi1SjeVjA7wG2cD6bTm/utGoOLMvLNE&#10;9qIoiSQWklMeHs/Iwf3Iaj8irCSomgfORvMijJdh41CvO6pUpOEtnNOCWp0Ye+xqWitpMXE+3Zso&#10;9n0/ZT3+K5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EgKrUAAAABQEAAA8AAAAAAAAAAQAg&#10;AAAAIgAAAGRycy9kb3ducmV2LnhtbFBLAQIUABQAAAAIAIdO4kDc7UcCSwIAAHMEAAAOAAAAAAAA&#10;AAEAIAAAACMBAABkcnMvZTJvRG9jLnhtbFBLBQYAAAAABgAGAFkBAADgBQAAAAA=&#10;">
                        <v:fill on="f" focussize="0,0"/>
                        <v:stroke color="#000000" miterlimit="8" joinstyle="miter"/>
                        <v:imagedata o:title=""/>
                        <o:lock v:ext="edit" aspectratio="f"/>
                        <v:textbox>
                          <w:txbxContent>
                            <w:p>
                              <w:pPr>
                                <w:jc w:val="center"/>
                              </w:pPr>
                              <w:r>
                                <w:rPr>
                                  <w:rFonts w:hint="eastAsia"/>
                                </w:rPr>
                                <w:t>防热涂料调配</w:t>
                              </w:r>
                            </w:p>
                          </w:txbxContent>
                        </v:textbox>
                      </v:rect>
                      <v:rect id="矩形 62" o:spid="_x0000_s1026" o:spt="1" style="position:absolute;left:3822476;top:923290;height:304800;width:782124;" filled="f" stroked="t" coordsize="21600,21600" o:gfxdata="UEsDBAoAAAAAAIdO4kAAAAAAAAAAAAAAAAAEAAAAZHJzL1BLAwQUAAAACACHTuJAH4SAqtQAAAAF&#10;AQAADwAAAGRycy9kb3ducmV2LnhtbE2PwU7DMBBE70j8g7VI3KgdoBRCnKogeq3UglS4ufFiR43X&#10;Uew25e9ZuMBlpNGsZt5W81PoxBGH1EbSUEwUCKQm2pachrfX5dU9iJQNWdNFQg1fmGBen59VprRx&#10;pDUeN9kJLqFUGg0+576UMjUeg0mT2CNx9hmHYDLbwUk7mJHLQyevlbqTwbTEC970+Oyx2W8OQcNL&#10;/7FaTF2Si2327/v4NC79yml9eVGoRxAZT/nvGH7wGR1qZtrFA9kkOg38SP5VzmbTB7Y7DTfFrQJZ&#10;V/I/ff0NUEsDBBQAAAAIAIdO4kDeIGSzTQIAAHEEAAAOAAAAZHJzL2Uyb0RvYy54bWytVM2O0zAQ&#10;viPxDpbvbH6a/kVNV6uuFiEtsNLCA7iO01g4thm7TZeXQeLGQ/A4iNdg7KRLWS57wAfLkxl/M983&#10;46wuj50iBwFOGl3R7CKlRGhuaql3Ff344ebVghLnma6ZMlpU9EE4erl++WLV21LkpjWqFkAQRLuy&#10;txVtvbdlkjjeio65C2OFRmdjoGMeTdglNbAe0TuV5Gk6S3oDtQXDhXP49Xpw0hERngNomkZycW34&#10;vhPaD6ggFPNIybXSOrqO1TaN4P590zjhiaooMvVxxyR43oY9Wa9YuQNmW8nHEthzSnjCqWNSY9JH&#10;qGvmGdmD/AeqkxyMM42/4KZLBiJREWSRpU+0uW+ZFZELSu3so+ju/8Hyd4c7ILKu6CxdTrNJMadE&#10;sw77/uvr958/vpFZHjTqrSsx9N7eQWDp7K3hnxzRZtMyvRNXAKZvBauxsizEJ39dCIbDq2TbvzU1&#10;YrO9N1GuYwNdAEQhyLGik0WeF/MZJQ8VXeaTfDk2SBw94eifL/IsLyjh6J+kxSKN/oSVJxwLzr8W&#10;piPhUFHA/sc87HDrfKiLlaeQkFabG6lUnAGlSY9Jp/k0XnBGyTo4I13YbTcKyIGFKYorkkQhzsM6&#10;6fFlKNlVFCvDNQYpHUBEnMaxjJMig7L+uD2OIm9N/YBCgRkmFd8pHloDXyjpcUor6j7vGQhK1BuN&#10;Yi+zoghjHY1iOs/RgHPP9tzDNEeoinpKhuPGD09hb0HuWsyURfLaXGGDGhkVC6UOVY1txUmMQo6v&#10;Joz6uR2j/vwp1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4SAqtQAAAAFAQAADwAAAAAAAAAB&#10;ACAAAAAiAAAAZHJzL2Rvd25yZXYueG1sUEsBAhQAFAAAAAgAh07iQN4gZLNNAgAAcQQAAA4AAAAA&#10;AAAAAQAgAAAAIwEAAGRycy9lMm9Eb2MueG1sUEsFBgAAAAAGAAYAWQEAAOIFAAAAAA==&#10;">
                        <v:fill on="f" focussize="0,0"/>
                        <v:stroke color="#000000" miterlimit="8" joinstyle="miter"/>
                        <v:imagedata o:title=""/>
                        <o:lock v:ext="edit" aspectratio="f"/>
                        <v:textbox>
                          <w:txbxContent>
                            <w:p>
                              <w:pPr>
                                <w:jc w:val="center"/>
                              </w:pPr>
                              <w:r>
                                <w:rPr>
                                  <w:rFonts w:hint="eastAsia"/>
                                </w:rPr>
                                <w:t>底漆喷涂</w:t>
                              </w:r>
                            </w:p>
                            <w:p>
                              <w:pPr>
                                <w:jc w:val="center"/>
                              </w:pPr>
                            </w:p>
                          </w:txbxContent>
                        </v:textbox>
                      </v:rect>
                      <v:shape id="_x0000_s1026" o:spid="_x0000_s1026" o:spt="32" type="#_x0000_t32" style="position:absolute;left:4806357;top:379730;height:703580;width:0;" filled="f" stroked="t" coordsize="21600,21600" o:gfxdata="UEsDBAoAAAAAAIdO4kAAAAAAAAAAAAAAAAAEAAAAZHJzL1BLAwQUAAAACACHTuJAoC6ecNQAAAAF&#10;AQAADwAAAGRycy9kb3ducmV2LnhtbE2PwU7DMBBE70j8g7VIXBC1UyjQkE2FkDhwpK3E1Y2XJBCv&#10;o9hpSr+ehUu5jDSa1czbYnXwndrTENvACNnMgCKugmu5RthuXq4fQMVk2dkuMCF8U4RVeX5W2NyF&#10;id9ov061khKOuUVoUupzrWPVkLdxFnpiyT7C4G0SO9TaDXaSct/puTF32tuWZaGxPT03VH2tR49A&#10;cVxk5mnp6+3rcbp6nx8/p36DeHmRmUdQiQ7pdAy/+IIOpTDtwsguqg5BHkl/Ktn9Yil2h3CT3RrQ&#10;ZaH/05c/UEsDBBQAAAAIAIdO4kC1YdR1HwIAAB4EAAAOAAAAZHJzL2Uyb0RvYy54bWytU82O0zAQ&#10;viPxDpbvNGlL+qeme2hZLggqAQ/gOk5iyX/yeJv2JXgBJE7ACTjtnaeB5TEYO2V3WS49kIMz9oy/&#10;mfnm8/LioBXZCw/SmpIOBzklwnBbSdOU9O2byyczSiAwUzFljSjpUQC9WD1+tOzcQoxsa1UlPEEQ&#10;A4vOlbQNwS2yDHgrNIOBdcKgs7Zes4Bb32SVZx2ia5WN8nySddZXzlsuAPB00zvpCdGfA2jrWnKx&#10;sfxKCxN6VC8UC9gStNIBXaVq61rw8KquQQSiSoqdhrRiErR3cc1WS7ZoPHOt5KcS2DklPOhJM2kw&#10;6S3UhgVGrrz8B0pL7i3YOgy41VnfSGIEuxjmD7h53TInUi9INbhb0uH/wfKX+60nskIlzItJPp/O&#10;igklhmmc/M3765/vPt18+/rj4/Wv7x+i/eUzuReH5HUOFoixNlt/2oHb+sjEofY6/rFHcijp01k+&#10;GRdTSo4lHU/n0/GJe3EIhKMfB8LRNc3HxSy5sjsI5yE8F1aTaJQUgmeyacPaGoMDtn6YqGf7FxCw&#10;CLz450LMb+ylVCrNWRnSlXRejApMxlC7NWoGTe2wfzANJUw1+Ch48AkRrJJVvB1xwDe7tfJkz6KU&#10;0hfVg9n+CoupNwzaPi65epG1glXPTEXC0SG3Bt8WjdVoUVGiBGaNViozMKnOicTUymAFcQY969Ha&#10;2eqYhpHOUTapxpPEoy7v79Ptu2e9+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gLp5w1AAAAAUB&#10;AAAPAAAAAAAAAAEAIAAAACIAAABkcnMvZG93bnJldi54bWxQSwECFAAUAAAACACHTuJAtWHUdR8C&#10;AAAeBAAADgAAAAAAAAABACAAAAAjAQAAZHJzL2Uyb0RvYy54bWxQSwUGAAAAAAYABgBZAQAAtAUA&#10;AAAA&#10;">
                        <v:fill on="f" focussize="0,0"/>
                        <v:stroke color="#000000 [3213]" joinstyle="round"/>
                        <v:imagedata o:title=""/>
                        <o:lock v:ext="edit" aspectratio="f"/>
                      </v:shape>
                      <v:rect id="矩形 60" o:spid="_x0000_s1026" o:spt="1" style="position:absolute;left:3739557;top:222250;height:304800;width:742950;" filled="f" stroked="t" coordsize="21600,21600" o:gfxdata="UEsDBAoAAAAAAIdO4kAAAAAAAAAAAAAAAAAEAAAAZHJzL1BLAwQUAAAACACHTuJAH4SAqtQAAAAF&#10;AQAADwAAAGRycy9kb3ducmV2LnhtbE2PwU7DMBBE70j8g7VI3KgdoBRCnKogeq3UglS4ufFiR43X&#10;Uew25e9ZuMBlpNGsZt5W81PoxBGH1EbSUEwUCKQm2pachrfX5dU9iJQNWdNFQg1fmGBen59VprRx&#10;pDUeN9kJLqFUGg0+576UMjUeg0mT2CNx9hmHYDLbwUk7mJHLQyevlbqTwbTEC970+Oyx2W8OQcNL&#10;/7FaTF2Si2327/v4NC79yml9eVGoRxAZT/nvGH7wGR1qZtrFA9kkOg38SP5VzmbTB7Y7DTfFrQJZ&#10;V/I/ff0NUEsDBBQAAAAIAIdO4kD+jDKcSgIAAHIEAAAOAAAAZHJzL2Uyb0RvYy54bWytVM1u1DAQ&#10;viPxDpbvNNl0sz9RvVXVqgipQKXCA3gdZ2Nhe4zt3Wx5GSRuPASPg3gNxt70l0sP+GDNZMbfzHz+&#10;nJPTvdFkJ31QYBmdHJWUSCugVXbD6OdPl28WlITIbcs1WMnorQz0dPX61cngGllBD7qVniCIDc3g&#10;GO1jdE1RBNFLw8MROGkx2IE3PKLrN0Xr+YDoRhdVWc6KAXzrPAgZAn69OATpiOhfAghdp4S8ALE1&#10;0sYDqpeaRxwp9MoFusrddp0U8WPXBRmJZhQnjXnHImiv016sTniz8dz1Sowt8Je08Gwmw5XFovdQ&#10;FzxysvXqHyijhIcAXTwSYIrDIJkRnGJSPuPmpudO5lmQ6uDuSQ//D1Z82F17olpG68VsUZbVbEKJ&#10;5QYv/s/3n79//SCzTNLgQoO5N+7apzGDuwLxJRAL5z23G3nmPQy95C22NkmkFk8OJCfgUbIe3kOL&#10;2HwbIfO177xJgMgE2TN6PD9e1vWckltGK1z1eENyH4nA+HxaLfEbERg/LqfYcC7Gmzsc50N8K8GQ&#10;ZDDqUQC5Dt9dhZj64s1dSipr4VJpnUWgLRkYXdZVnQ8E0KpNwTyu36zPtSc7nmSU11j3SZpREZ+G&#10;VoZR7AzXmKRtApFZjmMbd4wkoYYm7td7bCKZa2hvkSgPB6niQ0WjB/+NkgFlymj4uuVeUqLfWSR7&#10;OZlOk66zM63nFTr+cWT9OMKtQChGIyUH8zwe3sLWebXpsdIkD2/hDC+oU5mxh67Ga0UpZiLHZ5O0&#10;/tjPWQ+/it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4SAqtQAAAAFAQAADwAAAAAAAAABACAA&#10;AAAiAAAAZHJzL2Rvd25yZXYueG1sUEsBAhQAFAAAAAgAh07iQP6MMpxKAgAAcgQAAA4AAAAAAAAA&#10;AQAgAAAAIwEAAGRycy9lMm9Eb2MueG1sUEsFBgAAAAAGAAYAWQEAAN8FAAAAAA==&#10;">
                        <v:fill on="f" focussize="0,0"/>
                        <v:stroke color="#000000" miterlimit="8" joinstyle="miter"/>
                        <v:imagedata o:title=""/>
                        <o:lock v:ext="edit" aspectratio="f"/>
                        <v:textbox>
                          <w:txbxContent>
                            <w:p>
                              <w:pPr>
                                <w:jc w:val="center"/>
                              </w:pPr>
                              <w:r>
                                <w:rPr>
                                  <w:rFonts w:hint="eastAsia"/>
                                </w:rPr>
                                <w:t>底漆调配</w:t>
                              </w:r>
                            </w:p>
                          </w:txbxContent>
                        </v:textbox>
                      </v:rect>
                      <v:rect id="矩形 60" o:spid="_x0000_s1026" o:spt="1" style="position:absolute;left:2655502;top:222250;height:304800;width:771524;" filled="f" stroked="t" coordsize="21600,21600" o:gfxdata="UEsDBAoAAAAAAIdO4kAAAAAAAAAAAAAAAAAEAAAAZHJzL1BLAwQUAAAACACHTuJAH4SAqtQAAAAF&#10;AQAADwAAAGRycy9kb3ducmV2LnhtbE2PwU7DMBBE70j8g7VI3KgdoBRCnKogeq3UglS4ufFiR43X&#10;Uew25e9ZuMBlpNGsZt5W81PoxBGH1EbSUEwUCKQm2pachrfX5dU9iJQNWdNFQg1fmGBen59VprRx&#10;pDUeN9kJLqFUGg0+576UMjUeg0mT2CNx9hmHYDLbwUk7mJHLQyevlbqTwbTEC970+Oyx2W8OQcNL&#10;/7FaTF2Si2327/v4NC79yml9eVGoRxAZT/nvGH7wGR1qZtrFA9kkOg38SP5VzmbTB7Y7DTfFrQJZ&#10;V/I/ff0NUEsDBBQAAAAIAIdO4kCkBFIZTAIAAHMEAAAOAAAAZHJzL2Uyb0RvYy54bWytVM1u1DAQ&#10;viPxDpbvND/ddNuo2apqVYRUoFLhAbyOs7FwPGbs3Wx5GSRufQgeB/EajL1pu5RLD/gQzWScb+b7&#10;/DmnZ9vBsI1Cr8E2vDjIOVNWQqvtquGfP129OebMB2FbYcCqht8pz88Wr1+djq5WJfRgWoWMQKyv&#10;R9fwPgRXZ5mXvRqEPwCnLBU7wEEESnGVtShGQh9MVub5UTYCtg5BKu/p7eWuyCdEfAkgdJ2W6hLk&#10;elA27FBRGRGIku+183yRpu06JcPHrvMqMNNwYhrSk5pQvIzPbHEq6hUK12s5jSBeMsIzToPQlpo+&#10;Ql2KINga9T9Qg5YIHrpwIGHIdkSSIsSiyJ9pc9sLpxIXktq7R9H9/4OVHzY3yHRLTigO87Io52XF&#10;mRUDnfzv7/e/fv5gR0ml0fmaNt+6G4w8vbsG+cUzCxe9sCt1jghjr0RLsxVR1eyvD2Li6VO2HN9D&#10;S9hiHSAJtu1wiIAkBds2vDyqqiovObujmFY1HZHaBiapPp8XVTnjTFL9MJ8d56meifoBx6EPbxUM&#10;LAYNR3JA6iM21z7EuUT9sCW2tXCljUkuMJaNDT+pSIDEEIxuYzEluFpeGGQbEX2UViJJQuxvG3Sg&#10;u2H00HCajNa0ydgIopIfpzEeFIlO9XXYLrc0RAyX0N6RUAg7r9JNpaAH/MbZSD5tuP+6Fqg4M+8s&#10;iX1SzGbR2CmZVfOSEtyvLPcrwkqCanjgbBdehN1lWDvUq546FYm8hXM6oE4nxZ6mmo6VvJiEnO5N&#10;NPt+nnY9/Ss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fhICq1AAAAAUBAAAPAAAAAAAAAAEA&#10;IAAAACIAAABkcnMvZG93bnJldi54bWxQSwECFAAUAAAACACHTuJApARSGUwCAABzBAAADgAAAAAA&#10;AAABACAAAAAjAQAAZHJzL2Uyb0RvYy54bWxQSwUGAAAAAAYABgBZAQAA4QUAAAAA&#10;">
                        <v:fill on="f" focussize="0,0"/>
                        <v:stroke color="#000000" miterlimit="8" joinstyle="miter"/>
                        <v:imagedata o:title=""/>
                        <o:lock v:ext="edit" aspectratio="f"/>
                        <v:textbox>
                          <w:txbxContent>
                            <w:p>
                              <w:pPr>
                                <w:jc w:val="center"/>
                              </w:pPr>
                              <w:r>
                                <w:rPr>
                                  <w:rFonts w:hint="eastAsia"/>
                                </w:rPr>
                                <w:t>涂料烘干</w:t>
                              </w:r>
                            </w:p>
                          </w:txbxContent>
                        </v:textbox>
                      </v:rect>
                      <v:shape id="_x0000_s1026" o:spid="_x0000_s1026" o:spt="32" type="#_x0000_t32" style="position:absolute;left:1243701;top:379730;height:0;width:323850;" filled="f" stroked="t" coordsize="21600,21600" o:gfxdata="UEsDBAoAAAAAAIdO4kAAAAAAAAAAAAAAAAAEAAAAZHJzL1BLAwQUAAAACACHTuJA9Or0vNcAAAAF&#10;AQAADwAAAGRycy9kb3ducmV2LnhtbE2PS0/DMBCE70j8B2uRuFE7PEIb4lSCCpELSLQV4ujGSxwR&#10;r6PYffHrWbjAZaTRrGa+LecH34sdjrELpCGbKBBITbAdtRrWq8eLKYiYDFnTB0INR4wwr05PSlPY&#10;sKdX3C1TK7iEYmE0uJSGQsrYOPQmTsKAxNlHGL1JbMdW2tHsudz38lKpXHrTES84M+CDw+ZzufUa&#10;0uL96PK35n7WvayenvPuq67rhdbnZ5m6A5HwkP6O4Qef0aFipk3Yko2i18CPpF/l7PZmxnaj4Sq7&#10;ViCrUv6nr74BUEsDBBQAAAAIAIdO4kAWOnadEAIAAOYDAAAOAAAAZHJzL2Uyb0RvYy54bWytU81y&#10;0zAQvjPDO2h0J44d0rSeOD0klAsDmQEeQJFlWzP6m5UaJy/BCzDDCTgBp955GiiPwUo2bSmXHvBB&#10;Xmm13+5++2l5ftCK7AV4aU1F88mUEmG4raVpK/r2zcWTU0p8YKZmyhpR0aPw9Hz1+NGyd6UobGdV&#10;LYAgiPFl7yraheDKLPO8E5r5iXXCoLOxoFnALbRZDaxHdK2yYjo9yXoLtQPLhfd4uhmcdESEhwDa&#10;ppFcbCy/1MKEARWEYgFb8p10nq5StU0jeHjVNF4EoiqKnYa0YhK0d3HNVktWtsBcJ/lYAntICfd6&#10;0kwaTHoDtWGBkUuQ/0BpycF624QJtzobGkmMYBf59B43rzvmROoFqfbuhnT//2D5y/0WiKxRCYti&#10;UeT5fH5CiWEaJ3/9/urnu0/X377++Hj16/uHaH/5TO7cQ/J650vEWJstjDvvthCZODSg4x97JAeE&#10;L57OFtOckmNFZ4uzxWzkXhwC4eifFbPTOU6Foz+5slsIBz48F1aTaFTUB2Cy7cLaGoMDtpAn6tn+&#10;hQ9YBAb+CYj5jb2QSqU5K0P6ip7NiznmYajdBjWDpnbYvzctJUy1+Ch4gITorZJ1jI44HtrdWgHZ&#10;syil9EX1YLa/rsXUG+a74V5yDSILTKpnpibh6JDbAJKZVokRQhlEilwO7EVrZ+tjIjWd4/hTrlGq&#10;UV939yn69nmu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06vS81wAAAAUBAAAPAAAAAAAAAAEA&#10;IAAAACIAAABkcnMvZG93bnJldi54bWxQSwECFAAUAAAACACHTuJAFjp2nRACAADmAwAADgAAAAAA&#10;AAABACAAAAAmAQAAZHJzL2Uyb0RvYy54bWxQSwUGAAAAAAYABgBZAQAAqAUAAAAA&#10;">
                        <v:fill on="f" focussize="0,0"/>
                        <v:stroke color="#000000 [3213]" joinstyle="round" endarrow="block"/>
                        <v:imagedata o:title=""/>
                        <o:lock v:ext="edit" aspectratio="f"/>
                      </v:shape>
                      <v:shape id="_x0000_s1026" o:spid="_x0000_s1026" o:spt="32" type="#_x0000_t32" style="position:absolute;left:3423892;top:370840;height:0;width:323850;" filled="f" stroked="t" coordsize="21600,21600" o:gfxdata="UEsDBAoAAAAAAIdO4kAAAAAAAAAAAAAAAAAEAAAAZHJzL1BLAwQUAAAACACHTuJA9Or0vNcAAAAF&#10;AQAADwAAAGRycy9kb3ducmV2LnhtbE2PS0/DMBCE70j8B2uRuFE7PEIb4lSCCpELSLQV4ujGSxwR&#10;r6PYffHrWbjAZaTRrGa+LecH34sdjrELpCGbKBBITbAdtRrWq8eLKYiYDFnTB0INR4wwr05PSlPY&#10;sKdX3C1TK7iEYmE0uJSGQsrYOPQmTsKAxNlHGL1JbMdW2tHsudz38lKpXHrTES84M+CDw+ZzufUa&#10;0uL96PK35n7WvayenvPuq67rhdbnZ5m6A5HwkP6O4Qef0aFipk3Yko2i18CPpF/l7PZmxnaj4Sq7&#10;ViCrUv6nr74BUEsDBBQAAAAIAIdO4kC6vgMYDQIAAOYDAAAOAAAAZHJzL2Uyb0RvYy54bWytU8Fy&#10;0zAQvTPDP2h0J47TBNJMnB4SyoWBzAAfoMiyrRlZ0uyqcfIT/AAznIAT5dQ7XwPlM1jJpi3l0gM+&#10;yCut9u3u26fl2aE1bK8AtbMFz0djzpSVrtS2Lvi7t+dP5pxhELYUxllV8KNCfrZ6/GjZ+YWauMaZ&#10;UgEjEIuLzhe8CcEvsgxlo1qBI+eVJWfloBWBtlBnJYiO0FuTTcbjp1nnoPTgpEKk003v5AMiPATQ&#10;VZWWauPkRats6FFBGRGoJWy0R75K1VaVkuF1VaEKzBScOg1ppSRk7+KarZZiUYPwjZZDCeIhJdzr&#10;qRXaUtIbqI0Igl2A/geq1RIcuiqMpGuzvpHECHWRj+9x86YRXqVeiGr0N6Tj/4OVr/ZbYLokJczz&#10;fDafTnOavxUtTf76w9XP95+vv13++HT16/vHaH/9wu7cI/I6jwvCWNstDDv0W4hMHCpo4596ZIeC&#10;n0wnJ/PTCWdHsp+N59OBe3UITEY/uWc0FUn+5MpuITxgeKFcy6JRcAwgdN2EtbOWBuwgT9SL/UsM&#10;VAQF/gmI+a0718akORvLuoKfziYzyiNIuxVphszWU/9oa86EqelRyAAJEZ3RZYyOOAj1bm2A7UWU&#10;UvqieijbX9di6o3Apr+XXL3IgtDmuS1ZOHriNoAWtjZqgDCWkCKXPXvR2rnymEhN5zT+lGuQatTX&#10;3X2Kvn2e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06vS81wAAAAUBAAAPAAAAAAAAAAEAIAAA&#10;ACIAAABkcnMvZG93bnJldi54bWxQSwECFAAUAAAACACHTuJAur4DGA0CAADmAwAADgAAAAAAAAAB&#10;ACAAAAAmAQAAZHJzL2Uyb0RvYy54bWxQSwUGAAAAAAYABgBZAQAApQUAAAAA&#10;">
                        <v:fill on="f" focussize="0,0"/>
                        <v:stroke color="#000000 [3213]" joinstyle="round" endarrow="block"/>
                        <v:imagedata o:title=""/>
                        <o:lock v:ext="edit" aspectratio="f"/>
                      </v:shape>
                      <v:shape id="_x0000_s1026" o:spid="_x0000_s1026" o:spt="32" type="#_x0000_t32" style="position:absolute;left:4482507;top:370840;height:0;width:323850;" filled="f" stroked="t" coordsize="21600,21600" o:gfxdata="UEsDBAoAAAAAAIdO4kAAAAAAAAAAAAAAAAAEAAAAZHJzL1BLAwQUAAAACACHTuJA9Or0vNcAAAAF&#10;AQAADwAAAGRycy9kb3ducmV2LnhtbE2PS0/DMBCE70j8B2uRuFE7PEIb4lSCCpELSLQV4ujGSxwR&#10;r6PYffHrWbjAZaTRrGa+LecH34sdjrELpCGbKBBITbAdtRrWq8eLKYiYDFnTB0INR4wwr05PSlPY&#10;sKdX3C1TK7iEYmE0uJSGQsrYOPQmTsKAxNlHGL1JbMdW2tHsudz38lKpXHrTES84M+CDw+ZzufUa&#10;0uL96PK35n7WvayenvPuq67rhdbnZ5m6A5HwkP6O4Qef0aFipk3Yko2i18CPpF/l7PZmxnaj4Sq7&#10;ViCrUv6nr74BUEsDBBQAAAAIAIdO4kCLBtCTDQIAAOIDAAAOAAAAZHJzL2Uyb0RvYy54bWytU82O&#10;0zAQviPxDpbvNOl/qZruoWW5IKgEPIDrOIkl/2nsbdqX4AWQOAEnltPeeRpYHoOxE7qwXPZADs7Y&#10;4/lm5pvPq4ujVuQgwEtrCjoc5JQIw20pTV3Qt28unywo8YGZkilrREFPwtOL9eNHq9Ytxcg2VpUC&#10;CIIYv2xdQZsQ3DLLPG+EZn5gnTDorCxoFnALdVYCaxFdq2yU57OstVA6sFx4j6fbzkl7RHgIoK0q&#10;ycXW8istTOhQQSgWsCXfSOfpOlVbVYKHV1XlRSCqoNhpSCsmQXsf12y9YssamGsk70tgDynhXk+a&#10;SYNJz1BbFhi5AvkPlJYcrLdVGHCrs66RxAh2MczvcfO6YU6kXpBq786k+/8Hy18edkBkiUqYz6az&#10;8XxOiWEa5377/ubHu0+3X6+/f7z5+e1DtL98JudbSFzr/BLjN2YH/c67HUQWjhXo+Mf+yLGgk8li&#10;NM0R+VTQ8TxfTHrexTEQjv7xaLyY4kQ4+pMru4Nw4MNzYTWJRkF9ACbrJmysMThcC8NEOzu88AGL&#10;wMDfATG/sZdSqTRjZUhb0KfT0RTzMNRthXpBUzvs3ZuaEqZqfBA8QEL0VskyRkccD/V+o4AcWJRR&#10;+qJyMNtf12LqLfNNdy+5OoEFJtUzU5JwcshsAMlMrUQPoQwiRS479qK1t+UpkZrOcfQpVy/TqK0/&#10;9yn67mm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06vS81wAAAAUBAAAPAAAAAAAAAAEAIAAA&#10;ACIAAABkcnMvZG93bnJldi54bWxQSwECFAAUAAAACACHTuJAiwbQkw0CAADiAwAADgAAAAAAAAAB&#10;ACAAAAAmAQAAZHJzL2Uyb0RvYy54bWxQSwUGAAAAAAYABgBZAQAApQUAAAAA&#10;">
                        <v:fill on="f" focussize="0,0"/>
                        <v:stroke color="#000000 [3213]" joinstyle="round" endarrow="block"/>
                        <v:imagedata o:title=""/>
                        <o:lock v:ext="edit" aspectratio="f"/>
                      </v:shape>
                      <v:shape id="_x0000_s1026" o:spid="_x0000_s1026" o:spt="32" type="#_x0000_t32" style="position:absolute;left:2368961;top:1083310;flip:x;height:2540;width:348615;" filled="f" stroked="t" coordsize="21600,21600" o:gfxdata="UEsDBAoAAAAAAIdO4kAAAAAAAAAAAAAAAAAEAAAAZHJzL1BLAwQUAAAACACHTuJAxHbcwtYAAAAF&#10;AQAADwAAAGRycy9kb3ducmV2LnhtbE2PwU7DMBBE70j8g7VIXFBrp9BSQpwegNITqgjl7sZLEjVe&#10;R7HbJn/PwgUuI41mNfM2Ww2uFSfsQ+NJQzJVIJBKbxuqNOw+1pMliBANWdN6Qg0jBljllxeZSa0/&#10;0zueilgJLqGQGg11jF0qZShrdCZMfYfE2ZfvnYls+0ra3py53LVyptRCOtMQL9Smw6cay0NxdBqe&#10;i+18/XmzG2ZjuXkrXpeHLY0vWl9fJeoRRMQh/h3DDz6jQ85Me38kG0SrgR+Jv8rZ/fyB7V7DbXKn&#10;QOaZ/E+ffwNQSwMEFAAAAAgAh07iQHT1t+cXAgAA8AMAAA4AAABkcnMvZTJvRG9jLnhtbK1TzY7T&#10;MBC+I/EOlu80TbqN2qrpHloWDggqAQ/gOk5iyX/yePvzErwAEifgBJz2ztPA8hiMnVBgueyBHKKx&#10;Z+abmW8+Ly+PWpG98CCtqWg+GlMiDLe1NG1FX7+6ejSjBAIzNVPWiIqeBNDL1cMHy4NbiMJ2VtXC&#10;EwQxsDi4inYhuEWWAe+EZjCyThh0NtZrFvDo26z27IDoWmXFeFxmB+tr5y0XAHi76Z10QPT3AbRN&#10;I7nYWH6thQk9qheKBRwJOumArlK3TSN4eNE0IAJRFcVJQ/pjEbR38Z+tlmzReuY6yYcW2H1auDOT&#10;ZtJg0TPUhgVGrr38B0pL7i3YJoy41Vk/SGIEp8jHd7h52TEn0ixINbgz6fD/YPnz/dYTWaMSinw+&#10;K8uCEsM07v327c33Nx9uv3z+9v7mx9d30f70kZyjkLiDgwXmr83WDydwWx9ZODZek0ZJ9xRxEy84&#10;KTlWtJiUs3mZU3JCx3g2meTDCsQxEI4Bk4tZmU8p4RhQTC+SN+sBI7DzEJ4Iq0k0KgrBM9l2YW2N&#10;wVVb3xdj+2cQsCVM/JUQk429kkqljStDDhWdT4tYiqGKG1QPmtohE2BaSphq8Xnw4FP7YJWsY3bE&#10;Ad/u1sqTPYuiSl/UEVb7KyyW3jDo+rjk6uUWmFSPTU3CySHPwUtmWiUGCGUQKTLbcxmtna1PieJ0&#10;j0JItQbRRqX9eU7Zvx/q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EdtzC1gAAAAUBAAAPAAAA&#10;AAAAAAEAIAAAACIAAABkcnMvZG93bnJldi54bWxQSwECFAAUAAAACACHTuJAdPW35xcCAADwAwAA&#10;DgAAAAAAAAABACAAAAAlAQAAZHJzL2Uyb0RvYy54bWxQSwUGAAAAAAYABgBZAQAArgUAAAAA&#10;">
                        <v:fill on="f" focussize="0,0"/>
                        <v:stroke color="#000000 [3213]" joinstyle="round" endarrow="block"/>
                        <v:imagedata o:title=""/>
                        <o:lock v:ext="edit" aspectratio="f"/>
                      </v:shape>
                      <v:shape id="_x0000_s1026" o:spid="_x0000_s1026" o:spt="32" type="#_x0000_t32" style="position:absolute;left:1144046;top:1083310;flip:x;height:2540;width:348615;" filled="f" stroked="t" coordsize="21600,21600" o:gfxdata="UEsDBAoAAAAAAIdO4kAAAAAAAAAAAAAAAAAEAAAAZHJzL1BLAwQUAAAACACHTuJAxHbcwtYAAAAF&#10;AQAADwAAAGRycy9kb3ducmV2LnhtbE2PwU7DMBBE70j8g7VIXFBrp9BSQpwegNITqgjl7sZLEjVe&#10;R7HbJn/PwgUuI41mNfM2Ww2uFSfsQ+NJQzJVIJBKbxuqNOw+1pMliBANWdN6Qg0jBljllxeZSa0/&#10;0zueilgJLqGQGg11jF0qZShrdCZMfYfE2ZfvnYls+0ra3py53LVyptRCOtMQL9Smw6cay0NxdBqe&#10;i+18/XmzG2ZjuXkrXpeHLY0vWl9fJeoRRMQh/h3DDz6jQ85Me38kG0SrgR+Jv8rZ/fyB7V7DbXKn&#10;QOaZ/E+ffwNQSwMEFAAAAAgAh07iQA9OjyMYAgAA8gMAAA4AAABkcnMvZTJvRG9jLnhtbK1TzY7T&#10;MBC+I/EOlu80aZt2S9V0Dy0LBwSVgAdwHSex5D+NvU37ErwAEifgBJz2ztPA8hiMnbALy2UP5BDN&#10;eGa+mfn8eXV+1IocBHhpTUnHo5wSYbitpGlK+ub1xaMFJT4wUzFljSjpSXh6vn74YNW5pZjY1qpK&#10;AEEQ45edK2kbgltmmeet0MyPrBMGg7UFzQK60GQVsA7RtcomeT7POguVA8uF93i67YN0QIT7ANq6&#10;llxsLb/UwoQeFYRiAVfyrXSertO0dS14eFnXXgSiSoqbhvTHJmjv4z9br9iyAeZayYcR2H1GuLOT&#10;ZtJg0xuoLQuMXIL8B0pLDtbbOoy41Vm/SGIEtxjnd7h51TIn0i5ItXc3pPv/B8tfHHZAZFXS2Twv&#10;zs4m+YwSwzRe/PW7qx9vP15//fL9w9XPb++j/fkTuU1D6jrnl4iwMTsYPO92EHk41qBJraR7hhpL&#10;zOCu5IjOuCjyYk7JCe18MZ2Oh0sQx0A4JkyLxXyMQ3BMmMyKFM16wAjswIenwmoSjZL6AEw2bdhY&#10;Y/CyLfTN2OG5DzgSFv4uiMXGXkil0p0rQ7qSPp5NYiuGOq5RP2hqh1x401DCVIMPhAdI43urZBWr&#10;I46HZr9RQA4syip9UUnY7a+02HrLfNvnpVAvuMCkemIqEk4OiQ4gmWmUGCCUQaTIbM9ltPa2OiWK&#10;0zlKIfUaZBu19qefqm+f6v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HbcwtYAAAAFAQAADwAA&#10;AAAAAAABACAAAAAiAAAAZHJzL2Rvd25yZXYueG1sUEsBAhQAFAAAAAgAh07iQA9OjyMYAgAA8gMA&#10;AA4AAAAAAAAAAQAgAAAAJQEAAGRycy9lMm9Eb2MueG1sUEsFBgAAAAAGAAYAWQEAAK8FAAAAAA==&#10;">
                        <v:fill on="f" focussize="0,0"/>
                        <v:stroke color="#000000 [3213]" joinstyle="round" endarrow="block"/>
                        <v:imagedata o:title=""/>
                        <o:lock v:ext="edit" aspectratio="f"/>
                      </v:shape>
                      <v:shape id="_x0000_s1026" o:spid="_x0000_s1026" o:spt="32" type="#_x0000_t32" style="position:absolute;left:3473861;top:1083310;flip:x;height:2540;width:348615;" filled="f" stroked="t" coordsize="21600,21600" o:gfxdata="UEsDBAoAAAAAAIdO4kAAAAAAAAAAAAAAAAAEAAAAZHJzL1BLAwQUAAAACACHTuJAxHbcwtYAAAAF&#10;AQAADwAAAGRycy9kb3ducmV2LnhtbE2PwU7DMBBE70j8g7VIXFBrp9BSQpwegNITqgjl7sZLEjVe&#10;R7HbJn/PwgUuI41mNfM2Ww2uFSfsQ+NJQzJVIJBKbxuqNOw+1pMliBANWdN6Qg0jBljllxeZSa0/&#10;0zueilgJLqGQGg11jF0qZShrdCZMfYfE2ZfvnYls+0ra3py53LVyptRCOtMQL9Smw6cay0NxdBqe&#10;i+18/XmzG2ZjuXkrXpeHLY0vWl9fJeoRRMQh/h3DDz6jQ85Me38kG0SrgR+Jv8rZ/fyB7V7DbXKn&#10;QOaZ/E+ffwNQSwMEFAAAAAgAh07iQF/u7sEXAgAA8gMAAA4AAABkcnMvZTJvRG9jLnhtbK1TzY7T&#10;MBC+I/EOlu80afpDt2q6h5aFA4JKwAO4jpNY8p883qZ9CV4AiRNwAk5752lgeQzGTtiF5bIHcojG&#10;nplvZr75vDo/akUOwoO0pqTjUU6JMNxW0jQlffP64tGCEgjMVExZI0p6EkDP1w8frDq3FIVtraqE&#10;JwhiYNm5krYhuGWWAW+FZjCyThh01tZrFvDom6zyrEN0rbIiz+dZZ33lvOUCAG+3vZMOiP4+gLau&#10;JRdbyy+1MKFH9UKxgCNBKx3Qdeq2rgUPL+saRCCqpDhpSH8sgvY+/rP1ii0bz1wr+dACu08Ld2bS&#10;TBosegO1ZYGRSy//gdKSewu2DiNuddYPkhjBKcb5HW5etcyJNAtSDe6GdPh/sPzFYeeJrEo6L/Ji&#10;Oj+bFJQYpnHx1++ufrz9eP31y/cPVz+/vY/250/kNgyp6xwsEWFjdn44gdv5yMOx9prUSrpnqLHE&#10;DM5KjiWdTB9PFvMxJSd05IvJZDwsQRwD4SkA3TNKOAYUs2nyZj1gBHYewlNhNYlGSSF4Jps2bKwx&#10;uGzr+2Ls8BwCtoSJvxNisrEXUqm0c2VIV9KzWRFLMdRxjfpBUzvkAkxDCVMNPhAefGofrJJVzI44&#10;4Jv9RnlyYFFW6YtKwmp/hcXSWwZtH5dcveACk+qJqUg4OSQ6eMlMo8QAoQwiRWZ7LqO1t9UpUZzu&#10;UQqp1iDbqLU/zyn79qmu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EdtzC1gAAAAUBAAAPAAAA&#10;AAAAAAEAIAAAACIAAABkcnMvZG93bnJldi54bWxQSwECFAAUAAAACACHTuJAX+7uwRcCAADyAwAA&#10;DgAAAAAAAAABACAAAAAlAQAAZHJzL2Uyb0RvYy54bWxQSwUGAAAAAAYABgBZAQAArgUAAAAA&#10;">
                        <v:fill on="f" focussize="0,0"/>
                        <v:stroke color="#000000 [3213]" joinstyle="round" endarrow="block"/>
                        <v:imagedata o:title=""/>
                        <o:lock v:ext="edit" aspectratio="f"/>
                      </v:shape>
                      <v:shape id="_x0000_s1026" o:spid="_x0000_s1026" o:spt="32" type="#_x0000_t32" style="position:absolute;left:4604600;top:1085850;flip:x;height:0;width:201757;" filled="f" stroked="t" coordsize="21600,21600" o:gfxdata="UEsDBAoAAAAAAIdO4kAAAAAAAAAAAAAAAAAEAAAAZHJzL1BLAwQUAAAACACHTuJAxHbcwtYAAAAF&#10;AQAADwAAAGRycy9kb3ducmV2LnhtbE2PwU7DMBBE70j8g7VIXFBrp9BSQpwegNITqgjl7sZLEjVe&#10;R7HbJn/PwgUuI41mNfM2Ww2uFSfsQ+NJQzJVIJBKbxuqNOw+1pMliBANWdN6Qg0jBljllxeZSa0/&#10;0zueilgJLqGQGg11jF0qZShrdCZMfYfE2ZfvnYls+0ra3py53LVyptRCOtMQL9Smw6cay0NxdBqe&#10;i+18/XmzG2ZjuXkrXpeHLY0vWl9fJeoRRMQh/h3DDz6jQ85Me38kG0SrgR+Jv8rZ/fyB7V7DbXKn&#10;QOaZ/E+ffwNQSwMEFAAAAAgAh07iQD1055gWAgAA8QMAAA4AAABkcnMvZTJvRG9jLnhtbK1TzY7T&#10;MBC+I/EOlu80aZdus1HTPbQsHBBUAh7AdZzEkv/k8TbtS/ACSJyAE3DaO08Dy2MwdsKyLJc9EEXW&#10;2DPzzcznz8vzg1ZkLzxIayo6neSUCMNtLU1b0TevLx4VlEBgpmbKGlHRowB6vnr4YNm7UsxsZ1Ut&#10;PEEQA2XvKtqF4MosA94JzWBinTDobKzXLODWt1ntWY/oWmWzPD/Neutr5y0XAHi6GZx0RPT3AbRN&#10;I7nYWH6phQkDqheKBRwJOumArlK3TSN4eNk0IAJRFcVJQ1qxCNq7uGarJStbz1wn+dgCu08Ld2bS&#10;TBosegO1YYGRSy//gdKSewu2CRNudTYMkhjBKab5HW5edcyJNAtSDe6GdPh/sPzFfuuJrFEJJ8Wi&#10;OJkWZ0iNYRpv/vrd1Y+3H6+/fvn+4ernt/fR/vyJ3IpD8noHJWKszdaPO3BbH5k4NF6TRkn3DLET&#10;NzgtOVT08WmOP1Y5oiMv5sV8vAZxCIRjADKxmC8o4RiQXNmAFlGdh/BUWE2iUVEInsm2C2trDN61&#10;9UMltn8OAfvBxN8JMdnYC6lUunJlSF/Rs/lsjnUYyrhB+aCpHVIBpqWEqRbfBw8+9Q5WyTpmRxzw&#10;7W6tPNmzqKr0RSFhtb/CYukNg26IS65Bb4FJ9cTUJBwd0hy8ZKZVYoRQBpEirQOR0drZ+pj4Teeo&#10;hFRrVG2U2u19yv7zUl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R23MLWAAAABQEAAA8AAAAA&#10;AAAAAQAgAAAAIgAAAGRycy9kb3ducmV2LnhtbFBLAQIUABQAAAAIAIdO4kA9dOeYFgIAAPEDAAAO&#10;AAAAAAAAAAEAIAAAACUBAABkcnMvZTJvRG9jLnhtbFBLBQYAAAAABgAGAFkBAACtBQAAAAA=&#10;">
                        <v:fill on="f" focussize="0,0"/>
                        <v:stroke color="#000000 [3213]" joinstyle="round" endarrow="block"/>
                        <v:imagedata o:title=""/>
                        <o:lock v:ext="edit" aspectratio="f"/>
                      </v:shape>
                      <v:rect id="矩形 60" o:spid="_x0000_s1026" o:spt="1" style="position:absolute;left:1567551;top:222250;height:304800;width:764101;" filled="f" stroked="t" coordsize="21600,21600" o:gfxdata="UEsDBAoAAAAAAIdO4kAAAAAAAAAAAAAAAAAEAAAAZHJzL1BLAwQUAAAACACHTuJAH4SAqtQAAAAF&#10;AQAADwAAAGRycy9kb3ducmV2LnhtbE2PwU7DMBBE70j8g7VI3KgdoBRCnKogeq3UglS4ufFiR43X&#10;Uew25e9ZuMBlpNGsZt5W81PoxBGH1EbSUEwUCKQm2pachrfX5dU9iJQNWdNFQg1fmGBen59VprRx&#10;pDUeN9kJLqFUGg0+576UMjUeg0mT2CNx9hmHYDLbwUk7mJHLQyevlbqTwbTEC970+Oyx2W8OQcNL&#10;/7FaTF2Si2327/v4NC79yml9eVGoRxAZT/nvGH7wGR1qZtrFA9kkOg38SP5VzmbTB7Y7DTfFrQJZ&#10;V/I/ff0NUEsDBBQAAAAIAIdO4kBVo4ZhTAIAAHIEAAAOAAAAZHJzL2Uyb0RvYy54bWytVEFu2zAQ&#10;vBfoHwjeG0m2ZCeC5SBwkKJA2gZI+wCaoiyiJJclacvpZwr0lkf0OUW/0SWtJG56yaE8CFzvcnZn&#10;OPTifK8V2QnnJZiGFic5JcJwaKXZNPTzp6s3p5T4wEzLFBjR0Dvh6fny9avFYGsxgR5UKxxBEOPr&#10;wTa0D8HWWeZ5LzTzJ2CFwWQHTrOAodtkrWMDomuVTfJ8lg3gWuuAC+/x18tDko6I7iWA0HWSi0vg&#10;Wy1MOKA6oVhASr6X1tNlmrbrBA8fu86LQFRDkWlIX2yC+3X8ZssFqzeO2V7ycQT2khGecdJMGmz6&#10;CHXJAiNbJ/+B0pI78NCFEw46OxBJiiCLIn+mzW3PrEhcUGpvH0X3/w+Wf9jdOCLbhk6qaTmdn5ZT&#10;SgzTePG/v9//+vmDzJJIg/U11t7aGxdpensN/IsnBlY9Mxtx4RwMvWAtjlZEUbO/DsTA41GyHt5D&#10;i9hsGyDpte+cjoCoBNnj2Wo2r6qCkjscCFc13pDYB8IxP5+VRY5pjvlpXp7mKZ+x+gHHOh/eCtAk&#10;bhrq0ACpD9td+xDnYvVDSWxr4EoqlUygDBkaelZNqnTAg5JtTCa6brNeKUd2LNoorUQShTgu0zLg&#10;01BSNxQnwzUWKRNBRLLjOMaDItGovg779R6HiNs1tHcolIODVfGh4qYH942SAW3aUP91y5ygRL0z&#10;KPZZUZbR1ykoq/kEA3ecWR9nmOEI1dBAyWG7Coe3sLVObnrsVCTyBi7wgjqZFHuaarxWtGIScnw2&#10;0evHcap6+qtY/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fhICq1AAAAAUBAAAPAAAAAAAAAAEA&#10;IAAAACIAAABkcnMvZG93bnJldi54bWxQSwECFAAUAAAACACHTuJAVaOGYUwCAAByBAAADgAAAAAA&#10;AAABACAAAAAjAQAAZHJzL2Uyb0RvYy54bWxQSwUGAAAAAAYABgBZAQAA4QUAAAAA&#10;">
                        <v:fill on="f" focussize="0,0"/>
                        <v:stroke color="#000000" miterlimit="8" joinstyle="miter"/>
                        <v:imagedata o:title=""/>
                        <o:lock v:ext="edit" aspectratio="f"/>
                        <v:textbox>
                          <w:txbxContent>
                            <w:p>
                              <w:pPr>
                                <w:jc w:val="center"/>
                              </w:pPr>
                              <w:r>
                                <w:rPr>
                                  <w:rFonts w:hint="eastAsia"/>
                                </w:rPr>
                                <w:t>涂料喷涂</w:t>
                              </w:r>
                            </w:p>
                          </w:txbxContent>
                        </v:textbox>
                      </v:rect>
                      <v:shape id="_x0000_s1026" o:spid="_x0000_s1026" o:spt="32" type="#_x0000_t32" style="position:absolute;left:2331652;top:370840;height:0;width:323850;" filled="f" stroked="t" coordsize="21600,21600" o:gfxdata="UEsDBAoAAAAAAIdO4kAAAAAAAAAAAAAAAAAEAAAAZHJzL1BLAwQUAAAACACHTuJA9Or0vNcAAAAF&#10;AQAADwAAAGRycy9kb3ducmV2LnhtbE2PS0/DMBCE70j8B2uRuFE7PEIb4lSCCpELSLQV4ujGSxwR&#10;r6PYffHrWbjAZaTRrGa+LecH34sdjrELpCGbKBBITbAdtRrWq8eLKYiYDFnTB0INR4wwr05PSlPY&#10;sKdX3C1TK7iEYmE0uJSGQsrYOPQmTsKAxNlHGL1JbMdW2tHsudz38lKpXHrTES84M+CDw+ZzufUa&#10;0uL96PK35n7WvayenvPuq67rhdbnZ5m6A5HwkP6O4Qef0aFipk3Yko2i18CPpF/l7PZmxnaj4Sq7&#10;ViCrUv6nr74BUEsDBBQAAAAIAIdO4kCWBhziEQIAAOYDAAAOAAAAZHJzL2Uyb0RvYy54bWytU81y&#10;0zAQvjPDO2h0J3acpvmZOD0klAsDnQEeQJFlWzP6m5UaJy/BCzDDCThRTr3zNFAeg5Vs2lIuPeCD&#10;vNJqv9399tPq7KAV2Qvw0pqSjkc5JcJwW0nTlPTd2/Nnc0p8YKZiyhpR0qPw9Gz99Mmqc0tR2Naq&#10;SgBBEOOXnStpG4JbZpnnrdDMj6wTBp21Bc0CbqHJKmAdomuVFXl+mnUWKgeWC+/xdNs76YAIjwG0&#10;dS252Fp+qYUJPSoIxQK25FvpPF2nauta8PC6rr0IRJUUOw1pxSRo7+KarVds2QBzreRDCewxJTzo&#10;STNpMOkt1JYFRi5B/gOlJQfrbR1G3OqsbyQxgl2M8wfcvGmZE6kXpNq7W9L9/4Plr/YXQGSFShjP&#10;pvnJYjGfUWKYxsnffLj++f7zzberH5+uf33/GO2vX8i9e0he5/wSMTbmAoaddxcQmTjUoOMfeySH&#10;khaTyfh0WlByLOlkls9PBu7FIRCO/kkxmU9xKhz9yZXdQTjw4YWwmkSjpD4Ak00bNtYYHLCFcaKe&#10;7V/6gEVg4J+AmN/Yc6lUmrMypCvpYlpMMQ9D7daoGTS1w/69aShhqsFHwQMkRG+VrGJ0xPHQ7DYK&#10;yJ5FKaUvqgez/XUtpt4y3/b3kqsXWWBSPTcVCUeH3AaQzDRKDBDKIFLksmcvWjtbHROp6RzHn3IN&#10;Uo36ur9P0XfPc/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Or0vNcAAAAFAQAADwAAAAAAAAAB&#10;ACAAAAAiAAAAZHJzL2Rvd25yZXYueG1sUEsBAhQAFAAAAAgAh07iQJYGHOIRAgAA5gMAAA4AAAAA&#10;AAAAAQAgAAAAJgEAAGRycy9lMm9Eb2MueG1sUEsFBgAAAAAGAAYAWQEAAKkFAAAAAA==&#10;">
                        <v:fill on="f" focussize="0,0"/>
                        <v:stroke color="#000000 [3213]" joinstyle="round" endarrow="block"/>
                        <v:imagedata o:title=""/>
                        <o:lock v:ext="edit" aspectratio="f"/>
                      </v:shape>
                      <v:rect id="矩形 69" o:spid="_x0000_s1026" o:spt="1" style="position:absolute;left:1520762;top:1494790;height:304800;width:766284;" filled="f" stroked="t" coordsize="21600,21600" o:gfxdata="UEsDBAoAAAAAAIdO4kAAAAAAAAAAAAAAAAAEAAAAZHJzL1BLAwQUAAAACACHTuJAH4SAqtQAAAAF&#10;AQAADwAAAGRycy9kb3ducmV2LnhtbE2PwU7DMBBE70j8g7VI3KgdoBRCnKogeq3UglS4ufFiR43X&#10;Uew25e9ZuMBlpNGsZt5W81PoxBGH1EbSUEwUCKQm2pachrfX5dU9iJQNWdNFQg1fmGBen59VprRx&#10;pDUeN9kJLqFUGg0+576UMjUeg0mT2CNx9hmHYDLbwUk7mJHLQyevlbqTwbTEC970+Oyx2W8OQcNL&#10;/7FaTF2Si2327/v4NC79yml9eVGoRxAZT/nvGH7wGR1qZtrFA9kkOg38SP5VzmbTB7Y7DTfFrQJZ&#10;V/I/ff0NUEsDBBQAAAAIAIdO4kD4LvgRSgIAAHQEAAAOAAAAZHJzL2Uyb0RvYy54bWytVM1u1DAQ&#10;viPxDpbvNNk0+xc1W1VbFSEVqFR4AK/jbCz8x9i72fIySNx4CB4H8RqMnbTdlksP5GDNeMbffPN5&#10;nLPzg1ZkL8BLa2o6OckpEYbbRpptTT9/unqzoMQHZhqmrBE1vROenq9evzrrXSUK21nVCCAIYnzV&#10;u5p2IbgqyzzvhGb+xDphMNha0CygC9usAdYjulZZkeezrLfQOLBceI+7l0OQjojwEkDbtpKLS8t3&#10;WpgwoIJQLGBLvpPO01Vi27aCh49t60UgqqbYaUgrFkF7E9dsdcaqLTDXST5SYC+h8KwnzaTBog9Q&#10;lywwsgP5D5SWHKy3bTjhVmdDI0kR7GKSP9PmtmNOpF5Qau8eRPf/D5Z/2N8AkQ1OQl5MkcNpjtIY&#10;pvHm/3z/+fvXDzJbRpV65ytMvnU3EPv07tryL54Yu+6Y2YoLANt3gjXIbRLzsycHouPxKNn0722D&#10;2GwXbBLs0IKOgCgFOeBZ5DCfFZTcoV0uy/lyvCNxCIRjwnw2KxYlJRwTTvNygXRjNVbdAznw4a2w&#10;mkSjpoAjkAqx/bUPQ+p9Sqxr7JVUCvdZpQzpa7qcFtN0wFslmxhM/cJ2s1ZA9iwOUvrGuk/StAz4&#10;OJTUNUVm+I1JykQQkQZypHEvySBtOGwOSCJubmxzh0qBHYYVnyoanYVvlPQ4qDX1X3cMBCXqnUG1&#10;l5OyjJOdnHI6L9CB48jmOMIMR6iaBkoGcx2G17BzILcdVpqk5o29wBtqZVLskdV4rziMSfPx4cRp&#10;P/ZT1uPPYvU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4SAqtQAAAAFAQAADwAAAAAAAAABACAA&#10;AAAiAAAAZHJzL2Rvd25yZXYueG1sUEsBAhQAFAAAAAgAh07iQPgu+BFKAgAAdAQAAA4AAAAAAAAA&#10;AQAgAAAAIwEAAGRycy9lMm9Eb2MueG1sUEsFBgAAAAAGAAYAWQEAAN8FAAAAAA==&#10;">
                        <v:fill on="f" focussize="0,0"/>
                        <v:stroke color="#000000" miterlimit="8" joinstyle="miter"/>
                        <v:imagedata o:title=""/>
                        <o:lock v:ext="edit" aspectratio="f"/>
                        <v:textbox>
                          <w:txbxContent>
                            <w:p>
                              <w:pPr>
                                <w:jc w:val="center"/>
                              </w:pPr>
                              <w:r>
                                <w:rPr>
                                  <w:rFonts w:hint="eastAsia"/>
                                </w:rPr>
                                <w:t>面漆喷涂</w:t>
                              </w:r>
                            </w:p>
                          </w:txbxContent>
                        </v:textbox>
                      </v:rect>
                      <v:rect id="矩形 70" o:spid="_x0000_s1026" o:spt="1" style="position:absolute;left:2636452;top:1494790;height:304800;width:876300;" filled="f" stroked="t" coordsize="21600,21600" o:gfxdata="UEsDBAoAAAAAAIdO4kAAAAAAAAAAAAAAAAAEAAAAZHJzL1BLAwQUAAAACACHTuJAH4SAqtQAAAAF&#10;AQAADwAAAGRycy9kb3ducmV2LnhtbE2PwU7DMBBE70j8g7VI3KgdoBRCnKogeq3UglS4ufFiR43X&#10;Uew25e9ZuMBlpNGsZt5W81PoxBGH1EbSUEwUCKQm2pachrfX5dU9iJQNWdNFQg1fmGBen59VprRx&#10;pDUeN9kJLqFUGg0+576UMjUeg0mT2CNx9hmHYDLbwUk7mJHLQyevlbqTwbTEC970+Oyx2W8OQcNL&#10;/7FaTF2Si2327/v4NC79yml9eVGoRxAZT/nvGH7wGR1qZtrFA9kkOg38SP5VzmbTB7Y7DTfFrQJZ&#10;V/I/ff0NUEsDBBQAAAAIAIdO4kDHuMRGSwIAAHQEAAAOAAAAZHJzL2Uyb0RvYy54bWytVEtu2zAQ&#10;3RfoHQjuG9mK/BMiB4GNFAXSNkDaA9AUZRElOSxJW04vU6C7HqLHKXqNDik5cdJNFtVCmNEM38y8&#10;edTF5UErshfOSzAVHZ+NKBGGQy3NtqKfP12/mVPiAzM1U2BERe+Fp5fL168uOluKHFpQtXAEQYwv&#10;O1vRNgRbZpnnrdDMn4EVBoMNOM0Cum6b1Y51iK5Vlo9G06wDV1sHXHiPX9d9kA6I7iWA0DSSizXw&#10;nRYm9KhOKBZwJN9K6+kydds0goePTeNFIKqiOGlIbyyC9ia+s+UFK7eO2VbyoQX2khaezaSZNFj0&#10;AWrNAiM7J/+B0pI78NCEMw466wdJjOAU49Ezbu5aZkWaBan29oF0//9g+Yf9rSOyRiXM5/liMsnz&#10;GSWGadz8n+8/f//6QWaJpc76EpPv7K2Lc3p7A/yLJwZWLTNbceUcdK1gNfY2jqxmTw5Ex+NRsune&#10;Q43YbBcgEXZonI6ASAU5VDSfnk+LSU7JPeIUi2K2GHYkDoFwTJjPpucj3B7HhPNRMUc7VmPlEcg6&#10;H94K0CQaFXUogVSI7W986FOPKbGugWupVJKBMqSr6GKST9IBD0rWMZjmddvNSjmyZ1FI6RnqPknT&#10;MuDlUFJjo6dJykQQkQQ5tHGkJErVl+GwOWAT0dxAfY9MOejFilcVjRbcN0o6FGpF/dcdc4IS9c4g&#10;24txUURlJ6eYzHJ03GlkcxphhiNURQMlvbkK/W3YWSe3LVYap+ENXOGGGpkYe+xq2CuKMXE+XJyo&#10;9lM/ZT3+LJ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EgKrUAAAABQEAAA8AAAAAAAAAAQAg&#10;AAAAIgAAAGRycy9kb3ducmV2LnhtbFBLAQIUABQAAAAIAIdO4kDHuMRGSwIAAHQEAAAOAAAAAAAA&#10;AAEAIAAAACMBAABkcnMvZTJvRG9jLnhtbFBLBQYAAAAABgAGAFkBAADgBQAAAAA=&#10;">
                        <v:fill on="f" focussize="0,0"/>
                        <v:stroke color="#000000" miterlimit="8" joinstyle="miter"/>
                        <v:imagedata o:title=""/>
                        <o:lock v:ext="edit" aspectratio="f"/>
                        <v:textbox>
                          <w:txbxContent>
                            <w:p>
                              <w:pPr>
                                <w:jc w:val="center"/>
                              </w:pPr>
                              <w:r>
                                <w:rPr>
                                  <w:rFonts w:hint="eastAsia"/>
                                </w:rPr>
                                <w:t>面漆烘干</w:t>
                              </w:r>
                            </w:p>
                          </w:txbxContent>
                        </v:textbox>
                      </v:rect>
                      <v:shape id="_x0000_s1026" o:spid="_x0000_s1026" o:spt="32" type="#_x0000_t32" style="position:absolute;left:2287046;top:1649730;height:0;width:323850;" filled="f" stroked="t" coordsize="21600,21600" o:gfxdata="UEsDBAoAAAAAAIdO4kAAAAAAAAAAAAAAAAAEAAAAZHJzL1BLAwQUAAAACACHTuJA9Or0vNcAAAAF&#10;AQAADwAAAGRycy9kb3ducmV2LnhtbE2PS0/DMBCE70j8B2uRuFE7PEIb4lSCCpELSLQV4ujGSxwR&#10;r6PYffHrWbjAZaTRrGa+LecH34sdjrELpCGbKBBITbAdtRrWq8eLKYiYDFnTB0INR4wwr05PSlPY&#10;sKdX3C1TK7iEYmE0uJSGQsrYOPQmTsKAxNlHGL1JbMdW2tHsudz38lKpXHrTES84M+CDw+ZzufUa&#10;0uL96PK35n7WvayenvPuq67rhdbnZ5m6A5HwkP6O4Qef0aFipk3Yko2i18CPpF/l7PZmxnaj4Sq7&#10;ViCrUv6nr74BUEsDBBQAAAAIAIdO4kBRgHztEQIAAOcDAAAOAAAAZHJzL2Uyb0RvYy54bWytU81u&#10;EzEQviPxDpbvZJNNkyZRNj0klAuCSNAHcLzeXUv+09jNJi/BCyBxAk6UU+88DbSPwdi7tKVcemAP&#10;3rE9883MN5+XZwetyF6Al9YUdDQYUiIMt6U0dUEv3p+/mFHiAzMlU9aIgh6Fp2er58+WrVuI3DZW&#10;lQIIghi/aF1BmxDcIss8b4RmfmCdMHhZWdAs4BbqrATWIrpWWT4cTrPWQunAcuE9nm66S9ojwlMA&#10;bVVJLjaWX2phQocKQrGALflGOk9XqdqqEjy8rSovAlEFxU5DWjEJ2ru4ZqslW9TAXCN5XwJ7SgmP&#10;etJMGkx6B7VhgZFLkP9AacnBeluFAbc66xpJjGAXo+Ejbt41zInUC1Lt3R3p/v/B8jf7LRBZohIm&#10;8/EkH+fjKSWGaZz8zcfrXx++3Hy/+vn5+vbHp2h/+0oe+CF5rfMLxFibLfQ777YQmThUoOMfeySH&#10;gub57HR4gthHTDU9mZ+Oe/LFIRCODph5NsGxcHRIV9k9hgMfXgmrSTQK6gMwWTdhbY3BCVsYJe7Z&#10;/rUPWAUG/gmIBRh7LpVKg1aGtAWdT/IJ5mEo3gpFg6Z2SIA3NSVM1fgqeICE6K2SZYyOOB7q3VoB&#10;2bOopfRF+WC2v9xi6g3zTeeXrjqVBSbVS1OScHRIbgDJTK1ED6EMIkUyO/qitbPlMbGaznH+KVev&#10;1Siwh/sUff8+V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Or0vNcAAAAFAQAADwAAAAAAAAAB&#10;ACAAAAAiAAAAZHJzL2Rvd25yZXYueG1sUEsBAhQAFAAAAAgAh07iQFGAfO0RAgAA5wMAAA4AAAAA&#10;AAAAAQAgAAAAJgEAAGRycy9lMm9Eb2MueG1sUEsFBgAAAAAGAAYAWQEAAKkFAAAAAA==&#10;">
                        <v:fill on="f" focussize="0,0"/>
                        <v:stroke color="#000000 [3213]" joinstyle="round" endarrow="block"/>
                        <v:imagedata o:title=""/>
                        <o:lock v:ext="edit" aspectratio="f"/>
                      </v:shape>
                      <v:shape id="_x0000_s1026" o:spid="_x0000_s1026" o:spt="32" type="#_x0000_t32" style="position:absolute;left:901700;top:1228090;height:421640;width:0;" filled="f" stroked="t" coordsize="21600,21600" o:gfxdata="UEsDBAoAAAAAAIdO4kAAAAAAAAAAAAAAAAAEAAAAZHJzL1BLAwQUAAAACACHTuJA9Or0vNcAAAAF&#10;AQAADwAAAGRycy9kb3ducmV2LnhtbE2PS0/DMBCE70j8B2uRuFE7PEIb4lSCCpELSLQV4ujGSxwR&#10;r6PYffHrWbjAZaTRrGa+LecH34sdjrELpCGbKBBITbAdtRrWq8eLKYiYDFnTB0INR4wwr05PSlPY&#10;sKdX3C1TK7iEYmE0uJSGQsrYOPQmTsKAxNlHGL1JbMdW2tHsudz38lKpXHrTES84M+CDw+ZzufUa&#10;0uL96PK35n7WvayenvPuq67rhdbnZ5m6A5HwkP6O4Qef0aFipk3Yko2i18CPpF/l7PZmxnaj4Sq7&#10;ViCrUv6nr74BUEsDBBQAAAAIAIdO4kBu4svDDAIAAOIDAAAOAAAAZHJzL2Uyb0RvYy54bWytU81y&#10;0zAQvjPDO2h0J3ZM2zSeOD0klAsDmQEeQJFlWzP6m5UaJy/BCzDDCThRTr3zNFAeg5VsUiiXHvBB&#10;Xmm13+5++2lxsdeK7AR4aU1Fp5OcEmG4raVpK/r2zeWTc0p8YKZmyhpR0YPw9GL5+NGid6UobGdV&#10;LYAgiPFl7yraheDKLPO8E5r5iXXCoLOxoFnALbRZDaxHdK2yIs/Pst5C7cBy4T2ergcnHRHhIYC2&#10;aSQXa8uvtDBhQAWhWMCWfCedp8tUbdMIHl41jReBqIpipyGtmATtbVyz5YKVLTDXST6WwB5Swr2e&#10;NJMGkx6h1iwwcgXyHygtOVhvmzDhVmdDI4kR7GKa3+PmdcecSL0g1d4dSff/D5a/3G2AyLqi86KY&#10;FbP5U0oM0zj32/c3P959uv16/f3jzc9vH6L95TM53kLieudLjF+ZDYw77zYQWdg3oOMf+yN7hM6n&#10;sxwZP6DeiuI8n4+8i30gHP3o4ug7KaZnJ8mV3UE48OG5sJpEo6I+AJNtF1bWGByuhWmine1e+IBF&#10;YODvgJjf2EupVJqxMqTHSk6LU0zGULcN6gVN7bB3b1pKmGrxQfAACdFbJesYHXE8tNuVArJjUUbp&#10;i8rBbH9di6nXzHfDveQaBBaYVM9MTcLBIbMBJDOtEiOEMogUuRzYi9bW1odEajrH0adco0yjtv7c&#10;p+i7p7n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Tq9LzXAAAABQEAAA8AAAAAAAAAAQAgAAAA&#10;IgAAAGRycy9kb3ducmV2LnhtbFBLAQIUABQAAAAIAIdO4kBu4svDDAIAAOIDAAAOAAAAAAAAAAEA&#10;IAAAACYBAABkcnMvZTJvRG9jLnhtbFBLBQYAAAAABgAGAFkBAACkBQAAAAA=&#10;">
                        <v:fill on="f" focussize="0,0"/>
                        <v:stroke color="#000000 [3213]" joinstyle="round" endarrow="block"/>
                        <v:imagedata o:title=""/>
                        <o:lock v:ext="edit" aspectratio="f"/>
                      </v:shape>
                      <v:shape id="_x0000_s1026" o:spid="_x0000_s1026" o:spt="32" type="#_x0000_t32" style="position:absolute;left:901700;top:1647190;flip:y;height:2540;width:619062;" filled="f" stroked="t" coordsize="21600,21600" o:gfxdata="UEsDBAoAAAAAAIdO4kAAAAAAAAAAAAAAAAAEAAAAZHJzL1BLAwQUAAAACACHTuJAxHbcwtYAAAAF&#10;AQAADwAAAGRycy9kb3ducmV2LnhtbE2PwU7DMBBE70j8g7VIXFBrp9BSQpwegNITqgjl7sZLEjVe&#10;R7HbJn/PwgUuI41mNfM2Ww2uFSfsQ+NJQzJVIJBKbxuqNOw+1pMliBANWdN6Qg0jBljllxeZSa0/&#10;0zueilgJLqGQGg11jF0qZShrdCZMfYfE2ZfvnYls+0ra3py53LVyptRCOtMQL9Smw6cay0NxdBqe&#10;i+18/XmzG2ZjuXkrXpeHLY0vWl9fJeoRRMQh/h3DDz6jQ85Me38kG0SrgR+Jv8rZ/fyB7V7DbXKn&#10;QOaZ/E+ffwNQSwMEFAAAAAgAh07iQAZ//38sAgAAIQQAAA4AAABkcnMvZTJvRG9jLnhtbK1Ty47T&#10;MBTdI/EPlvc0D9pMGzWdRcuwQVCJx951nMSSX7I9TfsT/AASK2A1sJo9XwPDZ3DthOkwbGZBFpHt&#10;e++59xwfL88PUqA9s45rVeFskmLEFNU1V22F3765eDLHyHmiaiK0YhU+MofPV48fLXtTslx3WtTM&#10;IgBRruxNhTvvTZkkjnZMEjfRhikINtpK4mFr26S2pAd0KZI8TYuk17Y2VlPmHJxuhiAeEe1DAHXT&#10;cMo2ml5KpvyAapkgHii5jhuHV3HapmHUv2oaxzwSFQamPv6hCax34Z+slqRsLTEdp+MI5CEj3OMk&#10;CVfQ9BZqQzxBl5b/AyU5tdrpxk+olslAJCoCLLL0njavO2JY5AJSO3Mruvt/sPTlfmsRrys8mxfz&#10;RZ5NC4wUkXDxNx+uf77/fPPt649P17++fwzrqy/olAbS9caVgLBWWxvIM1WvDyqiZWk+A0ZPUxCa&#10;1wcwWpA6+asgbJwZSg+NlagR3LwLqQEMtEFQt0izswByhPNiepYtxjtjB48oxAs4KXKMKCTks2mM&#10;JqQMeAHFWOefMy1RWFTYeUt42/m1Vgq8oe3Qi+xfOB/mOxWEYqUvuBDRIkKhHoaZ5TNoRcD2DdgN&#10;ltKAdE61GBHRwnui3sbpnRa8DtUBx9l2txYW7UlwYfyiGhC5mxZG3BDXDXkxNPjTEy6eqRr5o4F7&#10;8ZYT1Qo2Qgg16jpIGUTd6fq4tX/0BudEZqPLgzXv7mP16WWv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EdtzC1gAAAAUBAAAPAAAAAAAAAAEAIAAAACIAAABkcnMvZG93bnJldi54bWxQSwECFAAU&#10;AAAACACHTuJABn//fywCAAAhBAAADgAAAAAAAAABACAAAAAlAQAAZHJzL2Uyb0RvYy54bWxQSwUG&#10;AAAAAAYABgBZAQAAwwUAAAAA&#10;">
                        <v:fill on="f" focussize="0,0"/>
                        <v:stroke color="#000000 [3213]" joinstyle="round" endarrow="block"/>
                        <v:imagedata o:title=""/>
                        <o:lock v:ext="edit" aspectratio="f"/>
                      </v:shape>
                      <w10:wrap type="none"/>
                      <w10:anchorlock/>
                    </v:group>
                  </w:pict>
                </mc:Fallback>
              </mc:AlternateContent>
            </w:r>
          </w:p>
          <w:p>
            <w:pPr>
              <w:pStyle w:val="84"/>
            </w:pPr>
          </w:p>
          <w:p>
            <w:pPr>
              <w:pStyle w:val="84"/>
              <w:spacing w:line="360" w:lineRule="auto"/>
            </w:pPr>
            <w:r>
              <w:rPr>
                <w:rFonts w:hint="eastAsia"/>
              </w:rPr>
              <w:t>图</w:t>
            </w:r>
            <w:r>
              <w:t>2-4</w:t>
            </w:r>
            <w:r>
              <w:rPr>
                <w:rFonts w:hint="eastAsia"/>
              </w:rPr>
              <w:t xml:space="preserve">  涂装工序工艺流程图</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项目采用彩钢复合板形成的密闭喷漆间3间，面积共计1</w:t>
            </w:r>
            <w:r>
              <w:rPr>
                <w:rFonts w:ascii="Times New Roman" w:hAnsi="Times New Roman" w:eastAsia="宋体"/>
                <w:sz w:val="24"/>
                <w:szCs w:val="24"/>
              </w:rPr>
              <w:t>20</w:t>
            </w:r>
            <w:r>
              <w:rPr>
                <w:rFonts w:hint="eastAsia" w:ascii="Times New Roman" w:hAnsi="Times New Roman" w:eastAsia="宋体"/>
                <w:sz w:val="24"/>
                <w:szCs w:val="24"/>
              </w:rPr>
              <w:t>m</w:t>
            </w:r>
            <w:r>
              <w:rPr>
                <w:rFonts w:ascii="Times New Roman" w:hAnsi="Times New Roman" w:eastAsia="宋体"/>
                <w:sz w:val="24"/>
                <w:szCs w:val="24"/>
                <w:vertAlign w:val="superscript"/>
              </w:rPr>
              <w:t>2</w:t>
            </w:r>
            <w:r>
              <w:rPr>
                <w:rFonts w:hint="eastAsia" w:ascii="Times New Roman" w:hAnsi="Times New Roman" w:eastAsia="宋体"/>
                <w:sz w:val="24"/>
                <w:szCs w:val="24"/>
              </w:rPr>
              <w:t>，喷漆间为下送风上排风，为微负压状态，室内断面风速≥0.3m/s。喷漆前在喷漆间进行人工调漆，每日根据喷漆面积适量取用防热涂料、油漆、水性漆。喷漆采用高压无气喷涂机进行喷漆，增压泵将涂料增至高压，通过很细的喷孔喷出，使涂料形成扇形雾状，从而在金属表面形成致密的涂层。</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涂装工序包括防热涂料喷涂、防热涂料烘干、底漆喷涂、底漆流平、底漆烘干、面漆喷涂、面漆烘干，调漆、喷涂过程均在喷漆间内完成。项目涂装工序为流水线作业，建设单位采用“干式过滤器+吸附</w:t>
            </w:r>
            <w:r>
              <w:rPr>
                <w:rFonts w:ascii="Times New Roman" w:hAnsi="Times New Roman" w:eastAsia="宋体"/>
                <w:sz w:val="24"/>
                <w:szCs w:val="24"/>
              </w:rPr>
              <w:t>脱附催化燃烧废气处理装置</w:t>
            </w:r>
            <w:r>
              <w:rPr>
                <w:rFonts w:hint="eastAsia" w:ascii="Times New Roman" w:hAnsi="Times New Roman" w:eastAsia="宋体"/>
                <w:sz w:val="24"/>
                <w:szCs w:val="24"/>
              </w:rPr>
              <w:t>”处理有机废气，有机废气处理装置运行时长</w:t>
            </w:r>
            <w:r>
              <w:rPr>
                <w:rFonts w:ascii="Times New Roman" w:hAnsi="Times New Roman" w:eastAsia="宋体"/>
                <w:sz w:val="24"/>
                <w:szCs w:val="24"/>
              </w:rPr>
              <w:t>2240</w:t>
            </w:r>
            <w:r>
              <w:rPr>
                <w:rFonts w:hint="eastAsia" w:ascii="Times New Roman" w:hAnsi="Times New Roman" w:eastAsia="宋体"/>
                <w:sz w:val="24"/>
                <w:szCs w:val="24"/>
              </w:rPr>
              <w:t>h/a。处理后废气通过D</w:t>
            </w:r>
            <w:r>
              <w:rPr>
                <w:rFonts w:ascii="Times New Roman" w:hAnsi="Times New Roman" w:eastAsia="宋体"/>
                <w:sz w:val="24"/>
                <w:szCs w:val="24"/>
              </w:rPr>
              <w:t>A002</w:t>
            </w:r>
            <w:r>
              <w:rPr>
                <w:rFonts w:hint="eastAsia" w:ascii="Times New Roman" w:hAnsi="Times New Roman" w:eastAsia="宋体"/>
                <w:sz w:val="24"/>
                <w:szCs w:val="24"/>
              </w:rPr>
              <w:t>排气筒排放。</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6、包装</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使用胶带、牛皮纸将喷漆后的成品发动机结构件、发动机壳体包装。</w:t>
            </w:r>
          </w:p>
          <w:p>
            <w:pPr>
              <w:adjustRightInd w:val="0"/>
              <w:snapToGrid w:val="0"/>
              <w:spacing w:line="360" w:lineRule="auto"/>
              <w:ind w:firstLine="482" w:firstLineChars="200"/>
              <w:rPr>
                <w:rFonts w:ascii="Times New Roman" w:hAnsi="Times New Roman" w:eastAsia="宋体"/>
                <w:b/>
                <w:bCs/>
                <w:kern w:val="0"/>
                <w:sz w:val="24"/>
              </w:rPr>
            </w:pPr>
            <w:r>
              <w:rPr>
                <w:rFonts w:hint="eastAsia" w:ascii="Times New Roman" w:hAnsi="Times New Roman" w:eastAsia="宋体"/>
                <w:b/>
                <w:bCs/>
                <w:kern w:val="0"/>
                <w:sz w:val="24"/>
              </w:rPr>
              <w:t>喷涂工序物料平衡表</w:t>
            </w:r>
            <w:r>
              <w:rPr>
                <w:rFonts w:ascii="Times New Roman" w:hAnsi="Times New Roman" w:eastAsia="宋体"/>
                <w:b/>
                <w:bCs/>
                <w:kern w:val="0"/>
                <w:sz w:val="24"/>
              </w:rPr>
              <w:t>：</w:t>
            </w:r>
          </w:p>
          <w:p>
            <w:pPr>
              <w:pStyle w:val="90"/>
              <w:spacing w:line="240" w:lineRule="auto"/>
              <w:ind w:left="0" w:firstLine="0" w:firstLineChars="0"/>
              <w:rPr>
                <w:rFonts w:ascii="Times New Roman" w:eastAsia="宋体"/>
                <w:b/>
                <w:szCs w:val="24"/>
              </w:rPr>
            </w:pPr>
            <w:r>
              <w:rPr>
                <w:rFonts w:ascii="Times New Roman" w:eastAsia="宋体"/>
                <w:b/>
                <w:szCs w:val="24"/>
              </w:rPr>
              <w:t xml:space="preserve">表2-13  </w:t>
            </w:r>
            <w:r>
              <w:rPr>
                <w:rFonts w:hint="eastAsia" w:ascii="Times New Roman" w:eastAsia="宋体"/>
                <w:b/>
                <w:szCs w:val="24"/>
              </w:rPr>
              <w:t>涂</w:t>
            </w:r>
            <w:r>
              <w:rPr>
                <w:rFonts w:ascii="Times New Roman" w:eastAsia="宋体"/>
                <w:b/>
                <w:szCs w:val="24"/>
              </w:rPr>
              <w:t>料平衡表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586"/>
              <w:gridCol w:w="866"/>
              <w:gridCol w:w="1731"/>
              <w:gridCol w:w="1731"/>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8" w:type="pct"/>
                  <w:gridSpan w:val="3"/>
                  <w:vMerge w:val="restar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输入</w:t>
                  </w:r>
                </w:p>
              </w:tc>
              <w:tc>
                <w:tcPr>
                  <w:tcW w:w="3092" w:type="pct"/>
                  <w:gridSpan w:val="3"/>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8" w:type="pct"/>
                  <w:gridSpan w:val="3"/>
                  <w:vMerge w:val="continue"/>
                  <w:vAlign w:val="center"/>
                </w:tcPr>
                <w:p>
                  <w:pPr>
                    <w:adjustRightInd w:val="0"/>
                    <w:snapToGrid w:val="0"/>
                    <w:spacing w:line="276" w:lineRule="auto"/>
                    <w:jc w:val="center"/>
                    <w:rPr>
                      <w:rFonts w:ascii="Times New Roman" w:hAnsi="Times New Roman" w:eastAsia="宋体"/>
                      <w:b/>
                    </w:rPr>
                  </w:pPr>
                </w:p>
              </w:tc>
              <w:tc>
                <w:tcPr>
                  <w:tcW w:w="1087" w:type="pc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产品</w:t>
                  </w:r>
                </w:p>
              </w:tc>
              <w:tc>
                <w:tcPr>
                  <w:tcW w:w="2005" w:type="pct"/>
                  <w:gridSpan w:val="2"/>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损失（挥发）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4" w:type="pct"/>
                  <w:gridSpan w:val="2"/>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物料名称</w:t>
                  </w:r>
                </w:p>
              </w:tc>
              <w:tc>
                <w:tcPr>
                  <w:tcW w:w="544"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投入量（t/a）</w:t>
                  </w:r>
                </w:p>
              </w:tc>
              <w:tc>
                <w:tcPr>
                  <w:tcW w:w="1087"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附着量（t/a）</w:t>
                  </w:r>
                </w:p>
              </w:tc>
              <w:tc>
                <w:tcPr>
                  <w:tcW w:w="1087"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流失物名称</w:t>
                  </w:r>
                </w:p>
              </w:tc>
              <w:tc>
                <w:tcPr>
                  <w:tcW w:w="918"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流失量（t/a）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4" w:type="pct"/>
                  <w:gridSpan w:val="2"/>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清洗剂</w:t>
                  </w:r>
                </w:p>
              </w:tc>
              <w:tc>
                <w:tcPr>
                  <w:tcW w:w="544"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0</w:t>
                  </w:r>
                  <w:r>
                    <w:rPr>
                      <w:rFonts w:ascii="Times New Roman" w:hAnsi="Times New Roman" w:eastAsia="宋体"/>
                    </w:rPr>
                    <w:t>.2</w:t>
                  </w:r>
                </w:p>
              </w:tc>
              <w:tc>
                <w:tcPr>
                  <w:tcW w:w="1087" w:type="pct"/>
                  <w:vAlign w:val="center"/>
                </w:tcPr>
                <w:p>
                  <w:pPr>
                    <w:adjustRightInd w:val="0"/>
                    <w:snapToGrid w:val="0"/>
                    <w:spacing w:line="276" w:lineRule="auto"/>
                    <w:jc w:val="center"/>
                    <w:rPr>
                      <w:rFonts w:ascii="Times New Roman" w:hAnsi="Times New Roman" w:eastAsia="宋体"/>
                    </w:rPr>
                  </w:pPr>
                  <w:r>
                    <w:rPr>
                      <w:rFonts w:ascii="Times New Roman" w:hAnsi="Times New Roman" w:eastAsia="宋体"/>
                    </w:rPr>
                    <w:t>0</w:t>
                  </w:r>
                </w:p>
              </w:tc>
              <w:tc>
                <w:tcPr>
                  <w:tcW w:w="1087" w:type="pct"/>
                  <w:vMerge w:val="restar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排放的挥发性有机废气</w:t>
                  </w:r>
                </w:p>
              </w:tc>
              <w:tc>
                <w:tcPr>
                  <w:tcW w:w="918" w:type="pct"/>
                  <w:vMerge w:val="restart"/>
                  <w:vAlign w:val="center"/>
                </w:tcPr>
                <w:p>
                  <w:pPr>
                    <w:adjustRightInd w:val="0"/>
                    <w:snapToGrid w:val="0"/>
                    <w:spacing w:line="276" w:lineRule="auto"/>
                    <w:jc w:val="center"/>
                    <w:rPr>
                      <w:rFonts w:ascii="Times New Roman" w:hAnsi="Times New Roman" w:eastAsia="宋体"/>
                    </w:rPr>
                  </w:pPr>
                  <w:r>
                    <w:rPr>
                      <w:rFonts w:ascii="Times New Roman" w:hAnsi="Times New Roman" w:eastAsia="宋体"/>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restar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cs="Times New Roman"/>
                      <w:kern w:val="0"/>
                    </w:rPr>
                    <w:t>防热涂料</w:t>
                  </w:r>
                </w:p>
              </w:tc>
              <w:tc>
                <w:tcPr>
                  <w:tcW w:w="996"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cs="Times New Roman"/>
                      <w:kern w:val="0"/>
                    </w:rPr>
                    <w:t>防热涂料</w:t>
                  </w:r>
                </w:p>
              </w:tc>
              <w:tc>
                <w:tcPr>
                  <w:tcW w:w="544"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.8</w:t>
                  </w:r>
                </w:p>
              </w:tc>
              <w:tc>
                <w:tcPr>
                  <w:tcW w:w="1087" w:type="pct"/>
                  <w:vMerge w:val="restart"/>
                  <w:vAlign w:val="center"/>
                </w:tcPr>
                <w:p>
                  <w:pPr>
                    <w:adjustRightInd w:val="0"/>
                    <w:snapToGrid w:val="0"/>
                    <w:jc w:val="center"/>
                    <w:rPr>
                      <w:rFonts w:ascii="Times New Roman" w:hAnsi="Times New Roman" w:eastAsia="宋体"/>
                    </w:rPr>
                  </w:pPr>
                  <w:r>
                    <w:rPr>
                      <w:rFonts w:ascii="Times New Roman" w:hAnsi="Times New Roman" w:eastAsia="宋体"/>
                    </w:rPr>
                    <w:t>8.225</w:t>
                  </w:r>
                </w:p>
              </w:tc>
              <w:tc>
                <w:tcPr>
                  <w:tcW w:w="1087" w:type="pct"/>
                  <w:vMerge w:val="continue"/>
                  <w:vAlign w:val="center"/>
                </w:tcPr>
                <w:p>
                  <w:pPr>
                    <w:adjustRightInd w:val="0"/>
                    <w:snapToGrid w:val="0"/>
                    <w:spacing w:line="276" w:lineRule="auto"/>
                    <w:jc w:val="center"/>
                    <w:rPr>
                      <w:rFonts w:ascii="Times New Roman" w:hAnsi="Times New Roman" w:eastAsia="宋体"/>
                    </w:rPr>
                  </w:pPr>
                </w:p>
              </w:tc>
              <w:tc>
                <w:tcPr>
                  <w:tcW w:w="918" w:type="pct"/>
                  <w:vMerge w:val="continue"/>
                  <w:vAlign w:val="center"/>
                </w:tcPr>
                <w:p>
                  <w:pPr>
                    <w:adjustRightInd w:val="0"/>
                    <w:snapToGrid w:val="0"/>
                    <w:spacing w:line="276" w:lineRule="auto"/>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vAlign w:val="center"/>
                </w:tcPr>
                <w:p>
                  <w:pPr>
                    <w:adjustRightInd w:val="0"/>
                    <w:snapToGrid w:val="0"/>
                    <w:spacing w:line="276" w:lineRule="auto"/>
                    <w:jc w:val="center"/>
                    <w:rPr>
                      <w:rFonts w:ascii="Times New Roman" w:hAnsi="Times New Roman" w:eastAsia="宋体" w:cs="Times New Roman"/>
                      <w:kern w:val="0"/>
                    </w:rPr>
                  </w:pPr>
                </w:p>
              </w:tc>
              <w:tc>
                <w:tcPr>
                  <w:tcW w:w="996" w:type="pct"/>
                  <w:vAlign w:val="center"/>
                </w:tcPr>
                <w:p>
                  <w:pPr>
                    <w:adjustRightInd w:val="0"/>
                    <w:snapToGrid w:val="0"/>
                    <w:spacing w:line="276" w:lineRule="auto"/>
                    <w:jc w:val="center"/>
                    <w:rPr>
                      <w:rFonts w:ascii="Times New Roman" w:hAnsi="Times New Roman" w:eastAsia="宋体" w:cs="Times New Roman"/>
                      <w:kern w:val="0"/>
                    </w:rPr>
                  </w:pPr>
                  <w:r>
                    <w:rPr>
                      <w:rFonts w:hint="eastAsia" w:ascii="Times New Roman" w:hAnsi="Times New Roman" w:eastAsia="宋体" w:cs="Times New Roman"/>
                      <w:kern w:val="0"/>
                    </w:rPr>
                    <w:t>涂料固化剂</w:t>
                  </w:r>
                </w:p>
              </w:tc>
              <w:tc>
                <w:tcPr>
                  <w:tcW w:w="544"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0</w:t>
                  </w:r>
                  <w:r>
                    <w:rPr>
                      <w:rFonts w:ascii="Times New Roman" w:hAnsi="Times New Roman" w:eastAsia="宋体"/>
                    </w:rPr>
                    <w:t>.054</w:t>
                  </w:r>
                </w:p>
              </w:tc>
              <w:tc>
                <w:tcPr>
                  <w:tcW w:w="1087" w:type="pct"/>
                  <w:vMerge w:val="continue"/>
                  <w:vAlign w:val="center"/>
                </w:tcPr>
                <w:p>
                  <w:pPr>
                    <w:adjustRightInd w:val="0"/>
                    <w:snapToGrid w:val="0"/>
                    <w:jc w:val="center"/>
                    <w:rPr>
                      <w:rFonts w:ascii="Times New Roman" w:hAnsi="Times New Roman" w:eastAsia="宋体"/>
                    </w:rPr>
                  </w:pPr>
                </w:p>
              </w:tc>
              <w:tc>
                <w:tcPr>
                  <w:tcW w:w="1087" w:type="pct"/>
                  <w:vMerge w:val="continue"/>
                  <w:vAlign w:val="center"/>
                </w:tcPr>
                <w:p>
                  <w:pPr>
                    <w:adjustRightInd w:val="0"/>
                    <w:snapToGrid w:val="0"/>
                    <w:spacing w:line="276" w:lineRule="auto"/>
                    <w:jc w:val="center"/>
                    <w:rPr>
                      <w:rFonts w:ascii="Times New Roman" w:hAnsi="Times New Roman" w:eastAsia="宋体"/>
                    </w:rPr>
                  </w:pPr>
                </w:p>
              </w:tc>
              <w:tc>
                <w:tcPr>
                  <w:tcW w:w="918" w:type="pct"/>
                  <w:vMerge w:val="continue"/>
                  <w:vAlign w:val="center"/>
                </w:tcPr>
                <w:p>
                  <w:pPr>
                    <w:adjustRightInd w:val="0"/>
                    <w:snapToGrid w:val="0"/>
                    <w:spacing w:line="276" w:lineRule="auto"/>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vAlign w:val="center"/>
                </w:tcPr>
                <w:p>
                  <w:pPr>
                    <w:adjustRightInd w:val="0"/>
                    <w:snapToGrid w:val="0"/>
                    <w:spacing w:line="276" w:lineRule="auto"/>
                    <w:jc w:val="center"/>
                    <w:rPr>
                      <w:rFonts w:ascii="Times New Roman" w:hAnsi="Times New Roman" w:eastAsia="宋体"/>
                    </w:rPr>
                  </w:pPr>
                </w:p>
              </w:tc>
              <w:tc>
                <w:tcPr>
                  <w:tcW w:w="996"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涂料稀释剂</w:t>
                  </w:r>
                </w:p>
              </w:tc>
              <w:tc>
                <w:tcPr>
                  <w:tcW w:w="544" w:type="pct"/>
                  <w:vAlign w:val="center"/>
                </w:tcPr>
                <w:p>
                  <w:pPr>
                    <w:adjustRightInd w:val="0"/>
                    <w:snapToGrid w:val="0"/>
                    <w:spacing w:line="276" w:lineRule="auto"/>
                    <w:jc w:val="center"/>
                    <w:rPr>
                      <w:rFonts w:ascii="Times New Roman" w:hAnsi="Times New Roman" w:eastAsia="宋体"/>
                    </w:rPr>
                  </w:pPr>
                  <w:r>
                    <w:rPr>
                      <w:rFonts w:ascii="Times New Roman" w:hAnsi="Times New Roman" w:eastAsia="宋体"/>
                    </w:rPr>
                    <w:t>1.44</w:t>
                  </w:r>
                </w:p>
              </w:tc>
              <w:tc>
                <w:tcPr>
                  <w:tcW w:w="1087" w:type="pct"/>
                  <w:vMerge w:val="continue"/>
                  <w:vAlign w:val="center"/>
                </w:tcPr>
                <w:p>
                  <w:pPr>
                    <w:adjustRightInd w:val="0"/>
                    <w:snapToGrid w:val="0"/>
                    <w:jc w:val="center"/>
                    <w:rPr>
                      <w:rFonts w:ascii="Times New Roman" w:hAnsi="Times New Roman" w:eastAsia="宋体"/>
                    </w:rPr>
                  </w:pPr>
                </w:p>
              </w:tc>
              <w:tc>
                <w:tcPr>
                  <w:tcW w:w="1087" w:type="pct"/>
                  <w:vMerge w:val="continue"/>
                  <w:vAlign w:val="center"/>
                </w:tcPr>
                <w:p>
                  <w:pPr>
                    <w:adjustRightInd w:val="0"/>
                    <w:snapToGrid w:val="0"/>
                    <w:spacing w:line="276" w:lineRule="auto"/>
                    <w:jc w:val="center"/>
                    <w:rPr>
                      <w:rFonts w:ascii="Times New Roman" w:hAnsi="Times New Roman" w:eastAsia="宋体"/>
                    </w:rPr>
                  </w:pPr>
                </w:p>
              </w:tc>
              <w:tc>
                <w:tcPr>
                  <w:tcW w:w="918" w:type="pct"/>
                  <w:vMerge w:val="continue"/>
                  <w:vAlign w:val="center"/>
                </w:tcPr>
                <w:p>
                  <w:pPr>
                    <w:adjustRightInd w:val="0"/>
                    <w:snapToGrid w:val="0"/>
                    <w:spacing w:line="276" w:lineRule="auto"/>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restar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油性面漆</w:t>
                  </w:r>
                </w:p>
              </w:tc>
              <w:tc>
                <w:tcPr>
                  <w:tcW w:w="996"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油性面漆</w:t>
                  </w:r>
                </w:p>
              </w:tc>
              <w:tc>
                <w:tcPr>
                  <w:tcW w:w="544"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0</w:t>
                  </w:r>
                  <w:r>
                    <w:rPr>
                      <w:rFonts w:ascii="Times New Roman" w:hAnsi="Times New Roman" w:eastAsia="宋体"/>
                    </w:rPr>
                    <w:t>.2</w:t>
                  </w:r>
                </w:p>
              </w:tc>
              <w:tc>
                <w:tcPr>
                  <w:tcW w:w="1087" w:type="pct"/>
                  <w:vMerge w:val="continue"/>
                  <w:vAlign w:val="center"/>
                </w:tcPr>
                <w:p>
                  <w:pPr>
                    <w:adjustRightInd w:val="0"/>
                    <w:snapToGrid w:val="0"/>
                    <w:jc w:val="center"/>
                    <w:rPr>
                      <w:rFonts w:ascii="Times New Roman" w:hAnsi="Times New Roman" w:eastAsia="宋体"/>
                    </w:rPr>
                  </w:pPr>
                </w:p>
              </w:tc>
              <w:tc>
                <w:tcPr>
                  <w:tcW w:w="1087" w:type="pct"/>
                  <w:vMerge w:val="continue"/>
                  <w:vAlign w:val="center"/>
                </w:tcPr>
                <w:p>
                  <w:pPr>
                    <w:adjustRightInd w:val="0"/>
                    <w:snapToGrid w:val="0"/>
                    <w:spacing w:line="276" w:lineRule="auto"/>
                    <w:jc w:val="center"/>
                    <w:rPr>
                      <w:rFonts w:ascii="Times New Roman" w:hAnsi="Times New Roman" w:eastAsia="宋体"/>
                    </w:rPr>
                  </w:pPr>
                </w:p>
              </w:tc>
              <w:tc>
                <w:tcPr>
                  <w:tcW w:w="918" w:type="pct"/>
                  <w:vMerge w:val="continue"/>
                  <w:vAlign w:val="center"/>
                </w:tcPr>
                <w:p>
                  <w:pPr>
                    <w:adjustRightInd w:val="0"/>
                    <w:snapToGrid w:val="0"/>
                    <w:spacing w:line="276" w:lineRule="auto"/>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vAlign w:val="center"/>
                </w:tcPr>
                <w:p>
                  <w:pPr>
                    <w:adjustRightInd w:val="0"/>
                    <w:snapToGrid w:val="0"/>
                    <w:spacing w:line="276" w:lineRule="auto"/>
                    <w:jc w:val="center"/>
                    <w:rPr>
                      <w:rFonts w:ascii="Times New Roman" w:hAnsi="Times New Roman" w:eastAsia="宋体"/>
                    </w:rPr>
                  </w:pPr>
                </w:p>
              </w:tc>
              <w:tc>
                <w:tcPr>
                  <w:tcW w:w="996"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面漆稀释剂</w:t>
                  </w:r>
                </w:p>
              </w:tc>
              <w:tc>
                <w:tcPr>
                  <w:tcW w:w="544" w:type="pct"/>
                  <w:vAlign w:val="center"/>
                </w:tcPr>
                <w:p>
                  <w:pPr>
                    <w:adjustRightInd w:val="0"/>
                    <w:snapToGrid w:val="0"/>
                    <w:spacing w:line="276" w:lineRule="auto"/>
                    <w:jc w:val="center"/>
                    <w:rPr>
                      <w:rFonts w:ascii="Times New Roman" w:hAnsi="Times New Roman" w:eastAsia="宋体"/>
                    </w:rPr>
                  </w:pPr>
                  <w:r>
                    <w:rPr>
                      <w:rFonts w:ascii="Times New Roman" w:hAnsi="Times New Roman" w:eastAsia="宋体"/>
                    </w:rPr>
                    <w:t>0.1</w:t>
                  </w:r>
                </w:p>
              </w:tc>
              <w:tc>
                <w:tcPr>
                  <w:tcW w:w="1087" w:type="pct"/>
                  <w:vMerge w:val="continue"/>
                  <w:vAlign w:val="center"/>
                </w:tcPr>
                <w:p>
                  <w:pPr>
                    <w:adjustRightInd w:val="0"/>
                    <w:snapToGrid w:val="0"/>
                    <w:jc w:val="center"/>
                    <w:rPr>
                      <w:rFonts w:ascii="Times New Roman" w:hAnsi="Times New Roman" w:eastAsia="宋体"/>
                    </w:rPr>
                  </w:pPr>
                </w:p>
              </w:tc>
              <w:tc>
                <w:tcPr>
                  <w:tcW w:w="1087" w:type="pct"/>
                  <w:vMerge w:val="restar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废气处理装置处理的有机废气</w:t>
                  </w:r>
                </w:p>
              </w:tc>
              <w:tc>
                <w:tcPr>
                  <w:tcW w:w="918" w:type="pct"/>
                  <w:vMerge w:val="restar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vAlign w:val="center"/>
                </w:tcPr>
                <w:p>
                  <w:pPr>
                    <w:adjustRightInd w:val="0"/>
                    <w:snapToGrid w:val="0"/>
                    <w:spacing w:line="276" w:lineRule="auto"/>
                    <w:jc w:val="center"/>
                    <w:rPr>
                      <w:rFonts w:ascii="Times New Roman" w:hAnsi="Times New Roman" w:eastAsia="宋体"/>
                    </w:rPr>
                  </w:pPr>
                </w:p>
              </w:tc>
              <w:tc>
                <w:tcPr>
                  <w:tcW w:w="996" w:type="pct"/>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面漆固化剂</w:t>
                  </w:r>
                </w:p>
              </w:tc>
              <w:tc>
                <w:tcPr>
                  <w:tcW w:w="544"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0</w:t>
                  </w:r>
                  <w:r>
                    <w:rPr>
                      <w:rFonts w:ascii="Times New Roman" w:hAnsi="Times New Roman" w:eastAsia="宋体"/>
                    </w:rPr>
                    <w:t>.16</w:t>
                  </w:r>
                </w:p>
              </w:tc>
              <w:tc>
                <w:tcPr>
                  <w:tcW w:w="1087" w:type="pct"/>
                  <w:vMerge w:val="continue"/>
                  <w:vAlign w:val="center"/>
                </w:tcPr>
                <w:p>
                  <w:pPr>
                    <w:adjustRightInd w:val="0"/>
                    <w:snapToGrid w:val="0"/>
                    <w:jc w:val="center"/>
                    <w:rPr>
                      <w:rFonts w:ascii="Times New Roman" w:hAnsi="Times New Roman" w:eastAsia="宋体"/>
                    </w:rPr>
                  </w:pPr>
                </w:p>
              </w:tc>
              <w:tc>
                <w:tcPr>
                  <w:tcW w:w="1087" w:type="pct"/>
                  <w:vMerge w:val="continue"/>
                  <w:vAlign w:val="center"/>
                </w:tcPr>
                <w:p>
                  <w:pPr>
                    <w:adjustRightInd w:val="0"/>
                    <w:snapToGrid w:val="0"/>
                    <w:spacing w:line="276" w:lineRule="auto"/>
                    <w:jc w:val="center"/>
                    <w:rPr>
                      <w:rFonts w:ascii="Times New Roman" w:hAnsi="Times New Roman" w:eastAsia="宋体"/>
                    </w:rPr>
                  </w:pPr>
                </w:p>
              </w:tc>
              <w:tc>
                <w:tcPr>
                  <w:tcW w:w="918" w:type="pct"/>
                  <w:vMerge w:val="continue"/>
                  <w:vAlign w:val="center"/>
                </w:tcPr>
                <w:p>
                  <w:pPr>
                    <w:adjustRightInd w:val="0"/>
                    <w:snapToGrid w:val="0"/>
                    <w:spacing w:line="276" w:lineRule="auto"/>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restar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cs="Times New Roman"/>
                      <w:kern w:val="0"/>
                    </w:rPr>
                    <w:t>油性底漆</w:t>
                  </w:r>
                </w:p>
              </w:tc>
              <w:tc>
                <w:tcPr>
                  <w:tcW w:w="996"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油性底漆（</w:t>
                  </w:r>
                  <w:r>
                    <w:rPr>
                      <w:rFonts w:hint="eastAsia"/>
                    </w:rPr>
                    <w:t>环氧富锌底漆A组分</w:t>
                  </w:r>
                  <w:r>
                    <w:rPr>
                      <w:rFonts w:hint="eastAsia" w:ascii="Times New Roman" w:hAnsi="Times New Roman" w:eastAsia="宋体" w:cs="Times New Roman"/>
                      <w:kern w:val="0"/>
                    </w:rPr>
                    <w:t>）</w:t>
                  </w:r>
                </w:p>
              </w:tc>
              <w:tc>
                <w:tcPr>
                  <w:tcW w:w="544" w:type="pct"/>
                  <w:vAlign w:val="center"/>
                </w:tcPr>
                <w:p>
                  <w:pPr>
                    <w:adjustRightInd w:val="0"/>
                    <w:snapToGrid w:val="0"/>
                    <w:spacing w:line="276" w:lineRule="auto"/>
                    <w:jc w:val="center"/>
                    <w:rPr>
                      <w:rFonts w:ascii="Times New Roman" w:hAnsi="Times New Roman" w:eastAsia="宋体"/>
                    </w:rPr>
                  </w:pPr>
                  <w:r>
                    <w:rPr>
                      <w:rFonts w:ascii="Times New Roman" w:hAnsi="Times New Roman" w:eastAsia="宋体"/>
                    </w:rPr>
                    <w:t>0.3</w:t>
                  </w:r>
                </w:p>
              </w:tc>
              <w:tc>
                <w:tcPr>
                  <w:tcW w:w="1087" w:type="pct"/>
                  <w:vMerge w:val="continue"/>
                  <w:vAlign w:val="center"/>
                </w:tcPr>
                <w:p>
                  <w:pPr>
                    <w:adjustRightInd w:val="0"/>
                    <w:snapToGrid w:val="0"/>
                    <w:jc w:val="center"/>
                    <w:rPr>
                      <w:rFonts w:ascii="Times New Roman" w:hAnsi="Times New Roman" w:eastAsia="宋体"/>
                    </w:rPr>
                  </w:pPr>
                </w:p>
              </w:tc>
              <w:tc>
                <w:tcPr>
                  <w:tcW w:w="1087"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排放的</w:t>
                  </w:r>
                  <w:r>
                    <w:rPr>
                      <w:rFonts w:hint="eastAsia" w:ascii="Times New Roman" w:hAnsi="Times New Roman" w:eastAsia="宋体"/>
                      <w:lang w:bidi="zh-CN"/>
                    </w:rPr>
                    <w:t>雾状颗粒</w:t>
                  </w:r>
                </w:p>
              </w:tc>
              <w:tc>
                <w:tcPr>
                  <w:tcW w:w="918" w:type="pct"/>
                  <w:vAlign w:val="center"/>
                </w:tcPr>
                <w:p>
                  <w:pPr>
                    <w:adjustRightInd w:val="0"/>
                    <w:snapToGrid w:val="0"/>
                    <w:spacing w:line="276" w:lineRule="auto"/>
                    <w:jc w:val="center"/>
                    <w:rPr>
                      <w:rFonts w:ascii="Times New Roman" w:hAnsi="Times New Roman" w:eastAsia="宋体"/>
                    </w:rPr>
                  </w:pPr>
                  <w:r>
                    <w:rPr>
                      <w:rFonts w:ascii="Times New Roman" w:hAnsi="Times New Roman" w:eastAsia="宋体"/>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368" w:type="pct"/>
                  <w:vMerge w:val="continue"/>
                  <w:vAlign w:val="center"/>
                </w:tcPr>
                <w:p>
                  <w:pPr>
                    <w:adjustRightInd w:val="0"/>
                    <w:snapToGrid w:val="0"/>
                    <w:spacing w:line="276" w:lineRule="auto"/>
                    <w:jc w:val="center"/>
                    <w:rPr>
                      <w:rFonts w:ascii="Times New Roman" w:hAnsi="Times New Roman" w:eastAsia="宋体"/>
                    </w:rPr>
                  </w:pPr>
                </w:p>
              </w:tc>
              <w:tc>
                <w:tcPr>
                  <w:tcW w:w="996"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底漆固化剂</w:t>
                  </w:r>
                  <w:r>
                    <w:rPr>
                      <w:rFonts w:hint="eastAsia"/>
                    </w:rPr>
                    <w:t>（环氧富锌底漆B组分）</w:t>
                  </w:r>
                </w:p>
              </w:tc>
              <w:tc>
                <w:tcPr>
                  <w:tcW w:w="544" w:type="pct"/>
                  <w:vAlign w:val="center"/>
                </w:tcPr>
                <w:p>
                  <w:pPr>
                    <w:adjustRightInd w:val="0"/>
                    <w:snapToGrid w:val="0"/>
                    <w:spacing w:line="276" w:lineRule="auto"/>
                    <w:jc w:val="center"/>
                    <w:rPr>
                      <w:rFonts w:ascii="Times New Roman" w:hAnsi="Times New Roman" w:eastAsia="宋体"/>
                    </w:rPr>
                  </w:pPr>
                  <w:r>
                    <w:rPr>
                      <w:rFonts w:ascii="Times New Roman" w:hAnsi="Times New Roman" w:eastAsia="宋体"/>
                    </w:rPr>
                    <w:t>0.6</w:t>
                  </w:r>
                </w:p>
              </w:tc>
              <w:tc>
                <w:tcPr>
                  <w:tcW w:w="1087" w:type="pct"/>
                  <w:vMerge w:val="continue"/>
                  <w:vAlign w:val="center"/>
                </w:tcPr>
                <w:p>
                  <w:pPr>
                    <w:adjustRightInd w:val="0"/>
                    <w:snapToGrid w:val="0"/>
                    <w:jc w:val="center"/>
                    <w:rPr>
                      <w:rFonts w:ascii="Times New Roman" w:hAnsi="Times New Roman" w:eastAsia="宋体"/>
                    </w:rPr>
                  </w:pPr>
                </w:p>
              </w:tc>
              <w:tc>
                <w:tcPr>
                  <w:tcW w:w="1087"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废气处理装置处理的</w:t>
                  </w:r>
                  <w:r>
                    <w:rPr>
                      <w:rFonts w:hint="eastAsia" w:ascii="Times New Roman" w:hAnsi="Times New Roman" w:eastAsia="宋体"/>
                      <w:lang w:bidi="zh-CN"/>
                    </w:rPr>
                    <w:t>雾状颗粒</w:t>
                  </w:r>
                </w:p>
              </w:tc>
              <w:tc>
                <w:tcPr>
                  <w:tcW w:w="918"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0</w:t>
                  </w:r>
                  <w:r>
                    <w:rPr>
                      <w:rFonts w:ascii="Times New Roman" w:hAnsi="Times New Roman" w:eastAsia="宋体"/>
                    </w:rPr>
                    <w:t>.574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restart"/>
                  <w:vAlign w:val="center"/>
                </w:tcPr>
                <w:p>
                  <w:pPr>
                    <w:adjustRightInd w:val="0"/>
                    <w:snapToGrid w:val="0"/>
                    <w:jc w:val="center"/>
                    <w:rPr>
                      <w:rFonts w:ascii="Times New Roman" w:hAnsi="Times New Roman" w:eastAsia="宋体" w:cs="宋体"/>
                      <w:kern w:val="0"/>
                    </w:rPr>
                  </w:pPr>
                  <w:r>
                    <w:rPr>
                      <w:rFonts w:hint="eastAsia" w:ascii="Times New Roman" w:hAnsi="Times New Roman" w:eastAsia="宋体"/>
                    </w:rPr>
                    <w:t>水性漆</w:t>
                  </w:r>
                </w:p>
              </w:tc>
              <w:tc>
                <w:tcPr>
                  <w:tcW w:w="996" w:type="pct"/>
                  <w:vAlign w:val="center"/>
                </w:tcPr>
                <w:p>
                  <w:pPr>
                    <w:autoSpaceDE w:val="0"/>
                    <w:autoSpaceDN w:val="0"/>
                    <w:adjustRightInd w:val="0"/>
                    <w:snapToGrid w:val="0"/>
                    <w:jc w:val="center"/>
                    <w:rPr>
                      <w:rFonts w:ascii="Times New Roman" w:hAnsi="Times New Roman" w:eastAsia="宋体"/>
                    </w:rPr>
                  </w:pPr>
                  <w:r>
                    <w:rPr>
                      <w:rFonts w:ascii="Times New Roman" w:hAnsi="Times New Roman" w:eastAsia="宋体"/>
                    </w:rPr>
                    <w:t>水性漆</w:t>
                  </w:r>
                </w:p>
              </w:tc>
              <w:tc>
                <w:tcPr>
                  <w:tcW w:w="544" w:type="pct"/>
                  <w:vAlign w:val="center"/>
                </w:tcPr>
                <w:p>
                  <w:pPr>
                    <w:autoSpaceDE w:val="0"/>
                    <w:autoSpaceDN w:val="0"/>
                    <w:adjustRightInd w:val="0"/>
                    <w:snapToGrid w:val="0"/>
                    <w:jc w:val="center"/>
                    <w:rPr>
                      <w:rFonts w:ascii="Times New Roman" w:hAnsi="Times New Roman" w:eastAsia="宋体"/>
                    </w:rPr>
                  </w:pPr>
                  <w:r>
                    <w:rPr>
                      <w:rFonts w:ascii="Times New Roman" w:hAnsi="Times New Roman" w:eastAsia="宋体"/>
                    </w:rPr>
                    <w:t>6.5</w:t>
                  </w:r>
                </w:p>
              </w:tc>
              <w:tc>
                <w:tcPr>
                  <w:tcW w:w="1087" w:type="pct"/>
                  <w:vMerge w:val="continue"/>
                  <w:vAlign w:val="center"/>
                </w:tcPr>
                <w:p>
                  <w:pPr>
                    <w:adjustRightInd w:val="0"/>
                    <w:snapToGrid w:val="0"/>
                    <w:jc w:val="center"/>
                    <w:rPr>
                      <w:rFonts w:ascii="Times New Roman" w:hAnsi="Times New Roman" w:eastAsia="宋体"/>
                    </w:rPr>
                  </w:pPr>
                </w:p>
              </w:tc>
              <w:tc>
                <w:tcPr>
                  <w:tcW w:w="1087" w:type="pct"/>
                  <w:vMerge w:val="restart"/>
                  <w:vAlign w:val="center"/>
                </w:tcPr>
                <w:p>
                  <w:pPr>
                    <w:adjustRightInd w:val="0"/>
                    <w:snapToGrid w:val="0"/>
                    <w:jc w:val="center"/>
                    <w:rPr>
                      <w:rFonts w:ascii="Times New Roman" w:hAnsi="Times New Roman" w:eastAsia="宋体"/>
                    </w:rPr>
                  </w:pPr>
                  <w:r>
                    <w:rPr>
                      <w:rFonts w:hint="eastAsia" w:ascii="Times New Roman" w:hAnsi="Times New Roman" w:eastAsia="宋体"/>
                    </w:rPr>
                    <w:t>漆渣</w:t>
                  </w:r>
                </w:p>
              </w:tc>
              <w:tc>
                <w:tcPr>
                  <w:tcW w:w="918" w:type="pct"/>
                  <w:vMerge w:val="restart"/>
                  <w:vAlign w:val="center"/>
                </w:tcPr>
                <w:p>
                  <w:pPr>
                    <w:adjustRightInd w:val="0"/>
                    <w:snapToGrid w:val="0"/>
                    <w:jc w:val="center"/>
                    <w:rPr>
                      <w:rFonts w:ascii="Times New Roman" w:hAnsi="Times New Roman" w:eastAsia="宋体"/>
                    </w:rPr>
                  </w:pPr>
                  <w:r>
                    <w:rPr>
                      <w:rFonts w:hint="eastAsia" w:ascii="Times New Roman" w:hAnsi="Times New Roman" w:eastAsia="宋体"/>
                    </w:rPr>
                    <w:t>1.353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vAlign w:val="center"/>
                </w:tcPr>
                <w:p>
                  <w:pPr>
                    <w:adjustRightInd w:val="0"/>
                    <w:snapToGrid w:val="0"/>
                    <w:jc w:val="center"/>
                    <w:rPr>
                      <w:rFonts w:ascii="Times New Roman" w:hAnsi="Times New Roman" w:eastAsia="宋体" w:cs="宋体"/>
                      <w:kern w:val="0"/>
                    </w:rPr>
                  </w:pPr>
                </w:p>
              </w:tc>
              <w:tc>
                <w:tcPr>
                  <w:tcW w:w="996" w:type="pct"/>
                  <w:vAlign w:val="center"/>
                </w:tcPr>
                <w:p>
                  <w:pPr>
                    <w:autoSpaceDE w:val="0"/>
                    <w:autoSpaceDN w:val="0"/>
                    <w:adjustRightInd w:val="0"/>
                    <w:snapToGrid w:val="0"/>
                    <w:jc w:val="center"/>
                    <w:rPr>
                      <w:rFonts w:ascii="Times New Roman" w:hAnsi="Times New Roman" w:eastAsia="宋体"/>
                    </w:rPr>
                  </w:pPr>
                  <w:r>
                    <w:rPr>
                      <w:rFonts w:hint="eastAsia" w:ascii="Times New Roman" w:hAnsi="Times New Roman" w:eastAsia="宋体"/>
                    </w:rPr>
                    <w:t>稀释剂（水）</w:t>
                  </w:r>
                </w:p>
              </w:tc>
              <w:tc>
                <w:tcPr>
                  <w:tcW w:w="544" w:type="pct"/>
                  <w:vAlign w:val="center"/>
                </w:tcPr>
                <w:p>
                  <w:pPr>
                    <w:autoSpaceDE w:val="0"/>
                    <w:autoSpaceDN w:val="0"/>
                    <w:adjustRightInd w:val="0"/>
                    <w:snapToGrid w:val="0"/>
                    <w:jc w:val="center"/>
                    <w:rPr>
                      <w:rFonts w:ascii="Times New Roman" w:hAnsi="Times New Roman" w:eastAsia="宋体"/>
                    </w:rPr>
                  </w:pPr>
                  <w:r>
                    <w:rPr>
                      <w:rFonts w:ascii="Times New Roman" w:hAnsi="Times New Roman" w:eastAsia="宋体"/>
                    </w:rPr>
                    <w:t>1.3</w:t>
                  </w:r>
                </w:p>
              </w:tc>
              <w:tc>
                <w:tcPr>
                  <w:tcW w:w="1087" w:type="pct"/>
                  <w:vMerge w:val="continue"/>
                  <w:vAlign w:val="center"/>
                </w:tcPr>
                <w:p>
                  <w:pPr>
                    <w:adjustRightInd w:val="0"/>
                    <w:snapToGrid w:val="0"/>
                    <w:spacing w:line="400" w:lineRule="atLeast"/>
                    <w:jc w:val="center"/>
                    <w:rPr>
                      <w:rFonts w:ascii="Times New Roman" w:hAnsi="Times New Roman" w:eastAsia="宋体"/>
                    </w:rPr>
                  </w:pPr>
                </w:p>
              </w:tc>
              <w:tc>
                <w:tcPr>
                  <w:tcW w:w="1087" w:type="pct"/>
                  <w:vMerge w:val="continue"/>
                  <w:vAlign w:val="center"/>
                </w:tcPr>
                <w:p>
                  <w:pPr>
                    <w:adjustRightInd w:val="0"/>
                    <w:snapToGrid w:val="0"/>
                    <w:jc w:val="center"/>
                    <w:rPr>
                      <w:rFonts w:ascii="Times New Roman" w:hAnsi="Times New Roman" w:eastAsia="宋体"/>
                    </w:rPr>
                  </w:pPr>
                </w:p>
              </w:tc>
              <w:tc>
                <w:tcPr>
                  <w:tcW w:w="918" w:type="pct"/>
                  <w:vMerge w:val="continue"/>
                  <w:vAlign w:val="center"/>
                </w:tcPr>
                <w:p>
                  <w:pPr>
                    <w:adjustRightInd w:val="0"/>
                    <w:snapToGrid w:val="0"/>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4" w:type="pct"/>
                  <w:gridSpan w:val="2"/>
                  <w:vAlign w:val="center"/>
                </w:tcPr>
                <w:p>
                  <w:pPr>
                    <w:pStyle w:val="115"/>
                    <w:adjustRightInd w:val="0"/>
                    <w:snapToGrid w:val="0"/>
                  </w:pPr>
                  <w:r>
                    <w:rPr>
                      <w:rFonts w:hint="eastAsia"/>
                    </w:rPr>
                    <w:t>合计</w:t>
                  </w:r>
                </w:p>
              </w:tc>
              <w:tc>
                <w:tcPr>
                  <w:tcW w:w="544" w:type="pct"/>
                  <w:vAlign w:val="center"/>
                </w:tcPr>
                <w:p>
                  <w:pPr>
                    <w:adjustRightInd w:val="0"/>
                    <w:snapToGrid w:val="0"/>
                    <w:jc w:val="center"/>
                    <w:rPr>
                      <w:rFonts w:ascii="Times New Roman" w:hAnsi="Times New Roman" w:eastAsia="宋体"/>
                      <w:bCs/>
                    </w:rPr>
                  </w:pPr>
                  <w:r>
                    <w:rPr>
                      <w:rFonts w:ascii="Times New Roman" w:hAnsi="Times New Roman" w:eastAsia="宋体"/>
                      <w:bCs/>
                    </w:rPr>
                    <w:t>12.654</w:t>
                  </w:r>
                </w:p>
              </w:tc>
              <w:tc>
                <w:tcPr>
                  <w:tcW w:w="1087" w:type="pct"/>
                  <w:vAlign w:val="center"/>
                </w:tcPr>
                <w:p>
                  <w:pPr>
                    <w:adjustRightInd w:val="0"/>
                    <w:snapToGrid w:val="0"/>
                    <w:spacing w:line="276" w:lineRule="auto"/>
                    <w:jc w:val="center"/>
                    <w:rPr>
                      <w:rFonts w:ascii="Times New Roman" w:hAnsi="Times New Roman" w:eastAsia="宋体"/>
                    </w:rPr>
                  </w:pPr>
                  <w:r>
                    <w:rPr>
                      <w:rFonts w:ascii="Times New Roman" w:hAnsi="Times New Roman" w:eastAsia="宋体" w:cs="宋体"/>
                    </w:rPr>
                    <w:t>8.225</w:t>
                  </w:r>
                </w:p>
              </w:tc>
              <w:tc>
                <w:tcPr>
                  <w:tcW w:w="1087" w:type="pct"/>
                  <w:vAlign w:val="center"/>
                </w:tcPr>
                <w:p>
                  <w:pPr>
                    <w:adjustRightInd w:val="0"/>
                    <w:snapToGrid w:val="0"/>
                    <w:spacing w:line="276" w:lineRule="auto"/>
                    <w:jc w:val="center"/>
                    <w:rPr>
                      <w:rFonts w:ascii="Times New Roman" w:hAnsi="Times New Roman" w:eastAsia="宋体"/>
                    </w:rPr>
                  </w:pPr>
                  <w:r>
                    <w:rPr>
                      <w:rFonts w:hint="eastAsia" w:ascii="Times New Roman" w:hAnsi="Times New Roman" w:eastAsia="宋体"/>
                    </w:rPr>
                    <w:t>合计</w:t>
                  </w:r>
                </w:p>
              </w:tc>
              <w:tc>
                <w:tcPr>
                  <w:tcW w:w="918" w:type="pct"/>
                  <w:vAlign w:val="center"/>
                </w:tcPr>
                <w:p>
                  <w:pPr>
                    <w:adjustRightInd w:val="0"/>
                    <w:snapToGrid w:val="0"/>
                    <w:spacing w:line="276" w:lineRule="auto"/>
                    <w:jc w:val="center"/>
                    <w:rPr>
                      <w:rFonts w:ascii="Times New Roman" w:hAnsi="Times New Roman" w:eastAsia="宋体"/>
                    </w:rPr>
                  </w:pPr>
                  <w:r>
                    <w:rPr>
                      <w:rFonts w:ascii="Times New Roman" w:hAnsi="Times New Roman" w:eastAsia="宋体"/>
                    </w:rPr>
                    <w:t>4.429</w:t>
                  </w:r>
                </w:p>
              </w:tc>
            </w:tr>
          </w:tbl>
          <w:p>
            <w:pPr>
              <w:adjustRightInd w:val="0"/>
              <w:snapToGrid w:val="0"/>
              <w:spacing w:line="360" w:lineRule="auto"/>
              <w:ind w:firstLine="482" w:firstLineChars="200"/>
              <w:rPr>
                <w:rFonts w:ascii="Times New Roman" w:hAnsi="Times New Roman" w:eastAsia="宋体"/>
                <w:b/>
                <w:bCs/>
                <w:kern w:val="0"/>
                <w:sz w:val="24"/>
              </w:rPr>
            </w:pPr>
            <w:r>
              <w:rPr>
                <w:rFonts w:hint="eastAsia" w:ascii="Times New Roman" w:hAnsi="Times New Roman" w:eastAsia="宋体"/>
                <w:b/>
                <w:bCs/>
                <w:kern w:val="0"/>
                <w:sz w:val="24"/>
              </w:rPr>
              <w:t>非甲烷总烃平衡表</w:t>
            </w:r>
            <w:r>
              <w:rPr>
                <w:rFonts w:ascii="Times New Roman" w:hAnsi="Times New Roman" w:eastAsia="宋体"/>
                <w:b/>
                <w:bCs/>
                <w:kern w:val="0"/>
                <w:sz w:val="24"/>
              </w:rPr>
              <w:t>：</w:t>
            </w:r>
          </w:p>
          <w:p>
            <w:pPr>
              <w:pStyle w:val="90"/>
              <w:spacing w:line="240" w:lineRule="auto"/>
              <w:ind w:left="0" w:firstLine="0" w:firstLineChars="0"/>
              <w:rPr>
                <w:rFonts w:ascii="Times New Roman" w:eastAsia="宋体"/>
                <w:b/>
                <w:szCs w:val="24"/>
              </w:rPr>
            </w:pPr>
            <w:r>
              <w:rPr>
                <w:rFonts w:ascii="Times New Roman" w:eastAsia="宋体"/>
                <w:b/>
                <w:szCs w:val="24"/>
              </w:rPr>
              <w:t xml:space="preserve">表2-14  </w:t>
            </w:r>
            <w:r>
              <w:rPr>
                <w:rFonts w:hint="eastAsia" w:ascii="Times New Roman" w:eastAsia="宋体"/>
                <w:b/>
                <w:szCs w:val="24"/>
              </w:rPr>
              <w:t>非甲烷总烃</w:t>
            </w:r>
            <w:r>
              <w:rPr>
                <w:rFonts w:ascii="Times New Roman" w:eastAsia="宋体"/>
                <w:b/>
                <w:szCs w:val="24"/>
              </w:rPr>
              <w:t>平衡表</w:t>
            </w:r>
            <w:r>
              <w:rPr>
                <w:rFonts w:hint="eastAsia" w:ascii="Times New Roman" w:eastAsia="宋体"/>
                <w:b/>
                <w:szCs w:val="24"/>
              </w:rPr>
              <w:t xml:space="preserve"> </w:t>
            </w:r>
            <w:r>
              <w:rPr>
                <w:rFonts w:ascii="Times New Roman" w:eastAsia="宋体"/>
                <w:b/>
                <w:szCs w:val="24"/>
              </w:rPr>
              <w:t xml:space="preserve">    </w:t>
            </w:r>
            <w:r>
              <w:rPr>
                <w:rFonts w:hint="eastAsia" w:ascii="Times New Roman" w:eastAsia="宋体"/>
                <w:b/>
                <w:szCs w:val="24"/>
              </w:rPr>
              <w:t>单位t</w:t>
            </w:r>
            <w:r>
              <w:rPr>
                <w:rFonts w:ascii="Times New Roman" w:eastAsia="宋体"/>
                <w:b/>
                <w:szCs w:val="24"/>
              </w:rPr>
              <w:t>/</w:t>
            </w:r>
            <w:r>
              <w:rPr>
                <w:rFonts w:hint="eastAsia" w:ascii="Times New Roman" w:eastAsia="宋体"/>
                <w:b/>
                <w:szCs w:val="24"/>
              </w:rPr>
              <w:t>a</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3750"/>
              <w:gridCol w:w="865"/>
              <w:gridCol w:w="1586"/>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9" w:type="pct"/>
                  <w:vMerge w:val="restar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名称</w:t>
                  </w:r>
                </w:p>
              </w:tc>
              <w:tc>
                <w:tcPr>
                  <w:tcW w:w="2898" w:type="pct"/>
                  <w:gridSpan w:val="2"/>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输入</w:t>
                  </w:r>
                </w:p>
              </w:tc>
              <w:tc>
                <w:tcPr>
                  <w:tcW w:w="1553" w:type="pct"/>
                  <w:gridSpan w:val="2"/>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9" w:type="pct"/>
                  <w:vMerge w:val="continue"/>
                </w:tcPr>
                <w:p>
                  <w:pPr>
                    <w:adjustRightInd w:val="0"/>
                    <w:snapToGrid w:val="0"/>
                    <w:spacing w:line="276" w:lineRule="auto"/>
                    <w:jc w:val="center"/>
                    <w:rPr>
                      <w:rFonts w:ascii="Times New Roman" w:hAnsi="Times New Roman" w:eastAsia="宋体"/>
                      <w:b/>
                    </w:rPr>
                  </w:pPr>
                </w:p>
              </w:tc>
              <w:tc>
                <w:tcPr>
                  <w:tcW w:w="2355" w:type="pc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来源</w:t>
                  </w:r>
                </w:p>
              </w:tc>
              <w:tc>
                <w:tcPr>
                  <w:tcW w:w="543" w:type="pc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产生量</w:t>
                  </w:r>
                </w:p>
              </w:tc>
              <w:tc>
                <w:tcPr>
                  <w:tcW w:w="996" w:type="pc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环保设施处理</w:t>
                  </w:r>
                </w:p>
              </w:tc>
              <w:tc>
                <w:tcPr>
                  <w:tcW w:w="557" w:type="pc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9" w:type="pct"/>
                  <w:vMerge w:val="restart"/>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非甲烷总烃</w:t>
                  </w:r>
                </w:p>
              </w:tc>
              <w:tc>
                <w:tcPr>
                  <w:tcW w:w="2355" w:type="pct"/>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清洗剂</w:t>
                  </w:r>
                </w:p>
              </w:tc>
              <w:tc>
                <w:tcPr>
                  <w:tcW w:w="543" w:type="pc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0.2</w:t>
                  </w:r>
                </w:p>
              </w:tc>
              <w:tc>
                <w:tcPr>
                  <w:tcW w:w="996" w:type="pct"/>
                  <w:vMerge w:val="restart"/>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1</w:t>
                  </w:r>
                  <w:r>
                    <w:rPr>
                      <w:rFonts w:ascii="Times New Roman" w:hAnsi="Times New Roman" w:eastAsia="宋体"/>
                      <w:bCs/>
                    </w:rPr>
                    <w:t>.754</w:t>
                  </w:r>
                </w:p>
              </w:tc>
              <w:tc>
                <w:tcPr>
                  <w:tcW w:w="557" w:type="pct"/>
                  <w:vMerge w:val="restar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9" w:type="pct"/>
                  <w:vMerge w:val="continue"/>
                  <w:vAlign w:val="center"/>
                </w:tcPr>
                <w:p>
                  <w:pPr>
                    <w:adjustRightInd w:val="0"/>
                    <w:snapToGrid w:val="0"/>
                    <w:spacing w:line="276" w:lineRule="auto"/>
                    <w:jc w:val="center"/>
                    <w:rPr>
                      <w:rFonts w:ascii="Times New Roman" w:hAnsi="Times New Roman" w:eastAsia="宋体"/>
                      <w:bCs/>
                    </w:rPr>
                  </w:pPr>
                </w:p>
              </w:tc>
              <w:tc>
                <w:tcPr>
                  <w:tcW w:w="2355" w:type="pct"/>
                  <w:vAlign w:val="center"/>
                </w:tcPr>
                <w:p>
                  <w:pPr>
                    <w:adjustRightInd w:val="0"/>
                    <w:snapToGrid w:val="0"/>
                    <w:spacing w:line="276" w:lineRule="auto"/>
                    <w:jc w:val="center"/>
                    <w:rPr>
                      <w:rFonts w:ascii="Times New Roman" w:hAnsi="Times New Roman" w:eastAsia="宋体"/>
                      <w:bCs/>
                    </w:rPr>
                  </w:pPr>
                  <w:r>
                    <w:rPr>
                      <w:rFonts w:hint="eastAsia"/>
                    </w:rPr>
                    <w:t>防热涂料、涂料固化剂、涂料稀释剂</w:t>
                  </w:r>
                </w:p>
              </w:tc>
              <w:tc>
                <w:tcPr>
                  <w:tcW w:w="543" w:type="pct"/>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0</w:t>
                  </w:r>
                  <w:r>
                    <w:rPr>
                      <w:rFonts w:ascii="Times New Roman" w:hAnsi="Times New Roman" w:eastAsia="宋体"/>
                      <w:bCs/>
                    </w:rPr>
                    <w:t>.801</w:t>
                  </w:r>
                </w:p>
              </w:tc>
              <w:tc>
                <w:tcPr>
                  <w:tcW w:w="996" w:type="pct"/>
                  <w:vMerge w:val="continue"/>
                  <w:vAlign w:val="center"/>
                </w:tcPr>
                <w:p>
                  <w:pPr>
                    <w:adjustRightInd w:val="0"/>
                    <w:snapToGrid w:val="0"/>
                    <w:spacing w:line="276" w:lineRule="auto"/>
                    <w:jc w:val="center"/>
                    <w:rPr>
                      <w:rFonts w:ascii="Times New Roman" w:hAnsi="Times New Roman" w:eastAsia="宋体"/>
                      <w:bCs/>
                    </w:rPr>
                  </w:pPr>
                </w:p>
              </w:tc>
              <w:tc>
                <w:tcPr>
                  <w:tcW w:w="557" w:type="pct"/>
                  <w:vMerge w:val="continue"/>
                  <w:vAlign w:val="center"/>
                </w:tcPr>
                <w:p>
                  <w:pPr>
                    <w:adjustRightInd w:val="0"/>
                    <w:snapToGrid w:val="0"/>
                    <w:spacing w:line="276" w:lineRule="auto"/>
                    <w:jc w:val="center"/>
                    <w:rPr>
                      <w:rFonts w:ascii="Times New Roman" w:hAnsi="Times New Roman"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9" w:type="pct"/>
                  <w:vMerge w:val="continue"/>
                  <w:vAlign w:val="center"/>
                </w:tcPr>
                <w:p>
                  <w:pPr>
                    <w:adjustRightInd w:val="0"/>
                    <w:snapToGrid w:val="0"/>
                    <w:spacing w:line="276" w:lineRule="auto"/>
                    <w:jc w:val="center"/>
                    <w:rPr>
                      <w:rFonts w:ascii="Times New Roman" w:hAnsi="Times New Roman" w:eastAsia="宋体"/>
                      <w:bCs/>
                    </w:rPr>
                  </w:pPr>
                </w:p>
              </w:tc>
              <w:tc>
                <w:tcPr>
                  <w:tcW w:w="2355" w:type="pct"/>
                  <w:vAlign w:val="center"/>
                </w:tcPr>
                <w:p>
                  <w:pPr>
                    <w:adjustRightInd w:val="0"/>
                    <w:snapToGrid w:val="0"/>
                    <w:spacing w:line="276" w:lineRule="auto"/>
                    <w:jc w:val="center"/>
                    <w:rPr>
                      <w:rFonts w:ascii="Times New Roman" w:hAnsi="Times New Roman" w:eastAsia="宋体"/>
                      <w:bCs/>
                    </w:rPr>
                  </w:pPr>
                  <w:r>
                    <w:rPr>
                      <w:rFonts w:hint="eastAsia"/>
                    </w:rPr>
                    <w:t>油性面漆、面漆固化剂、面漆稀释剂</w:t>
                  </w:r>
                </w:p>
              </w:tc>
              <w:tc>
                <w:tcPr>
                  <w:tcW w:w="543" w:type="pct"/>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0</w:t>
                  </w:r>
                  <w:r>
                    <w:rPr>
                      <w:rFonts w:ascii="Times New Roman" w:hAnsi="Times New Roman" w:eastAsia="宋体"/>
                      <w:bCs/>
                    </w:rPr>
                    <w:t>.125</w:t>
                  </w:r>
                </w:p>
              </w:tc>
              <w:tc>
                <w:tcPr>
                  <w:tcW w:w="996" w:type="pct"/>
                  <w:vMerge w:val="continue"/>
                  <w:vAlign w:val="center"/>
                </w:tcPr>
                <w:p>
                  <w:pPr>
                    <w:adjustRightInd w:val="0"/>
                    <w:snapToGrid w:val="0"/>
                    <w:spacing w:line="276" w:lineRule="auto"/>
                    <w:jc w:val="center"/>
                    <w:rPr>
                      <w:rFonts w:ascii="Times New Roman" w:hAnsi="Times New Roman" w:eastAsia="宋体"/>
                      <w:bCs/>
                    </w:rPr>
                  </w:pPr>
                </w:p>
              </w:tc>
              <w:tc>
                <w:tcPr>
                  <w:tcW w:w="557" w:type="pct"/>
                  <w:vMerge w:val="continue"/>
                  <w:vAlign w:val="center"/>
                </w:tcPr>
                <w:p>
                  <w:pPr>
                    <w:adjustRightInd w:val="0"/>
                    <w:snapToGrid w:val="0"/>
                    <w:spacing w:line="276" w:lineRule="auto"/>
                    <w:jc w:val="center"/>
                    <w:rPr>
                      <w:rFonts w:ascii="Times New Roman" w:hAnsi="Times New Roman"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9" w:type="pct"/>
                  <w:vMerge w:val="continue"/>
                  <w:vAlign w:val="center"/>
                </w:tcPr>
                <w:p>
                  <w:pPr>
                    <w:adjustRightInd w:val="0"/>
                    <w:snapToGrid w:val="0"/>
                    <w:spacing w:line="276" w:lineRule="auto"/>
                    <w:jc w:val="center"/>
                    <w:rPr>
                      <w:rFonts w:ascii="Times New Roman" w:hAnsi="Times New Roman" w:eastAsia="宋体"/>
                      <w:bCs/>
                    </w:rPr>
                  </w:pPr>
                </w:p>
              </w:tc>
              <w:tc>
                <w:tcPr>
                  <w:tcW w:w="2355" w:type="pct"/>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油性底漆、</w:t>
                  </w:r>
                  <w:r>
                    <w:rPr>
                      <w:rFonts w:hint="eastAsia" w:ascii="Times New Roman" w:hAnsi="Times New Roman" w:eastAsia="宋体" w:cs="Times New Roman"/>
                      <w:kern w:val="0"/>
                    </w:rPr>
                    <w:t>（</w:t>
                  </w:r>
                  <w:r>
                    <w:rPr>
                      <w:rFonts w:hint="eastAsia"/>
                    </w:rPr>
                    <w:t>环氧富锌底漆A组分</w:t>
                  </w:r>
                  <w:r>
                    <w:rPr>
                      <w:rFonts w:hint="eastAsia" w:ascii="Times New Roman" w:hAnsi="Times New Roman" w:eastAsia="宋体" w:cs="Times New Roman"/>
                      <w:kern w:val="0"/>
                    </w:rPr>
                    <w:t>）底漆固化剂</w:t>
                  </w:r>
                  <w:r>
                    <w:rPr>
                      <w:rFonts w:hint="eastAsia"/>
                    </w:rPr>
                    <w:t>（环氧富锌底漆B组分）</w:t>
                  </w:r>
                </w:p>
              </w:tc>
              <w:tc>
                <w:tcPr>
                  <w:tcW w:w="543" w:type="pc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0.031</w:t>
                  </w:r>
                </w:p>
              </w:tc>
              <w:tc>
                <w:tcPr>
                  <w:tcW w:w="996" w:type="pct"/>
                  <w:vMerge w:val="continue"/>
                  <w:vAlign w:val="center"/>
                </w:tcPr>
                <w:p>
                  <w:pPr>
                    <w:adjustRightInd w:val="0"/>
                    <w:snapToGrid w:val="0"/>
                    <w:spacing w:line="276" w:lineRule="auto"/>
                    <w:jc w:val="center"/>
                    <w:rPr>
                      <w:rFonts w:ascii="Times New Roman" w:hAnsi="Times New Roman" w:eastAsia="宋体"/>
                      <w:bCs/>
                    </w:rPr>
                  </w:pPr>
                </w:p>
              </w:tc>
              <w:tc>
                <w:tcPr>
                  <w:tcW w:w="557" w:type="pct"/>
                  <w:vMerge w:val="continue"/>
                  <w:vAlign w:val="center"/>
                </w:tcPr>
                <w:p>
                  <w:pPr>
                    <w:adjustRightInd w:val="0"/>
                    <w:snapToGrid w:val="0"/>
                    <w:spacing w:line="276" w:lineRule="auto"/>
                    <w:jc w:val="center"/>
                    <w:rPr>
                      <w:rFonts w:ascii="Times New Roman" w:hAnsi="Times New Roman"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9" w:type="pct"/>
                  <w:vMerge w:val="continue"/>
                  <w:vAlign w:val="center"/>
                </w:tcPr>
                <w:p>
                  <w:pPr>
                    <w:adjustRightInd w:val="0"/>
                    <w:snapToGrid w:val="0"/>
                    <w:spacing w:line="276" w:lineRule="auto"/>
                    <w:jc w:val="center"/>
                    <w:rPr>
                      <w:rFonts w:ascii="Times New Roman" w:hAnsi="Times New Roman" w:eastAsia="宋体"/>
                      <w:bCs/>
                    </w:rPr>
                  </w:pPr>
                </w:p>
              </w:tc>
              <w:tc>
                <w:tcPr>
                  <w:tcW w:w="2355" w:type="pct"/>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水性漆</w:t>
                  </w:r>
                </w:p>
              </w:tc>
              <w:tc>
                <w:tcPr>
                  <w:tcW w:w="543" w:type="pc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0.931</w:t>
                  </w:r>
                </w:p>
              </w:tc>
              <w:tc>
                <w:tcPr>
                  <w:tcW w:w="996" w:type="pct"/>
                  <w:vMerge w:val="continue"/>
                  <w:vAlign w:val="center"/>
                </w:tcPr>
                <w:p>
                  <w:pPr>
                    <w:adjustRightInd w:val="0"/>
                    <w:snapToGrid w:val="0"/>
                    <w:spacing w:line="276" w:lineRule="auto"/>
                    <w:jc w:val="center"/>
                    <w:rPr>
                      <w:rFonts w:ascii="Times New Roman" w:hAnsi="Times New Roman" w:eastAsia="宋体"/>
                      <w:bCs/>
                    </w:rPr>
                  </w:pPr>
                </w:p>
              </w:tc>
              <w:tc>
                <w:tcPr>
                  <w:tcW w:w="557" w:type="pct"/>
                  <w:vMerge w:val="continue"/>
                  <w:vAlign w:val="center"/>
                </w:tcPr>
                <w:p>
                  <w:pPr>
                    <w:adjustRightInd w:val="0"/>
                    <w:snapToGrid w:val="0"/>
                    <w:spacing w:line="276" w:lineRule="auto"/>
                    <w:jc w:val="center"/>
                    <w:rPr>
                      <w:rFonts w:ascii="Times New Roman" w:hAnsi="Times New Roman"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4" w:type="pct"/>
                  <w:gridSpan w:val="2"/>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合计</w:t>
                  </w:r>
                </w:p>
              </w:tc>
              <w:tc>
                <w:tcPr>
                  <w:tcW w:w="543" w:type="pc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2.088</w:t>
                  </w:r>
                </w:p>
              </w:tc>
              <w:tc>
                <w:tcPr>
                  <w:tcW w:w="996" w:type="pct"/>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1</w:t>
                  </w:r>
                  <w:r>
                    <w:rPr>
                      <w:rFonts w:ascii="Times New Roman" w:hAnsi="Times New Roman" w:eastAsia="宋体"/>
                      <w:bCs/>
                    </w:rPr>
                    <w:t>.754</w:t>
                  </w:r>
                </w:p>
              </w:tc>
              <w:tc>
                <w:tcPr>
                  <w:tcW w:w="557" w:type="pc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0.334</w:t>
                  </w:r>
                </w:p>
              </w:tc>
            </w:tr>
          </w:tbl>
          <w:p>
            <w:pPr>
              <w:adjustRightInd w:val="0"/>
              <w:snapToGrid w:val="0"/>
              <w:spacing w:line="360" w:lineRule="auto"/>
              <w:ind w:firstLine="482" w:firstLineChars="200"/>
              <w:rPr>
                <w:rFonts w:ascii="Times New Roman" w:hAnsi="Times New Roman" w:eastAsia="宋体"/>
                <w:b/>
                <w:bCs/>
                <w:kern w:val="0"/>
                <w:sz w:val="24"/>
              </w:rPr>
            </w:pPr>
            <w:r>
              <w:rPr>
                <w:rFonts w:hint="eastAsia" w:ascii="Times New Roman" w:hAnsi="Times New Roman" w:eastAsia="宋体"/>
                <w:b/>
                <w:bCs/>
                <w:kern w:val="0"/>
                <w:sz w:val="24"/>
              </w:rPr>
              <w:t>二甲苯平衡表</w:t>
            </w:r>
            <w:r>
              <w:rPr>
                <w:rFonts w:ascii="Times New Roman" w:hAnsi="Times New Roman" w:eastAsia="宋体"/>
                <w:b/>
                <w:bCs/>
                <w:kern w:val="0"/>
                <w:sz w:val="24"/>
              </w:rPr>
              <w:t>：</w:t>
            </w:r>
          </w:p>
          <w:p>
            <w:pPr>
              <w:pStyle w:val="90"/>
              <w:spacing w:line="240" w:lineRule="auto"/>
              <w:ind w:left="0" w:firstLine="0" w:firstLineChars="0"/>
              <w:rPr>
                <w:rFonts w:ascii="Times New Roman" w:eastAsia="宋体"/>
                <w:b/>
                <w:szCs w:val="24"/>
              </w:rPr>
            </w:pPr>
          </w:p>
          <w:p>
            <w:pPr>
              <w:pStyle w:val="90"/>
              <w:spacing w:line="240" w:lineRule="auto"/>
              <w:ind w:left="0" w:firstLine="0" w:firstLineChars="0"/>
              <w:rPr>
                <w:rFonts w:ascii="Times New Roman" w:eastAsia="宋体"/>
                <w:b/>
                <w:szCs w:val="24"/>
              </w:rPr>
            </w:pPr>
            <w:r>
              <w:rPr>
                <w:rFonts w:ascii="Times New Roman" w:eastAsia="宋体"/>
                <w:b/>
                <w:szCs w:val="24"/>
              </w:rPr>
              <w:t xml:space="preserve">表2-15  </w:t>
            </w:r>
            <w:r>
              <w:rPr>
                <w:rFonts w:hint="eastAsia" w:ascii="Times New Roman" w:eastAsia="宋体"/>
                <w:b/>
                <w:szCs w:val="24"/>
              </w:rPr>
              <w:t>二甲苯</w:t>
            </w:r>
            <w:r>
              <w:rPr>
                <w:rFonts w:ascii="Times New Roman" w:eastAsia="宋体"/>
                <w:b/>
                <w:szCs w:val="24"/>
              </w:rPr>
              <w:t>平衡表</w:t>
            </w:r>
            <w:r>
              <w:rPr>
                <w:rFonts w:hint="eastAsia" w:ascii="Times New Roman" w:eastAsia="宋体"/>
                <w:b/>
                <w:szCs w:val="24"/>
              </w:rPr>
              <w:t xml:space="preserve"> </w:t>
            </w:r>
            <w:r>
              <w:rPr>
                <w:rFonts w:ascii="Times New Roman" w:eastAsia="宋体"/>
                <w:b/>
                <w:szCs w:val="24"/>
              </w:rPr>
              <w:t xml:space="preserve">    </w:t>
            </w:r>
            <w:r>
              <w:rPr>
                <w:rFonts w:hint="eastAsia" w:ascii="Times New Roman" w:eastAsia="宋体"/>
                <w:b/>
                <w:szCs w:val="24"/>
              </w:rPr>
              <w:t>单位t</w:t>
            </w:r>
            <w:r>
              <w:rPr>
                <w:rFonts w:ascii="Times New Roman" w:eastAsia="宋体"/>
                <w:b/>
                <w:szCs w:val="24"/>
              </w:rPr>
              <w:t>/</w:t>
            </w:r>
            <w:r>
              <w:rPr>
                <w:rFonts w:hint="eastAsia" w:ascii="Times New Roman" w:eastAsia="宋体"/>
                <w:b/>
                <w:szCs w:val="24"/>
              </w:rPr>
              <w:t>a</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3750"/>
              <w:gridCol w:w="865"/>
              <w:gridCol w:w="1586"/>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9" w:type="pct"/>
                  <w:vMerge w:val="restar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名称</w:t>
                  </w:r>
                </w:p>
              </w:tc>
              <w:tc>
                <w:tcPr>
                  <w:tcW w:w="2898" w:type="pct"/>
                  <w:gridSpan w:val="2"/>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输入</w:t>
                  </w:r>
                </w:p>
              </w:tc>
              <w:tc>
                <w:tcPr>
                  <w:tcW w:w="1553" w:type="pct"/>
                  <w:gridSpan w:val="2"/>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9" w:type="pct"/>
                  <w:vMerge w:val="continue"/>
                </w:tcPr>
                <w:p>
                  <w:pPr>
                    <w:adjustRightInd w:val="0"/>
                    <w:snapToGrid w:val="0"/>
                    <w:spacing w:line="276" w:lineRule="auto"/>
                    <w:jc w:val="center"/>
                    <w:rPr>
                      <w:rFonts w:ascii="Times New Roman" w:hAnsi="Times New Roman" w:eastAsia="宋体"/>
                      <w:b/>
                    </w:rPr>
                  </w:pPr>
                </w:p>
              </w:tc>
              <w:tc>
                <w:tcPr>
                  <w:tcW w:w="2355" w:type="pc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来源</w:t>
                  </w:r>
                </w:p>
              </w:tc>
              <w:tc>
                <w:tcPr>
                  <w:tcW w:w="542" w:type="pc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产生量</w:t>
                  </w:r>
                </w:p>
              </w:tc>
              <w:tc>
                <w:tcPr>
                  <w:tcW w:w="996" w:type="pc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环保设施处理</w:t>
                  </w:r>
                </w:p>
              </w:tc>
              <w:tc>
                <w:tcPr>
                  <w:tcW w:w="557" w:type="pct"/>
                  <w:vAlign w:val="center"/>
                </w:tcPr>
                <w:p>
                  <w:pPr>
                    <w:adjustRightInd w:val="0"/>
                    <w:snapToGrid w:val="0"/>
                    <w:spacing w:line="276" w:lineRule="auto"/>
                    <w:jc w:val="center"/>
                    <w:rPr>
                      <w:rFonts w:ascii="Times New Roman" w:hAnsi="Times New Roman" w:eastAsia="宋体"/>
                      <w:b/>
                    </w:rPr>
                  </w:pPr>
                  <w:r>
                    <w:rPr>
                      <w:rFonts w:hint="eastAsia" w:ascii="Times New Roman" w:hAnsi="Times New Roman" w:eastAsia="宋体"/>
                      <w:b/>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9" w:type="pct"/>
                  <w:vMerge w:val="restart"/>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二甲苯</w:t>
                  </w:r>
                </w:p>
              </w:tc>
              <w:tc>
                <w:tcPr>
                  <w:tcW w:w="2355" w:type="pct"/>
                  <w:vAlign w:val="center"/>
                </w:tcPr>
                <w:p>
                  <w:pPr>
                    <w:adjustRightInd w:val="0"/>
                    <w:snapToGrid w:val="0"/>
                    <w:spacing w:line="276" w:lineRule="auto"/>
                    <w:jc w:val="center"/>
                    <w:rPr>
                      <w:rFonts w:ascii="Times New Roman" w:hAnsi="Times New Roman" w:eastAsia="宋体"/>
                      <w:bCs/>
                    </w:rPr>
                  </w:pPr>
                  <w:r>
                    <w:rPr>
                      <w:rFonts w:hint="eastAsia"/>
                    </w:rPr>
                    <w:t>油性面漆、面漆固化剂、面漆稀释剂</w:t>
                  </w:r>
                </w:p>
              </w:tc>
              <w:tc>
                <w:tcPr>
                  <w:tcW w:w="542" w:type="pc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0.014</w:t>
                  </w:r>
                </w:p>
              </w:tc>
              <w:tc>
                <w:tcPr>
                  <w:tcW w:w="996" w:type="pct"/>
                  <w:vMerge w:val="restar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0.188</w:t>
                  </w:r>
                </w:p>
              </w:tc>
              <w:tc>
                <w:tcPr>
                  <w:tcW w:w="557" w:type="pct"/>
                  <w:vMerge w:val="restar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9" w:type="pct"/>
                  <w:vMerge w:val="continue"/>
                  <w:vAlign w:val="center"/>
                </w:tcPr>
                <w:p>
                  <w:pPr>
                    <w:adjustRightInd w:val="0"/>
                    <w:snapToGrid w:val="0"/>
                    <w:spacing w:line="276" w:lineRule="auto"/>
                    <w:jc w:val="center"/>
                    <w:rPr>
                      <w:rFonts w:ascii="Times New Roman" w:hAnsi="Times New Roman" w:eastAsia="宋体"/>
                      <w:bCs/>
                    </w:rPr>
                  </w:pPr>
                </w:p>
              </w:tc>
              <w:tc>
                <w:tcPr>
                  <w:tcW w:w="2355" w:type="pct"/>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油性底漆、</w:t>
                  </w:r>
                  <w:r>
                    <w:rPr>
                      <w:rFonts w:hint="eastAsia" w:ascii="Times New Roman" w:hAnsi="Times New Roman" w:eastAsia="宋体" w:cs="Times New Roman"/>
                      <w:kern w:val="0"/>
                    </w:rPr>
                    <w:t>（</w:t>
                  </w:r>
                  <w:r>
                    <w:rPr>
                      <w:rFonts w:hint="eastAsia"/>
                    </w:rPr>
                    <w:t>环氧富锌底漆A组分</w:t>
                  </w:r>
                  <w:r>
                    <w:rPr>
                      <w:rFonts w:hint="eastAsia" w:ascii="Times New Roman" w:hAnsi="Times New Roman" w:eastAsia="宋体" w:cs="Times New Roman"/>
                      <w:kern w:val="0"/>
                    </w:rPr>
                    <w:t>）底漆固化剂</w:t>
                  </w:r>
                  <w:r>
                    <w:rPr>
                      <w:rFonts w:hint="eastAsia"/>
                    </w:rPr>
                    <w:t>（环氧富锌底漆B组分）</w:t>
                  </w:r>
                </w:p>
              </w:tc>
              <w:tc>
                <w:tcPr>
                  <w:tcW w:w="542" w:type="pc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0.21</w:t>
                  </w:r>
                </w:p>
              </w:tc>
              <w:tc>
                <w:tcPr>
                  <w:tcW w:w="996" w:type="pct"/>
                  <w:vMerge w:val="continue"/>
                  <w:vAlign w:val="center"/>
                </w:tcPr>
                <w:p>
                  <w:pPr>
                    <w:adjustRightInd w:val="0"/>
                    <w:snapToGrid w:val="0"/>
                    <w:spacing w:line="276" w:lineRule="auto"/>
                    <w:jc w:val="center"/>
                    <w:rPr>
                      <w:rFonts w:ascii="Times New Roman" w:hAnsi="Times New Roman" w:eastAsia="宋体"/>
                      <w:bCs/>
                    </w:rPr>
                  </w:pPr>
                </w:p>
              </w:tc>
              <w:tc>
                <w:tcPr>
                  <w:tcW w:w="557" w:type="pct"/>
                  <w:vMerge w:val="continue"/>
                  <w:vAlign w:val="center"/>
                </w:tcPr>
                <w:p>
                  <w:pPr>
                    <w:adjustRightInd w:val="0"/>
                    <w:snapToGrid w:val="0"/>
                    <w:spacing w:line="276" w:lineRule="auto"/>
                    <w:jc w:val="center"/>
                    <w:rPr>
                      <w:rFonts w:ascii="Times New Roman" w:hAnsi="Times New Roman"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4" w:type="pct"/>
                  <w:gridSpan w:val="2"/>
                  <w:vAlign w:val="center"/>
                </w:tcPr>
                <w:p>
                  <w:pPr>
                    <w:adjustRightInd w:val="0"/>
                    <w:snapToGrid w:val="0"/>
                    <w:spacing w:line="276" w:lineRule="auto"/>
                    <w:jc w:val="center"/>
                    <w:rPr>
                      <w:rFonts w:ascii="Times New Roman" w:hAnsi="Times New Roman" w:eastAsia="宋体"/>
                      <w:bCs/>
                    </w:rPr>
                  </w:pPr>
                  <w:r>
                    <w:rPr>
                      <w:rFonts w:hint="eastAsia" w:ascii="Times New Roman" w:hAnsi="Times New Roman" w:eastAsia="宋体"/>
                      <w:bCs/>
                    </w:rPr>
                    <w:t>合计</w:t>
                  </w:r>
                </w:p>
              </w:tc>
              <w:tc>
                <w:tcPr>
                  <w:tcW w:w="542" w:type="pc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0.224</w:t>
                  </w:r>
                </w:p>
              </w:tc>
              <w:tc>
                <w:tcPr>
                  <w:tcW w:w="996" w:type="pc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0.188</w:t>
                  </w:r>
                </w:p>
              </w:tc>
              <w:tc>
                <w:tcPr>
                  <w:tcW w:w="557" w:type="pct"/>
                  <w:vAlign w:val="center"/>
                </w:tcPr>
                <w:p>
                  <w:pPr>
                    <w:adjustRightInd w:val="0"/>
                    <w:snapToGrid w:val="0"/>
                    <w:spacing w:line="276" w:lineRule="auto"/>
                    <w:jc w:val="center"/>
                    <w:rPr>
                      <w:rFonts w:ascii="Times New Roman" w:hAnsi="Times New Roman" w:eastAsia="宋体"/>
                      <w:bCs/>
                    </w:rPr>
                  </w:pPr>
                  <w:r>
                    <w:rPr>
                      <w:rFonts w:ascii="Times New Roman" w:hAnsi="Times New Roman" w:eastAsia="宋体"/>
                      <w:bCs/>
                    </w:rPr>
                    <w:t>0.036</w:t>
                  </w:r>
                </w:p>
              </w:tc>
            </w:tr>
          </w:tbl>
          <w:p>
            <w:pPr>
              <w:pStyle w:val="2"/>
              <w:rPr>
                <w:rFonts w:ascii="Times New Roman" w:hAnsi="Times New Roman"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888" w:hRule="atLeast"/>
        </w:trPr>
        <w:tc>
          <w:tcPr>
            <w:tcW w:w="188" w:type="pct"/>
            <w:vAlign w:val="center"/>
          </w:tcPr>
          <w:p>
            <w:pPr>
              <w:jc w:val="center"/>
              <w:rPr>
                <w:rFonts w:ascii="Times New Roman" w:hAnsi="Times New Roman" w:eastAsia="宋体"/>
                <w:sz w:val="24"/>
                <w:szCs w:val="24"/>
              </w:rPr>
            </w:pPr>
            <w:r>
              <w:rPr>
                <w:rFonts w:hint="eastAsia" w:ascii="Times New Roman" w:hAnsi="Times New Roman" w:eastAsia="宋体"/>
                <w:sz w:val="24"/>
                <w:szCs w:val="24"/>
              </w:rPr>
              <w:t>与项目有关的原有环境污染问题</w:t>
            </w:r>
          </w:p>
        </w:tc>
        <w:tc>
          <w:tcPr>
            <w:tcW w:w="4811" w:type="pct"/>
            <w:vAlign w:val="center"/>
          </w:tcPr>
          <w:p>
            <w:pPr>
              <w:adjustRightInd w:val="0"/>
              <w:snapToGrid w:val="0"/>
              <w:spacing w:line="360" w:lineRule="auto"/>
              <w:ind w:firstLine="504" w:firstLineChars="200"/>
              <w:rPr>
                <w:rFonts w:ascii="Times New Roman" w:hAnsi="Times New Roman" w:eastAsia="宋体"/>
                <w:sz w:val="24"/>
              </w:rPr>
            </w:pPr>
            <w:r>
              <w:rPr>
                <w:rFonts w:ascii="Times New Roman" w:hAnsi="Times New Roman" w:eastAsia="宋体"/>
                <w:spacing w:val="6"/>
                <w:sz w:val="24"/>
              </w:rPr>
              <w:t>根据现场勘查，</w:t>
            </w:r>
            <w:r>
              <w:rPr>
                <w:rFonts w:hint="eastAsia" w:ascii="Times New Roman" w:hAnsi="Times New Roman" w:eastAsia="宋体"/>
                <w:sz w:val="24"/>
              </w:rPr>
              <w:t>本项目</w:t>
            </w:r>
            <w:r>
              <w:rPr>
                <w:rFonts w:hint="eastAsia" w:ascii="Times New Roman" w:hAnsi="Times New Roman" w:eastAsia="宋体"/>
                <w:spacing w:val="6"/>
                <w:sz w:val="24"/>
              </w:rPr>
              <w:t>租赁厂房为新建厂房，位于陕西省西安市蓝田县规划一路1号三元科技创新园B29栋，该厂房位于西安市蓝田工业园电商物流片区规划布局“一心两片区”中的生产制造区内，不涉及环境敏感区。同时根据“附件5</w:t>
            </w:r>
            <w:r>
              <w:rPr>
                <w:rFonts w:ascii="Times New Roman" w:hAnsi="Times New Roman" w:eastAsia="宋体"/>
                <w:spacing w:val="6"/>
                <w:sz w:val="24"/>
              </w:rPr>
              <w:t xml:space="preserve"> </w:t>
            </w:r>
            <w:r>
              <w:rPr>
                <w:rFonts w:hint="eastAsia" w:ascii="Times New Roman" w:hAnsi="Times New Roman" w:eastAsia="宋体"/>
                <w:spacing w:val="6"/>
                <w:sz w:val="24"/>
              </w:rPr>
              <w:t>园区关于本项目入园的意见”，符合园区规划。无原有遗留污染情况。</w:t>
            </w:r>
          </w:p>
          <w:p>
            <w:pPr>
              <w:adjustRightInd w:val="0"/>
              <w:snapToGrid w:val="0"/>
              <w:spacing w:line="360" w:lineRule="auto"/>
              <w:ind w:firstLine="420" w:firstLineChars="200"/>
              <w:rPr>
                <w:rFonts w:ascii="Times New Roman" w:hAnsi="Times New Roman" w:eastAsia="宋体" w:cs="宋体"/>
              </w:rPr>
            </w:pPr>
          </w:p>
        </w:tc>
      </w:tr>
    </w:tbl>
    <w:p>
      <w:pPr>
        <w:pStyle w:val="21"/>
        <w:rPr>
          <w:color w:val="auto"/>
        </w:rPr>
        <w:sectPr>
          <w:pgSz w:w="11906" w:h="16838"/>
          <w:pgMar w:top="1440" w:right="1797" w:bottom="1440" w:left="1797" w:header="851" w:footer="992" w:gutter="0"/>
          <w:cols w:space="425" w:num="1"/>
          <w:docGrid w:type="lines" w:linePitch="312" w:charSpace="0"/>
        </w:sectPr>
      </w:pPr>
    </w:p>
    <w:p>
      <w:pPr>
        <w:pStyle w:val="21"/>
        <w:rPr>
          <w:bCs/>
          <w:color w:val="auto"/>
        </w:rPr>
      </w:pPr>
      <w:bookmarkStart w:id="8" w:name="_Toc2148"/>
      <w:r>
        <w:rPr>
          <w:rFonts w:hint="eastAsia"/>
          <w:color w:val="auto"/>
        </w:rPr>
        <w:t>三、区域环境质量现状、环境保护目标及评价标准</w:t>
      </w:r>
      <w:bookmarkEnd w:id="8"/>
    </w:p>
    <w:tbl>
      <w:tblPr>
        <w:tblStyle w:val="27"/>
        <w:tblW w:w="88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354"/>
        <w:gridCol w:w="84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96" w:hRule="atLeast"/>
        </w:trPr>
        <w:tc>
          <w:tcPr>
            <w:tcW w:w="354"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区域环境质量现状</w:t>
            </w:r>
          </w:p>
        </w:tc>
        <w:tc>
          <w:tcPr>
            <w:tcW w:w="8446" w:type="dxa"/>
          </w:tcPr>
          <w:p>
            <w:pPr>
              <w:adjustRightInd w:val="0"/>
              <w:snapToGrid w:val="0"/>
              <w:rPr>
                <w:rFonts w:ascii="Times New Roman" w:hAnsi="Times New Roman" w:eastAsia="宋体"/>
                <w:b/>
                <w:sz w:val="28"/>
              </w:rPr>
            </w:pPr>
            <w:r>
              <w:rPr>
                <w:rFonts w:hint="eastAsia" w:ascii="Times New Roman" w:hAnsi="Times New Roman" w:eastAsia="宋体"/>
                <w:b/>
                <w:sz w:val="28"/>
              </w:rPr>
              <w:t>建设项目所在地区域环境质量现状及主要环境问题（环境空气、地面水、地下水、声环境、生态环境等）</w:t>
            </w:r>
          </w:p>
          <w:p>
            <w:pPr>
              <w:adjustRightInd w:val="0"/>
              <w:snapToGrid w:val="0"/>
              <w:spacing w:before="156" w:beforeLines="50"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1</w:t>
            </w:r>
            <w:r>
              <w:rPr>
                <w:rFonts w:ascii="Times New Roman" w:hAnsi="Times New Roman" w:eastAsia="宋体" w:cs="Times New Roman"/>
                <w:b/>
                <w:sz w:val="24"/>
                <w:szCs w:val="24"/>
              </w:rPr>
              <w:t>、环境空气质量现状调查</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空气质量达标区判定</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sz w:val="24"/>
              </w:rPr>
              <w:t>本项目空气</w:t>
            </w:r>
            <w:r>
              <w:rPr>
                <w:rFonts w:ascii="Times New Roman" w:hAnsi="Times New Roman" w:eastAsia="宋体" w:cs="Times New Roman"/>
                <w:sz w:val="24"/>
              </w:rPr>
              <w:t>质量现状引用陕西省生态环境厅办公室于2024年1月19日发布的《环保快报》</w:t>
            </w:r>
            <w:r>
              <w:rPr>
                <w:rFonts w:hint="eastAsia" w:ascii="Times New Roman" w:hAnsi="Times New Roman" w:eastAsia="宋体" w:cs="Times New Roman"/>
                <w:sz w:val="24"/>
              </w:rPr>
              <w:t>中</w:t>
            </w:r>
            <w:r>
              <w:rPr>
                <w:rFonts w:ascii="Times New Roman" w:hAnsi="Times New Roman" w:eastAsia="宋体" w:cs="Times New Roman"/>
                <w:sz w:val="24"/>
              </w:rPr>
              <w:t>2023年12月及1~12月全省环境空气质量状况</w:t>
            </w:r>
            <w:r>
              <w:rPr>
                <w:rFonts w:hint="eastAsia" w:ascii="Times New Roman" w:hAnsi="Times New Roman" w:eastAsia="宋体" w:cs="Times New Roman"/>
                <w:sz w:val="24"/>
              </w:rPr>
              <w:t>，西安市蓝田县</w:t>
            </w:r>
            <w:r>
              <w:rPr>
                <w:rFonts w:ascii="Times New Roman" w:hAnsi="Times New Roman" w:eastAsia="宋体" w:cs="Times New Roman"/>
                <w:sz w:val="24"/>
              </w:rPr>
              <w:t>环境空气质量现状数据</w:t>
            </w:r>
            <w:r>
              <w:rPr>
                <w:rFonts w:hint="eastAsia" w:ascii="Times New Roman" w:hAnsi="Times New Roman" w:eastAsia="宋体" w:cs="Times New Roman"/>
                <w:sz w:val="24"/>
              </w:rPr>
              <w:t>具体</w:t>
            </w:r>
            <w:r>
              <w:rPr>
                <w:rFonts w:ascii="Times New Roman" w:hAnsi="Times New Roman" w:eastAsia="宋体" w:cs="Times New Roman"/>
                <w:sz w:val="24"/>
              </w:rPr>
              <w:t>见表</w:t>
            </w:r>
            <w:r>
              <w:rPr>
                <w:rFonts w:hint="eastAsia" w:ascii="Times New Roman" w:hAnsi="Times New Roman" w:eastAsia="宋体" w:cs="Times New Roman"/>
                <w:sz w:val="24"/>
              </w:rPr>
              <w:t>3</w:t>
            </w:r>
            <w:r>
              <w:rPr>
                <w:rFonts w:ascii="Times New Roman" w:hAnsi="Times New Roman" w:eastAsia="宋体" w:cs="Times New Roman"/>
                <w:sz w:val="24"/>
              </w:rPr>
              <w:t>-1。</w:t>
            </w:r>
          </w:p>
          <w:p>
            <w:pPr>
              <w:pStyle w:val="84"/>
            </w:pPr>
            <w:r>
              <w:t>表3-1  基本污染物环境质量现状分析</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9"/>
              <w:gridCol w:w="2482"/>
              <w:gridCol w:w="1278"/>
              <w:gridCol w:w="1183"/>
              <w:gridCol w:w="1278"/>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564" w:type="pct"/>
                  <w:vAlign w:val="center"/>
                </w:tcPr>
                <w:p>
                  <w:pPr>
                    <w:pStyle w:val="41"/>
                    <w:rPr>
                      <w:b/>
                      <w:bCs w:val="0"/>
                    </w:rPr>
                  </w:pPr>
                  <w:r>
                    <w:rPr>
                      <w:b/>
                      <w:bCs w:val="0"/>
                    </w:rPr>
                    <w:t>项目</w:t>
                  </w:r>
                </w:p>
              </w:tc>
              <w:tc>
                <w:tcPr>
                  <w:tcW w:w="1491" w:type="pct"/>
                  <w:vAlign w:val="center"/>
                </w:tcPr>
                <w:p>
                  <w:pPr>
                    <w:pStyle w:val="41"/>
                    <w:rPr>
                      <w:b/>
                      <w:bCs w:val="0"/>
                    </w:rPr>
                  </w:pPr>
                  <w:r>
                    <w:rPr>
                      <w:b/>
                      <w:bCs w:val="0"/>
                    </w:rPr>
                    <w:t>年评价指标</w:t>
                  </w:r>
                </w:p>
              </w:tc>
              <w:tc>
                <w:tcPr>
                  <w:tcW w:w="768" w:type="pct"/>
                  <w:vAlign w:val="center"/>
                </w:tcPr>
                <w:p>
                  <w:pPr>
                    <w:pStyle w:val="41"/>
                    <w:rPr>
                      <w:b/>
                      <w:bCs w:val="0"/>
                    </w:rPr>
                  </w:pPr>
                  <w:r>
                    <w:rPr>
                      <w:b/>
                      <w:bCs w:val="0"/>
                    </w:rPr>
                    <w:t>现状浓度µg/m</w:t>
                  </w:r>
                  <w:r>
                    <w:rPr>
                      <w:b/>
                      <w:bCs w:val="0"/>
                      <w:vertAlign w:val="superscript"/>
                    </w:rPr>
                    <w:t>3</w:t>
                  </w:r>
                </w:p>
              </w:tc>
              <w:tc>
                <w:tcPr>
                  <w:tcW w:w="711" w:type="pct"/>
                  <w:vAlign w:val="center"/>
                </w:tcPr>
                <w:p>
                  <w:pPr>
                    <w:pStyle w:val="41"/>
                    <w:rPr>
                      <w:b/>
                      <w:bCs w:val="0"/>
                    </w:rPr>
                  </w:pPr>
                  <w:r>
                    <w:rPr>
                      <w:b/>
                      <w:bCs w:val="0"/>
                    </w:rPr>
                    <w:t>标准值µg/m</w:t>
                  </w:r>
                  <w:r>
                    <w:rPr>
                      <w:b/>
                      <w:bCs w:val="0"/>
                      <w:vertAlign w:val="superscript"/>
                    </w:rPr>
                    <w:t>3</w:t>
                  </w:r>
                </w:p>
              </w:tc>
              <w:tc>
                <w:tcPr>
                  <w:tcW w:w="768" w:type="pct"/>
                  <w:vAlign w:val="center"/>
                </w:tcPr>
                <w:p>
                  <w:pPr>
                    <w:pStyle w:val="41"/>
                    <w:rPr>
                      <w:b/>
                      <w:bCs w:val="0"/>
                    </w:rPr>
                  </w:pPr>
                  <w:r>
                    <w:rPr>
                      <w:b/>
                      <w:bCs w:val="0"/>
                    </w:rPr>
                    <w:t>浓度占标率/%</w:t>
                  </w:r>
                </w:p>
              </w:tc>
              <w:tc>
                <w:tcPr>
                  <w:tcW w:w="698" w:type="pct"/>
                  <w:vAlign w:val="center"/>
                </w:tcPr>
                <w:p>
                  <w:pPr>
                    <w:pStyle w:val="41"/>
                    <w:rPr>
                      <w:b/>
                      <w:bCs w:val="0"/>
                    </w:rPr>
                  </w:pPr>
                  <w:r>
                    <w:rPr>
                      <w:b/>
                      <w:bCs w:val="0"/>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564" w:type="pct"/>
                  <w:vAlign w:val="center"/>
                </w:tcPr>
                <w:p>
                  <w:pPr>
                    <w:pStyle w:val="41"/>
                  </w:pPr>
                  <w:r>
                    <w:t>PM</w:t>
                  </w:r>
                  <w:r>
                    <w:rPr>
                      <w:vertAlign w:val="subscript"/>
                    </w:rPr>
                    <w:t>10</w:t>
                  </w:r>
                </w:p>
              </w:tc>
              <w:tc>
                <w:tcPr>
                  <w:tcW w:w="1491" w:type="pct"/>
                  <w:vAlign w:val="center"/>
                </w:tcPr>
                <w:p>
                  <w:pPr>
                    <w:pStyle w:val="41"/>
                  </w:pPr>
                  <w:r>
                    <w:t>年均质量浓度</w:t>
                  </w:r>
                </w:p>
              </w:tc>
              <w:tc>
                <w:tcPr>
                  <w:tcW w:w="768" w:type="pct"/>
                  <w:vAlign w:val="center"/>
                </w:tcPr>
                <w:p>
                  <w:pPr>
                    <w:pStyle w:val="41"/>
                  </w:pPr>
                  <w:r>
                    <w:rPr>
                      <w:szCs w:val="21"/>
                    </w:rPr>
                    <w:t>73</w:t>
                  </w:r>
                </w:p>
              </w:tc>
              <w:tc>
                <w:tcPr>
                  <w:tcW w:w="711" w:type="pct"/>
                  <w:vAlign w:val="center"/>
                </w:tcPr>
                <w:p>
                  <w:pPr>
                    <w:pStyle w:val="41"/>
                  </w:pPr>
                  <w:r>
                    <w:t>70</w:t>
                  </w:r>
                </w:p>
              </w:tc>
              <w:tc>
                <w:tcPr>
                  <w:tcW w:w="768" w:type="pct"/>
                  <w:vAlign w:val="center"/>
                </w:tcPr>
                <w:p>
                  <w:pPr>
                    <w:pStyle w:val="41"/>
                  </w:pPr>
                  <w:r>
                    <w:rPr>
                      <w:rFonts w:hint="eastAsia"/>
                    </w:rPr>
                    <w:t>1</w:t>
                  </w:r>
                  <w:r>
                    <w:t>04.3</w:t>
                  </w:r>
                </w:p>
              </w:tc>
              <w:tc>
                <w:tcPr>
                  <w:tcW w:w="698" w:type="pct"/>
                  <w:vAlign w:val="center"/>
                </w:tcPr>
                <w:p>
                  <w:pPr>
                    <w:pStyle w:val="41"/>
                  </w:pPr>
                  <w: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564" w:type="pct"/>
                  <w:vAlign w:val="center"/>
                </w:tcPr>
                <w:p>
                  <w:pPr>
                    <w:pStyle w:val="41"/>
                  </w:pPr>
                  <w:r>
                    <w:t>PM</w:t>
                  </w:r>
                  <w:r>
                    <w:rPr>
                      <w:vertAlign w:val="subscript"/>
                    </w:rPr>
                    <w:t>2.5</w:t>
                  </w:r>
                </w:p>
              </w:tc>
              <w:tc>
                <w:tcPr>
                  <w:tcW w:w="1491" w:type="pct"/>
                  <w:vAlign w:val="center"/>
                </w:tcPr>
                <w:p>
                  <w:pPr>
                    <w:pStyle w:val="41"/>
                  </w:pPr>
                  <w:r>
                    <w:t>年均质量浓度</w:t>
                  </w:r>
                </w:p>
              </w:tc>
              <w:tc>
                <w:tcPr>
                  <w:tcW w:w="768" w:type="pct"/>
                  <w:vAlign w:val="center"/>
                </w:tcPr>
                <w:p>
                  <w:pPr>
                    <w:pStyle w:val="41"/>
                  </w:pPr>
                  <w:r>
                    <w:rPr>
                      <w:szCs w:val="21"/>
                    </w:rPr>
                    <w:t>36</w:t>
                  </w:r>
                </w:p>
              </w:tc>
              <w:tc>
                <w:tcPr>
                  <w:tcW w:w="711" w:type="pct"/>
                  <w:vAlign w:val="center"/>
                </w:tcPr>
                <w:p>
                  <w:pPr>
                    <w:pStyle w:val="41"/>
                  </w:pPr>
                  <w:r>
                    <w:t>35</w:t>
                  </w:r>
                </w:p>
              </w:tc>
              <w:tc>
                <w:tcPr>
                  <w:tcW w:w="768" w:type="pct"/>
                  <w:vAlign w:val="center"/>
                </w:tcPr>
                <w:p>
                  <w:pPr>
                    <w:pStyle w:val="41"/>
                  </w:pPr>
                  <w:r>
                    <w:rPr>
                      <w:rFonts w:hint="eastAsia"/>
                    </w:rPr>
                    <w:t>1</w:t>
                  </w:r>
                  <w:r>
                    <w:t>02.9</w:t>
                  </w:r>
                </w:p>
              </w:tc>
              <w:tc>
                <w:tcPr>
                  <w:tcW w:w="698" w:type="pct"/>
                  <w:vAlign w:val="center"/>
                </w:tcPr>
                <w:p>
                  <w:pPr>
                    <w:pStyle w:val="41"/>
                  </w:pPr>
                  <w: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564" w:type="pct"/>
                  <w:vAlign w:val="center"/>
                </w:tcPr>
                <w:p>
                  <w:pPr>
                    <w:pStyle w:val="41"/>
                  </w:pPr>
                  <w:r>
                    <w:t>SO</w:t>
                  </w:r>
                  <w:r>
                    <w:rPr>
                      <w:vertAlign w:val="subscript"/>
                    </w:rPr>
                    <w:t>2</w:t>
                  </w:r>
                </w:p>
              </w:tc>
              <w:tc>
                <w:tcPr>
                  <w:tcW w:w="1491" w:type="pct"/>
                  <w:vAlign w:val="center"/>
                </w:tcPr>
                <w:p>
                  <w:pPr>
                    <w:pStyle w:val="41"/>
                  </w:pPr>
                  <w:r>
                    <w:t>年均质量浓度</w:t>
                  </w:r>
                </w:p>
              </w:tc>
              <w:tc>
                <w:tcPr>
                  <w:tcW w:w="768" w:type="pct"/>
                  <w:vAlign w:val="center"/>
                </w:tcPr>
                <w:p>
                  <w:pPr>
                    <w:pStyle w:val="41"/>
                  </w:pPr>
                  <w:r>
                    <w:rPr>
                      <w:rFonts w:hint="eastAsia"/>
                    </w:rPr>
                    <w:t>8</w:t>
                  </w:r>
                </w:p>
              </w:tc>
              <w:tc>
                <w:tcPr>
                  <w:tcW w:w="711" w:type="pct"/>
                  <w:vAlign w:val="center"/>
                </w:tcPr>
                <w:p>
                  <w:pPr>
                    <w:pStyle w:val="41"/>
                  </w:pPr>
                  <w:r>
                    <w:t>60</w:t>
                  </w:r>
                </w:p>
              </w:tc>
              <w:tc>
                <w:tcPr>
                  <w:tcW w:w="768" w:type="pct"/>
                  <w:vAlign w:val="center"/>
                </w:tcPr>
                <w:p>
                  <w:pPr>
                    <w:pStyle w:val="41"/>
                  </w:pPr>
                  <w:r>
                    <w:rPr>
                      <w:rFonts w:hint="eastAsia"/>
                    </w:rPr>
                    <w:t>1</w:t>
                  </w:r>
                  <w:r>
                    <w:t>3.3</w:t>
                  </w:r>
                </w:p>
              </w:tc>
              <w:tc>
                <w:tcPr>
                  <w:tcW w:w="698" w:type="pct"/>
                  <w:vAlign w:val="center"/>
                </w:tcPr>
                <w:p>
                  <w:pPr>
                    <w:pStyle w:val="41"/>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564" w:type="pct"/>
                  <w:vAlign w:val="center"/>
                </w:tcPr>
                <w:p>
                  <w:pPr>
                    <w:pStyle w:val="41"/>
                  </w:pPr>
                  <w:r>
                    <w:t>NO</w:t>
                  </w:r>
                  <w:r>
                    <w:rPr>
                      <w:vertAlign w:val="subscript"/>
                    </w:rPr>
                    <w:t>2</w:t>
                  </w:r>
                </w:p>
              </w:tc>
              <w:tc>
                <w:tcPr>
                  <w:tcW w:w="1491" w:type="pct"/>
                  <w:vAlign w:val="center"/>
                </w:tcPr>
                <w:p>
                  <w:pPr>
                    <w:pStyle w:val="41"/>
                  </w:pPr>
                  <w:r>
                    <w:t>年均质量浓度</w:t>
                  </w:r>
                </w:p>
              </w:tc>
              <w:tc>
                <w:tcPr>
                  <w:tcW w:w="768" w:type="pct"/>
                  <w:vAlign w:val="center"/>
                </w:tcPr>
                <w:p>
                  <w:pPr>
                    <w:pStyle w:val="41"/>
                  </w:pPr>
                  <w:r>
                    <w:rPr>
                      <w:szCs w:val="21"/>
                    </w:rPr>
                    <w:t>35</w:t>
                  </w:r>
                </w:p>
              </w:tc>
              <w:tc>
                <w:tcPr>
                  <w:tcW w:w="711" w:type="pct"/>
                  <w:vAlign w:val="center"/>
                </w:tcPr>
                <w:p>
                  <w:pPr>
                    <w:pStyle w:val="41"/>
                  </w:pPr>
                  <w:r>
                    <w:t>40</w:t>
                  </w:r>
                </w:p>
              </w:tc>
              <w:tc>
                <w:tcPr>
                  <w:tcW w:w="768" w:type="pct"/>
                  <w:vAlign w:val="center"/>
                </w:tcPr>
                <w:p>
                  <w:pPr>
                    <w:pStyle w:val="41"/>
                  </w:pPr>
                  <w:r>
                    <w:rPr>
                      <w:rFonts w:hint="eastAsia"/>
                    </w:rPr>
                    <w:t>8</w:t>
                  </w:r>
                  <w:r>
                    <w:t>7.5</w:t>
                  </w:r>
                </w:p>
              </w:tc>
              <w:tc>
                <w:tcPr>
                  <w:tcW w:w="698" w:type="pct"/>
                  <w:vAlign w:val="center"/>
                </w:tcPr>
                <w:p>
                  <w:pPr>
                    <w:pStyle w:val="41"/>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564" w:type="pct"/>
                  <w:vAlign w:val="center"/>
                </w:tcPr>
                <w:p>
                  <w:pPr>
                    <w:pStyle w:val="41"/>
                  </w:pPr>
                  <w:r>
                    <w:t>CO</w:t>
                  </w:r>
                </w:p>
              </w:tc>
              <w:tc>
                <w:tcPr>
                  <w:tcW w:w="1491" w:type="pct"/>
                  <w:vAlign w:val="center"/>
                </w:tcPr>
                <w:p>
                  <w:pPr>
                    <w:pStyle w:val="41"/>
                  </w:pPr>
                  <w:r>
                    <w:rPr>
                      <w:rFonts w:hint="eastAsia"/>
                    </w:rPr>
                    <w:t>第9</w:t>
                  </w:r>
                  <w:r>
                    <w:t>5百分位浓度</w:t>
                  </w:r>
                </w:p>
              </w:tc>
              <w:tc>
                <w:tcPr>
                  <w:tcW w:w="768" w:type="pct"/>
                  <w:vAlign w:val="center"/>
                </w:tcPr>
                <w:p>
                  <w:pPr>
                    <w:pStyle w:val="41"/>
                  </w:pPr>
                  <w:r>
                    <w:rPr>
                      <w:rFonts w:hint="eastAsia"/>
                      <w:szCs w:val="21"/>
                    </w:rPr>
                    <w:t>1</w:t>
                  </w:r>
                  <w:r>
                    <w:rPr>
                      <w:szCs w:val="21"/>
                    </w:rPr>
                    <w:t>6</w:t>
                  </w:r>
                  <w:r>
                    <w:rPr>
                      <w:rFonts w:hint="eastAsia"/>
                      <w:szCs w:val="21"/>
                    </w:rPr>
                    <w:t>00</w:t>
                  </w:r>
                </w:p>
              </w:tc>
              <w:tc>
                <w:tcPr>
                  <w:tcW w:w="711" w:type="pct"/>
                  <w:vAlign w:val="center"/>
                </w:tcPr>
                <w:p>
                  <w:pPr>
                    <w:pStyle w:val="41"/>
                  </w:pPr>
                  <w:r>
                    <w:t>4000</w:t>
                  </w:r>
                </w:p>
              </w:tc>
              <w:tc>
                <w:tcPr>
                  <w:tcW w:w="768" w:type="pct"/>
                  <w:vAlign w:val="center"/>
                </w:tcPr>
                <w:p>
                  <w:pPr>
                    <w:pStyle w:val="41"/>
                  </w:pPr>
                  <w:r>
                    <w:rPr>
                      <w:rFonts w:hint="eastAsia"/>
                    </w:rPr>
                    <w:t>4</w:t>
                  </w:r>
                  <w:r>
                    <w:t>0.0</w:t>
                  </w:r>
                </w:p>
              </w:tc>
              <w:tc>
                <w:tcPr>
                  <w:tcW w:w="698" w:type="pct"/>
                  <w:vAlign w:val="center"/>
                </w:tcPr>
                <w:p>
                  <w:pPr>
                    <w:pStyle w:val="41"/>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564" w:type="pct"/>
                  <w:vAlign w:val="center"/>
                </w:tcPr>
                <w:p>
                  <w:pPr>
                    <w:pStyle w:val="41"/>
                  </w:pPr>
                  <w:r>
                    <w:t>O</w:t>
                  </w:r>
                  <w:r>
                    <w:rPr>
                      <w:vertAlign w:val="subscript"/>
                    </w:rPr>
                    <w:t>3</w:t>
                  </w:r>
                </w:p>
              </w:tc>
              <w:tc>
                <w:tcPr>
                  <w:tcW w:w="1491" w:type="pct"/>
                  <w:vAlign w:val="center"/>
                </w:tcPr>
                <w:p>
                  <w:pPr>
                    <w:pStyle w:val="41"/>
                  </w:pPr>
                  <w:r>
                    <w:rPr>
                      <w:rFonts w:hint="eastAsia"/>
                    </w:rPr>
                    <w:t>第9</w:t>
                  </w:r>
                  <w:r>
                    <w:t>0百分位浓度</w:t>
                  </w:r>
                </w:p>
              </w:tc>
              <w:tc>
                <w:tcPr>
                  <w:tcW w:w="768" w:type="pct"/>
                  <w:vAlign w:val="center"/>
                </w:tcPr>
                <w:p>
                  <w:pPr>
                    <w:pStyle w:val="41"/>
                  </w:pPr>
                  <w:r>
                    <w:rPr>
                      <w:szCs w:val="21"/>
                    </w:rPr>
                    <w:t>142</w:t>
                  </w:r>
                </w:p>
              </w:tc>
              <w:tc>
                <w:tcPr>
                  <w:tcW w:w="711" w:type="pct"/>
                  <w:vAlign w:val="center"/>
                </w:tcPr>
                <w:p>
                  <w:pPr>
                    <w:pStyle w:val="41"/>
                  </w:pPr>
                  <w:r>
                    <w:t>160</w:t>
                  </w:r>
                </w:p>
              </w:tc>
              <w:tc>
                <w:tcPr>
                  <w:tcW w:w="768" w:type="pct"/>
                  <w:vAlign w:val="center"/>
                </w:tcPr>
                <w:p>
                  <w:pPr>
                    <w:pStyle w:val="41"/>
                  </w:pPr>
                  <w:r>
                    <w:rPr>
                      <w:rFonts w:hint="eastAsia"/>
                    </w:rPr>
                    <w:t>8</w:t>
                  </w:r>
                  <w:r>
                    <w:t>8.8</w:t>
                  </w:r>
                </w:p>
              </w:tc>
              <w:tc>
                <w:tcPr>
                  <w:tcW w:w="698" w:type="pct"/>
                  <w:vAlign w:val="center"/>
                </w:tcPr>
                <w:p>
                  <w:pPr>
                    <w:pStyle w:val="41"/>
                  </w:pPr>
                  <w:r>
                    <w:t>达标</w:t>
                  </w:r>
                </w:p>
              </w:tc>
            </w:tr>
          </w:tbl>
          <w:p>
            <w:pPr>
              <w:adjustRightInd w:val="0"/>
              <w:snapToGrid w:val="0"/>
              <w:spacing w:before="156"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根据上表可知，2022</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西安市蓝田县</w:t>
            </w:r>
            <w:r>
              <w:rPr>
                <w:rFonts w:hint="eastAsia" w:ascii="Times New Roman" w:hAnsi="Times New Roman" w:eastAsia="宋体"/>
                <w:sz w:val="24"/>
                <w:szCs w:val="24"/>
              </w:rPr>
              <w:t>环境空气基本污染物项目中</w:t>
            </w:r>
            <w:r>
              <w:rPr>
                <w:rFonts w:ascii="Times New Roman" w:hAnsi="Times New Roman" w:eastAsia="宋体" w:cs="Times New Roman"/>
                <w:sz w:val="24"/>
                <w:szCs w:val="24"/>
              </w:rPr>
              <w:t>，其中SO</w:t>
            </w:r>
            <w:r>
              <w:rPr>
                <w:rFonts w:ascii="Times New Roman" w:hAnsi="Times New Roman" w:eastAsia="宋体" w:cs="Times New Roman"/>
                <w:sz w:val="24"/>
                <w:szCs w:val="24"/>
                <w:vertAlign w:val="subscript"/>
              </w:rPr>
              <w:t>2</w:t>
            </w:r>
            <w:r>
              <w:rPr>
                <w:rFonts w:ascii="Times New Roman" w:hAnsi="Times New Roman" w:eastAsia="宋体" w:cs="Times New Roman"/>
                <w:sz w:val="24"/>
                <w:szCs w:val="24"/>
              </w:rPr>
              <w:t>、NO</w:t>
            </w:r>
            <w:r>
              <w:rPr>
                <w:rFonts w:ascii="Times New Roman" w:hAnsi="Times New Roman" w:eastAsia="宋体" w:cs="Times New Roman"/>
                <w:sz w:val="24"/>
                <w:szCs w:val="24"/>
                <w:vertAlign w:val="subscript"/>
              </w:rPr>
              <w:t>2</w:t>
            </w:r>
            <w:r>
              <w:rPr>
                <w:rFonts w:ascii="Times New Roman" w:hAnsi="Times New Roman" w:eastAsia="宋体" w:cs="Times New Roman"/>
                <w:sz w:val="24"/>
                <w:szCs w:val="24"/>
              </w:rPr>
              <w:t>年平均浓度值</w:t>
            </w:r>
            <w:r>
              <w:rPr>
                <w:rFonts w:hint="eastAsia" w:ascii="Times New Roman" w:hAnsi="Times New Roman" w:eastAsia="宋体" w:cs="Times New Roman"/>
                <w:sz w:val="24"/>
                <w:szCs w:val="24"/>
              </w:rPr>
              <w:t>、</w:t>
            </w:r>
            <w:r>
              <w:rPr>
                <w:rFonts w:ascii="Times New Roman" w:hAnsi="Times New Roman" w:eastAsia="宋体" w:cs="Times New Roman"/>
                <w:sz w:val="24"/>
                <w:szCs w:val="24"/>
              </w:rPr>
              <w:t>CO</w:t>
            </w:r>
            <w:r>
              <w:rPr>
                <w:rFonts w:hint="eastAsia" w:ascii="Times New Roman" w:hAnsi="Times New Roman" w:eastAsia="宋体"/>
                <w:sz w:val="24"/>
                <w:szCs w:val="24"/>
              </w:rPr>
              <w:t>第9</w:t>
            </w:r>
            <w:r>
              <w:rPr>
                <w:rFonts w:ascii="Times New Roman" w:hAnsi="Times New Roman" w:eastAsia="宋体"/>
                <w:sz w:val="24"/>
                <w:szCs w:val="24"/>
              </w:rPr>
              <w:t>5百分位浓度</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O</w:t>
            </w:r>
            <w:r>
              <w:rPr>
                <w:rFonts w:ascii="Times New Roman" w:hAnsi="Times New Roman" w:eastAsia="宋体" w:cs="Times New Roman"/>
                <w:sz w:val="24"/>
                <w:szCs w:val="24"/>
                <w:vertAlign w:val="subscript"/>
              </w:rPr>
              <w:t>3</w:t>
            </w:r>
            <w:r>
              <w:rPr>
                <w:rFonts w:hint="eastAsia" w:ascii="Times New Roman" w:hAnsi="Times New Roman" w:eastAsia="宋体"/>
                <w:sz w:val="24"/>
                <w:szCs w:val="24"/>
              </w:rPr>
              <w:t>第9</w:t>
            </w:r>
            <w:r>
              <w:rPr>
                <w:rFonts w:ascii="Times New Roman" w:hAnsi="Times New Roman" w:eastAsia="宋体"/>
                <w:sz w:val="24"/>
                <w:szCs w:val="24"/>
              </w:rPr>
              <w:t>0百分位浓度</w:t>
            </w:r>
            <w:r>
              <w:rPr>
                <w:rFonts w:ascii="Times New Roman" w:hAnsi="Times New Roman" w:eastAsia="宋体" w:cs="Times New Roman"/>
                <w:sz w:val="24"/>
                <w:szCs w:val="24"/>
              </w:rPr>
              <w:t>满足《环境空气质量标准》（GB3095-2012）中的二级标准要求；PM</w:t>
            </w:r>
            <w:r>
              <w:rPr>
                <w:rFonts w:ascii="Times New Roman" w:hAnsi="Times New Roman" w:eastAsia="宋体" w:cs="Times New Roman"/>
                <w:sz w:val="24"/>
                <w:szCs w:val="24"/>
                <w:vertAlign w:val="subscript"/>
              </w:rPr>
              <w:t>10</w:t>
            </w:r>
            <w:r>
              <w:rPr>
                <w:rFonts w:ascii="Times New Roman" w:hAnsi="Times New Roman" w:eastAsia="宋体" w:cs="Times New Roman"/>
                <w:sz w:val="24"/>
                <w:szCs w:val="24"/>
              </w:rPr>
              <w:t>、PM</w:t>
            </w:r>
            <w:r>
              <w:rPr>
                <w:rFonts w:ascii="Times New Roman" w:hAnsi="Times New Roman" w:eastAsia="宋体" w:cs="Times New Roman"/>
                <w:sz w:val="24"/>
                <w:szCs w:val="24"/>
                <w:vertAlign w:val="subscript"/>
              </w:rPr>
              <w:t>2.5</w:t>
            </w:r>
            <w:r>
              <w:rPr>
                <w:rFonts w:ascii="Times New Roman" w:hAnsi="Times New Roman" w:eastAsia="宋体" w:cs="Times New Roman"/>
                <w:sz w:val="24"/>
                <w:szCs w:val="24"/>
              </w:rPr>
              <w:t>年平均浓度值不满足《环境空气质量标</w:t>
            </w:r>
            <w:r>
              <w:rPr>
                <w:rFonts w:ascii="Times New Roman" w:hAnsi="Times New Roman" w:eastAsia="宋体" w:cs="Times New Roman"/>
                <w:sz w:val="24"/>
              </w:rPr>
              <w:t>准》（GB3095-2012）中的二级标准要求，本项目所在区域属于不达标区。</w:t>
            </w:r>
          </w:p>
          <w:p>
            <w:pPr>
              <w:adjustRightInd w:val="0"/>
              <w:snapToGrid w:val="0"/>
              <w:spacing w:line="360" w:lineRule="auto"/>
              <w:ind w:firstLine="480" w:firstLineChars="200"/>
              <w:rPr>
                <w:rFonts w:ascii="Times New Roman" w:hAnsi="Times New Roman" w:eastAsia="宋体" w:cs="Times New Roman"/>
                <w:bCs/>
                <w:sz w:val="24"/>
              </w:rPr>
            </w:pPr>
            <w:r>
              <w:rPr>
                <w:rFonts w:hint="eastAsia" w:ascii="Times New Roman" w:hAnsi="Times New Roman" w:eastAsia="宋体" w:cs="Times New Roman"/>
                <w:bCs/>
                <w:sz w:val="24"/>
              </w:rPr>
              <w:t>（2）特征污染物监测</w:t>
            </w:r>
          </w:p>
          <w:p>
            <w:pPr>
              <w:pStyle w:val="36"/>
              <w:ind w:firstLine="480"/>
              <w:rPr>
                <w:b w:val="0"/>
                <w:bCs/>
              </w:rPr>
            </w:pPr>
            <w:r>
              <w:rPr>
                <w:rFonts w:hint="eastAsia"/>
                <w:b w:val="0"/>
                <w:bCs/>
              </w:rPr>
              <w:t>本项目在运营过程中所产生的特征污染物为非甲烷总烃、二甲苯、T</w:t>
            </w:r>
            <w:r>
              <w:rPr>
                <w:b w:val="0"/>
                <w:bCs/>
              </w:rPr>
              <w:t>SP</w:t>
            </w:r>
            <w:r>
              <w:rPr>
                <w:rFonts w:hint="eastAsia"/>
                <w:b w:val="0"/>
                <w:bCs/>
              </w:rPr>
              <w:t>。</w:t>
            </w:r>
          </w:p>
          <w:p>
            <w:pPr>
              <w:pStyle w:val="36"/>
              <w:ind w:firstLine="480"/>
              <w:rPr>
                <w:b w:val="0"/>
                <w:bCs/>
              </w:rPr>
            </w:pPr>
            <w:r>
              <w:rPr>
                <w:rFonts w:hint="eastAsia"/>
                <w:b w:val="0"/>
                <w:bCs/>
              </w:rPr>
              <w:t>T</w:t>
            </w:r>
            <w:r>
              <w:rPr>
                <w:b w:val="0"/>
                <w:bCs/>
              </w:rPr>
              <w:t>SP</w:t>
            </w:r>
            <w:r>
              <w:rPr>
                <w:rFonts w:hint="eastAsia"/>
                <w:b w:val="0"/>
                <w:bCs/>
              </w:rPr>
              <w:t>、非甲烷总烃数据引用</w:t>
            </w:r>
            <w:r>
              <w:rPr>
                <w:rFonts w:cs="Times New Roman"/>
                <w:b w:val="0"/>
                <w:bCs/>
                <w:iCs/>
              </w:rPr>
              <w:t>陕西盾源检测技术有限公司</w:t>
            </w:r>
            <w:r>
              <w:rPr>
                <w:rFonts w:hint="eastAsia"/>
                <w:b w:val="0"/>
                <w:bCs/>
              </w:rPr>
              <w:t>出具的《</w:t>
            </w:r>
            <w:r>
              <w:rPr>
                <w:rFonts w:cs="Times New Roman"/>
                <w:b w:val="0"/>
                <w:bCs/>
              </w:rPr>
              <w:t>蓝田县祥达电子元器件加工制造项目</w:t>
            </w:r>
            <w:r>
              <w:rPr>
                <w:rFonts w:hint="eastAsia"/>
                <w:b w:val="0"/>
                <w:bCs/>
              </w:rPr>
              <w:t>环境质量现状监测报告》中相关数据，</w:t>
            </w:r>
            <w:r>
              <w:rPr>
                <w:b w:val="0"/>
                <w:bCs/>
              </w:rPr>
              <w:t>监测时间</w:t>
            </w:r>
            <w:r>
              <w:rPr>
                <w:rFonts w:cs="Times New Roman"/>
                <w:b w:val="0"/>
                <w:bCs/>
              </w:rPr>
              <w:t>2023年6</w:t>
            </w:r>
            <w:r>
              <w:rPr>
                <w:rFonts w:cs="Times New Roman"/>
                <w:b w:val="0"/>
                <w:bCs/>
                <w:iCs/>
              </w:rPr>
              <w:t>月10日～2023年6月12</w:t>
            </w:r>
            <w:r>
              <w:rPr>
                <w:rFonts w:cs="Times New Roman"/>
                <w:b w:val="0"/>
                <w:bCs/>
                <w:szCs w:val="20"/>
              </w:rPr>
              <w:t>日</w:t>
            </w:r>
            <w:r>
              <w:rPr>
                <w:b w:val="0"/>
                <w:bCs/>
              </w:rPr>
              <w:t>，</w:t>
            </w:r>
            <w:r>
              <w:rPr>
                <w:rFonts w:hint="eastAsia"/>
                <w:b w:val="0"/>
                <w:bCs/>
              </w:rPr>
              <w:t>监测点位于本项目西南侧</w:t>
            </w:r>
            <w:r>
              <w:rPr>
                <w:b w:val="0"/>
                <w:bCs/>
              </w:rPr>
              <w:t>595</w:t>
            </w:r>
            <w:r>
              <w:rPr>
                <w:rFonts w:hint="eastAsia"/>
                <w:b w:val="0"/>
                <w:bCs/>
              </w:rPr>
              <w:t>m。</w:t>
            </w:r>
          </w:p>
          <w:p>
            <w:pPr>
              <w:pStyle w:val="36"/>
              <w:ind w:firstLine="480"/>
              <w:rPr>
                <w:b w:val="0"/>
                <w:bCs/>
              </w:rPr>
            </w:pPr>
            <w:r>
              <w:rPr>
                <w:rFonts w:hint="eastAsia"/>
                <w:b w:val="0"/>
                <w:bCs/>
              </w:rPr>
              <w:t>二甲苯数据引用</w:t>
            </w:r>
            <w:r>
              <w:rPr>
                <w:b w:val="0"/>
                <w:bCs/>
                <w:szCs w:val="20"/>
              </w:rPr>
              <w:t>陕西林泉环境检测技术有限公司</w:t>
            </w:r>
            <w:r>
              <w:rPr>
                <w:rFonts w:hint="eastAsia"/>
                <w:b w:val="0"/>
                <w:bCs/>
              </w:rPr>
              <w:t>出具的《</w:t>
            </w:r>
            <w:r>
              <w:rPr>
                <w:b w:val="0"/>
                <w:bCs/>
                <w:snapToGrid w:val="0"/>
              </w:rPr>
              <w:t>陕西中威华盛建设工程有限公司年产9700吨钢结</w:t>
            </w:r>
            <w:r>
              <w:rPr>
                <w:rFonts w:hint="eastAsia"/>
                <w:b w:val="0"/>
                <w:bCs/>
                <w:snapToGrid w:val="0"/>
              </w:rPr>
              <w:t>构项目</w:t>
            </w:r>
            <w:r>
              <w:rPr>
                <w:rFonts w:hint="eastAsia"/>
                <w:b w:val="0"/>
                <w:bCs/>
              </w:rPr>
              <w:t>环境质量现状监测报告》中相关数据，</w:t>
            </w:r>
            <w:r>
              <w:rPr>
                <w:b w:val="0"/>
                <w:bCs/>
              </w:rPr>
              <w:t>监测时间</w:t>
            </w:r>
            <w:r>
              <w:rPr>
                <w:b w:val="0"/>
                <w:bCs/>
                <w:szCs w:val="20"/>
              </w:rPr>
              <w:t>20</w:t>
            </w:r>
            <w:r>
              <w:rPr>
                <w:rFonts w:hint="eastAsia"/>
                <w:b w:val="0"/>
                <w:bCs/>
                <w:szCs w:val="20"/>
              </w:rPr>
              <w:t>22</w:t>
            </w:r>
            <w:r>
              <w:rPr>
                <w:b w:val="0"/>
                <w:bCs/>
                <w:szCs w:val="20"/>
              </w:rPr>
              <w:t>年</w:t>
            </w:r>
            <w:r>
              <w:rPr>
                <w:rFonts w:hint="eastAsia"/>
                <w:b w:val="0"/>
                <w:bCs/>
                <w:szCs w:val="20"/>
              </w:rPr>
              <w:t>6</w:t>
            </w:r>
            <w:r>
              <w:rPr>
                <w:b w:val="0"/>
                <w:bCs/>
                <w:szCs w:val="20"/>
              </w:rPr>
              <w:t>月</w:t>
            </w:r>
            <w:r>
              <w:rPr>
                <w:rFonts w:hint="eastAsia"/>
                <w:b w:val="0"/>
                <w:bCs/>
                <w:szCs w:val="20"/>
              </w:rPr>
              <w:t>17</w:t>
            </w:r>
            <w:r>
              <w:rPr>
                <w:b w:val="0"/>
                <w:bCs/>
                <w:szCs w:val="20"/>
              </w:rPr>
              <w:t>日~20</w:t>
            </w:r>
            <w:r>
              <w:rPr>
                <w:rFonts w:hint="eastAsia"/>
                <w:b w:val="0"/>
                <w:bCs/>
                <w:szCs w:val="20"/>
              </w:rPr>
              <w:t>22</w:t>
            </w:r>
            <w:r>
              <w:rPr>
                <w:b w:val="0"/>
                <w:bCs/>
                <w:szCs w:val="20"/>
              </w:rPr>
              <w:t>年</w:t>
            </w:r>
            <w:r>
              <w:rPr>
                <w:rFonts w:hint="eastAsia"/>
                <w:b w:val="0"/>
                <w:bCs/>
                <w:szCs w:val="20"/>
              </w:rPr>
              <w:t>6</w:t>
            </w:r>
            <w:r>
              <w:rPr>
                <w:b w:val="0"/>
                <w:bCs/>
                <w:szCs w:val="20"/>
              </w:rPr>
              <w:t>月</w:t>
            </w:r>
            <w:r>
              <w:rPr>
                <w:rFonts w:hint="eastAsia"/>
                <w:b w:val="0"/>
                <w:bCs/>
                <w:szCs w:val="20"/>
              </w:rPr>
              <w:t>19</w:t>
            </w:r>
            <w:r>
              <w:rPr>
                <w:b w:val="0"/>
                <w:bCs/>
                <w:szCs w:val="20"/>
              </w:rPr>
              <w:t>日</w:t>
            </w:r>
            <w:r>
              <w:rPr>
                <w:b w:val="0"/>
                <w:bCs/>
              </w:rPr>
              <w:t>，</w:t>
            </w:r>
            <w:r>
              <w:rPr>
                <w:rFonts w:hint="eastAsia"/>
                <w:b w:val="0"/>
                <w:bCs/>
              </w:rPr>
              <w:t>监测点位于本项目东南侧</w:t>
            </w:r>
            <w:r>
              <w:rPr>
                <w:b w:val="0"/>
                <w:bCs/>
              </w:rPr>
              <w:t>941</w:t>
            </w:r>
            <w:r>
              <w:rPr>
                <w:rFonts w:hint="eastAsia"/>
                <w:b w:val="0"/>
                <w:bCs/>
              </w:rPr>
              <w:t>m。</w:t>
            </w:r>
          </w:p>
          <w:p>
            <w:pPr>
              <w:pStyle w:val="36"/>
              <w:ind w:firstLine="480"/>
            </w:pPr>
            <w:r>
              <w:rPr>
                <w:rFonts w:hint="eastAsia"/>
                <w:b w:val="0"/>
                <w:bCs/>
              </w:rPr>
              <w:t>监测数据符合《建设项目环境影响报告表编制技术指南（污染影响类）（试行）》中“引用建设项目周边5千米范围内近3年的现有监测数据”，因此监测数据引用有效，引用监测点质量现状见表3-</w:t>
            </w:r>
            <w:r>
              <w:rPr>
                <w:b w:val="0"/>
                <w:bCs/>
              </w:rPr>
              <w:t>2</w:t>
            </w:r>
            <w:r>
              <w:rPr>
                <w:rFonts w:hint="eastAsia"/>
              </w:rPr>
              <w:t>。</w:t>
            </w:r>
          </w:p>
          <w:p>
            <w:pPr>
              <w:pStyle w:val="84"/>
              <w:rPr>
                <w:sz w:val="22"/>
                <w:szCs w:val="22"/>
              </w:rPr>
            </w:pPr>
            <w:r>
              <w:t xml:space="preserve">表3-2 </w:t>
            </w:r>
            <w:r>
              <w:rPr>
                <w:rFonts w:hint="eastAsia"/>
              </w:rPr>
              <w:t xml:space="preserve"> </w:t>
            </w:r>
            <w:r>
              <w:t>其他污染物环境质量现状表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1309"/>
              <w:gridCol w:w="1205"/>
              <w:gridCol w:w="578"/>
              <w:gridCol w:w="1165"/>
              <w:gridCol w:w="1165"/>
              <w:gridCol w:w="696"/>
              <w:gridCol w:w="484"/>
              <w:gridCol w:w="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76" w:type="pct"/>
                  <w:vMerge w:val="restart"/>
                  <w:vAlign w:val="center"/>
                </w:tcPr>
                <w:p>
                  <w:pPr>
                    <w:adjustRightInd w:val="0"/>
                    <w:snapToGrid w:val="0"/>
                    <w:jc w:val="center"/>
                    <w:textAlignment w:val="baseline"/>
                    <w:rPr>
                      <w:rFonts w:ascii="Times New Roman" w:hAnsi="Times New Roman" w:eastAsia="宋体" w:cs="Times New Roman"/>
                      <w:b/>
                      <w:sz w:val="18"/>
                      <w:szCs w:val="18"/>
                    </w:rPr>
                  </w:pPr>
                  <w:r>
                    <w:rPr>
                      <w:rFonts w:hint="eastAsia" w:ascii="Times New Roman" w:hAnsi="Times New Roman" w:eastAsia="宋体" w:cs="Times New Roman"/>
                      <w:b/>
                      <w:sz w:val="18"/>
                      <w:szCs w:val="18"/>
                    </w:rPr>
                    <w:t>引用</w:t>
                  </w:r>
                  <w:r>
                    <w:rPr>
                      <w:rFonts w:ascii="Times New Roman" w:hAnsi="Times New Roman" w:eastAsia="宋体" w:cs="Times New Roman"/>
                      <w:b/>
                      <w:sz w:val="18"/>
                      <w:szCs w:val="18"/>
                    </w:rPr>
                    <w:t>监测点位</w:t>
                  </w:r>
                </w:p>
              </w:tc>
              <w:tc>
                <w:tcPr>
                  <w:tcW w:w="1510" w:type="pct"/>
                  <w:gridSpan w:val="2"/>
                  <w:vAlign w:val="center"/>
                </w:tcPr>
                <w:p>
                  <w:pPr>
                    <w:adjustRightInd w:val="0"/>
                    <w:snapToGrid w:val="0"/>
                    <w:jc w:val="center"/>
                    <w:textAlignment w:val="baseline"/>
                    <w:rPr>
                      <w:rFonts w:ascii="Times New Roman" w:hAnsi="Times New Roman" w:eastAsia="宋体" w:cs="Times New Roman"/>
                      <w:b/>
                      <w:sz w:val="18"/>
                      <w:szCs w:val="18"/>
                    </w:rPr>
                  </w:pPr>
                  <w:r>
                    <w:rPr>
                      <w:rFonts w:ascii="Times New Roman" w:hAnsi="Times New Roman" w:eastAsia="宋体" w:cs="Times New Roman"/>
                      <w:b/>
                      <w:sz w:val="18"/>
                      <w:szCs w:val="18"/>
                    </w:rPr>
                    <w:t>监测点坐标</w:t>
                  </w:r>
                </w:p>
              </w:tc>
              <w:tc>
                <w:tcPr>
                  <w:tcW w:w="347" w:type="pct"/>
                  <w:vMerge w:val="restart"/>
                  <w:vAlign w:val="center"/>
                </w:tcPr>
                <w:p>
                  <w:pPr>
                    <w:adjustRightInd w:val="0"/>
                    <w:snapToGrid w:val="0"/>
                    <w:jc w:val="center"/>
                    <w:textAlignment w:val="baseline"/>
                    <w:rPr>
                      <w:rFonts w:ascii="Times New Roman" w:hAnsi="Times New Roman" w:eastAsia="宋体" w:cs="Times New Roman"/>
                      <w:b/>
                      <w:sz w:val="18"/>
                      <w:szCs w:val="18"/>
                    </w:rPr>
                  </w:pPr>
                  <w:r>
                    <w:rPr>
                      <w:rFonts w:ascii="Times New Roman" w:hAnsi="Times New Roman" w:eastAsia="宋体" w:cs="Times New Roman"/>
                      <w:b/>
                      <w:sz w:val="18"/>
                      <w:szCs w:val="18"/>
                    </w:rPr>
                    <w:t>污染物</w:t>
                  </w:r>
                </w:p>
              </w:tc>
              <w:tc>
                <w:tcPr>
                  <w:tcW w:w="700" w:type="pct"/>
                  <w:vMerge w:val="restart"/>
                  <w:vAlign w:val="center"/>
                </w:tcPr>
                <w:p>
                  <w:pPr>
                    <w:adjustRightInd w:val="0"/>
                    <w:snapToGrid w:val="0"/>
                    <w:jc w:val="center"/>
                    <w:textAlignment w:val="baseline"/>
                    <w:rPr>
                      <w:rFonts w:ascii="Times New Roman" w:hAnsi="Times New Roman" w:eastAsia="宋体" w:cs="Times New Roman"/>
                      <w:b/>
                      <w:sz w:val="18"/>
                      <w:szCs w:val="18"/>
                    </w:rPr>
                  </w:pPr>
                  <w:r>
                    <w:rPr>
                      <w:rFonts w:ascii="Times New Roman" w:hAnsi="Times New Roman" w:eastAsia="宋体" w:cs="Times New Roman"/>
                      <w:b/>
                      <w:sz w:val="18"/>
                      <w:szCs w:val="18"/>
                    </w:rPr>
                    <w:t>评价标准/（μg</w:t>
                  </w:r>
                  <w:r>
                    <w:rPr>
                      <w:rFonts w:ascii="Times New Roman" w:hAnsi="Times New Roman" w:eastAsia="宋体" w:cs="Times New Roman"/>
                      <w:b/>
                      <w:kern w:val="24"/>
                      <w:sz w:val="18"/>
                      <w:szCs w:val="18"/>
                    </w:rPr>
                    <w:t>/m</w:t>
                  </w:r>
                  <w:r>
                    <w:rPr>
                      <w:rFonts w:ascii="Times New Roman" w:hAnsi="Times New Roman" w:eastAsia="宋体" w:cs="Times New Roman"/>
                      <w:b/>
                      <w:kern w:val="24"/>
                      <w:sz w:val="18"/>
                      <w:szCs w:val="18"/>
                      <w:vertAlign w:val="superscript"/>
                    </w:rPr>
                    <w:t>3</w:t>
                  </w:r>
                  <w:r>
                    <w:rPr>
                      <w:rFonts w:ascii="Times New Roman" w:hAnsi="Times New Roman" w:eastAsia="宋体" w:cs="Times New Roman"/>
                      <w:b/>
                      <w:sz w:val="18"/>
                      <w:szCs w:val="18"/>
                    </w:rPr>
                    <w:t>）</w:t>
                  </w:r>
                </w:p>
              </w:tc>
              <w:tc>
                <w:tcPr>
                  <w:tcW w:w="700" w:type="pct"/>
                  <w:vMerge w:val="restart"/>
                  <w:vAlign w:val="center"/>
                </w:tcPr>
                <w:p>
                  <w:pPr>
                    <w:adjustRightInd w:val="0"/>
                    <w:snapToGrid w:val="0"/>
                    <w:jc w:val="center"/>
                    <w:textAlignment w:val="baseline"/>
                    <w:rPr>
                      <w:rFonts w:ascii="Times New Roman" w:hAnsi="Times New Roman" w:eastAsia="宋体" w:cs="Times New Roman"/>
                      <w:b/>
                      <w:sz w:val="18"/>
                      <w:szCs w:val="18"/>
                    </w:rPr>
                  </w:pPr>
                  <w:r>
                    <w:rPr>
                      <w:rFonts w:ascii="Times New Roman" w:hAnsi="Times New Roman" w:eastAsia="宋体" w:cs="Times New Roman"/>
                      <w:b/>
                      <w:sz w:val="18"/>
                      <w:szCs w:val="18"/>
                    </w:rPr>
                    <w:t>监测浓度范围/（μg</w:t>
                  </w:r>
                  <w:r>
                    <w:rPr>
                      <w:rFonts w:ascii="Times New Roman" w:hAnsi="Times New Roman" w:eastAsia="宋体" w:cs="Times New Roman"/>
                      <w:b/>
                      <w:kern w:val="24"/>
                      <w:sz w:val="18"/>
                      <w:szCs w:val="18"/>
                    </w:rPr>
                    <w:t>/m</w:t>
                  </w:r>
                  <w:r>
                    <w:rPr>
                      <w:rFonts w:ascii="Times New Roman" w:hAnsi="Times New Roman" w:eastAsia="宋体" w:cs="Times New Roman"/>
                      <w:b/>
                      <w:kern w:val="24"/>
                      <w:sz w:val="18"/>
                      <w:szCs w:val="18"/>
                      <w:vertAlign w:val="superscript"/>
                    </w:rPr>
                    <w:t>3</w:t>
                  </w:r>
                  <w:r>
                    <w:rPr>
                      <w:rFonts w:ascii="Times New Roman" w:hAnsi="Times New Roman" w:eastAsia="宋体" w:cs="Times New Roman"/>
                      <w:b/>
                      <w:sz w:val="18"/>
                      <w:szCs w:val="18"/>
                    </w:rPr>
                    <w:t>）</w:t>
                  </w:r>
                </w:p>
              </w:tc>
              <w:tc>
                <w:tcPr>
                  <w:tcW w:w="418" w:type="pct"/>
                  <w:vMerge w:val="restart"/>
                  <w:vAlign w:val="center"/>
                </w:tcPr>
                <w:p>
                  <w:pPr>
                    <w:adjustRightInd w:val="0"/>
                    <w:snapToGrid w:val="0"/>
                    <w:jc w:val="center"/>
                    <w:textAlignment w:val="baseline"/>
                    <w:rPr>
                      <w:rFonts w:ascii="Times New Roman" w:hAnsi="Times New Roman" w:eastAsia="宋体" w:cs="Times New Roman"/>
                      <w:b/>
                      <w:sz w:val="18"/>
                      <w:szCs w:val="18"/>
                    </w:rPr>
                  </w:pPr>
                  <w:r>
                    <w:rPr>
                      <w:rFonts w:ascii="Times New Roman" w:hAnsi="Times New Roman" w:eastAsia="宋体" w:cs="Times New Roman"/>
                      <w:b/>
                      <w:sz w:val="18"/>
                      <w:szCs w:val="18"/>
                    </w:rPr>
                    <w:t>最大浓度占标率/%</w:t>
                  </w:r>
                </w:p>
              </w:tc>
              <w:tc>
                <w:tcPr>
                  <w:tcW w:w="291" w:type="pct"/>
                  <w:vMerge w:val="restart"/>
                  <w:vAlign w:val="center"/>
                </w:tcPr>
                <w:p>
                  <w:pPr>
                    <w:adjustRightInd w:val="0"/>
                    <w:snapToGrid w:val="0"/>
                    <w:jc w:val="center"/>
                    <w:textAlignment w:val="baseline"/>
                    <w:rPr>
                      <w:rFonts w:ascii="Times New Roman" w:hAnsi="Times New Roman" w:eastAsia="宋体" w:cs="Times New Roman"/>
                      <w:b/>
                      <w:sz w:val="18"/>
                      <w:szCs w:val="18"/>
                    </w:rPr>
                  </w:pPr>
                  <w:r>
                    <w:rPr>
                      <w:rFonts w:ascii="Times New Roman" w:hAnsi="Times New Roman" w:eastAsia="宋体" w:cs="Times New Roman"/>
                      <w:b/>
                      <w:sz w:val="18"/>
                      <w:szCs w:val="18"/>
                    </w:rPr>
                    <w:t>超标率/%</w:t>
                  </w:r>
                </w:p>
              </w:tc>
              <w:tc>
                <w:tcPr>
                  <w:tcW w:w="257" w:type="pct"/>
                  <w:vMerge w:val="restart"/>
                  <w:vAlign w:val="center"/>
                </w:tcPr>
                <w:p>
                  <w:pPr>
                    <w:adjustRightInd w:val="0"/>
                    <w:snapToGrid w:val="0"/>
                    <w:jc w:val="center"/>
                    <w:textAlignment w:val="baseline"/>
                    <w:rPr>
                      <w:rFonts w:ascii="Times New Roman" w:hAnsi="Times New Roman" w:eastAsia="宋体" w:cs="Times New Roman"/>
                      <w:b/>
                      <w:sz w:val="18"/>
                      <w:szCs w:val="18"/>
                    </w:rPr>
                  </w:pPr>
                  <w:r>
                    <w:rPr>
                      <w:rFonts w:ascii="Times New Roman" w:hAnsi="Times New Roman" w:eastAsia="宋体" w:cs="Times New Roman"/>
                      <w:b/>
                      <w:sz w:val="18"/>
                      <w:szCs w:val="18"/>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76" w:type="pct"/>
                  <w:vMerge w:val="continue"/>
                  <w:vAlign w:val="center"/>
                </w:tcPr>
                <w:p>
                  <w:pPr>
                    <w:adjustRightInd w:val="0"/>
                    <w:snapToGrid w:val="0"/>
                    <w:jc w:val="center"/>
                    <w:textAlignment w:val="baseline"/>
                    <w:rPr>
                      <w:rFonts w:ascii="Times New Roman" w:hAnsi="Times New Roman" w:eastAsia="宋体" w:cs="Times New Roman"/>
                      <w:sz w:val="18"/>
                      <w:szCs w:val="18"/>
                    </w:rPr>
                  </w:pPr>
                </w:p>
              </w:tc>
              <w:tc>
                <w:tcPr>
                  <w:tcW w:w="786" w:type="pct"/>
                  <w:vAlign w:val="center"/>
                </w:tcPr>
                <w:p>
                  <w:pPr>
                    <w:adjustRightInd w:val="0"/>
                    <w:snapToGrid w:val="0"/>
                    <w:jc w:val="center"/>
                    <w:textAlignment w:val="baseline"/>
                    <w:rPr>
                      <w:rFonts w:ascii="Times New Roman" w:hAnsi="Times New Roman" w:eastAsia="宋体" w:cs="Times New Roman"/>
                      <w:b/>
                      <w:sz w:val="18"/>
                      <w:szCs w:val="18"/>
                    </w:rPr>
                  </w:pPr>
                  <w:r>
                    <w:rPr>
                      <w:rFonts w:hint="eastAsia" w:ascii="Times New Roman" w:hAnsi="Times New Roman" w:eastAsia="宋体" w:cs="Times New Roman"/>
                      <w:b/>
                      <w:sz w:val="18"/>
                      <w:szCs w:val="18"/>
                    </w:rPr>
                    <w:t>经度</w:t>
                  </w:r>
                </w:p>
              </w:tc>
              <w:tc>
                <w:tcPr>
                  <w:tcW w:w="724" w:type="pct"/>
                  <w:vAlign w:val="center"/>
                </w:tcPr>
                <w:p>
                  <w:pPr>
                    <w:adjustRightInd w:val="0"/>
                    <w:snapToGrid w:val="0"/>
                    <w:jc w:val="center"/>
                    <w:textAlignment w:val="baseline"/>
                    <w:rPr>
                      <w:rFonts w:ascii="Times New Roman" w:hAnsi="Times New Roman" w:eastAsia="宋体" w:cs="Times New Roman"/>
                      <w:b/>
                      <w:sz w:val="18"/>
                      <w:szCs w:val="18"/>
                    </w:rPr>
                  </w:pPr>
                  <w:r>
                    <w:rPr>
                      <w:rFonts w:hint="eastAsia" w:ascii="Times New Roman" w:hAnsi="Times New Roman" w:eastAsia="宋体" w:cs="Times New Roman"/>
                      <w:b/>
                      <w:sz w:val="18"/>
                      <w:szCs w:val="18"/>
                    </w:rPr>
                    <w:t>纬度</w:t>
                  </w:r>
                </w:p>
              </w:tc>
              <w:tc>
                <w:tcPr>
                  <w:tcW w:w="347" w:type="pct"/>
                  <w:vMerge w:val="continue"/>
                  <w:vAlign w:val="center"/>
                </w:tcPr>
                <w:p>
                  <w:pPr>
                    <w:adjustRightInd w:val="0"/>
                    <w:snapToGrid w:val="0"/>
                    <w:jc w:val="center"/>
                    <w:textAlignment w:val="baseline"/>
                    <w:rPr>
                      <w:rFonts w:ascii="Times New Roman" w:hAnsi="Times New Roman" w:eastAsia="宋体" w:cs="Times New Roman"/>
                      <w:sz w:val="18"/>
                      <w:szCs w:val="18"/>
                    </w:rPr>
                  </w:pPr>
                </w:p>
              </w:tc>
              <w:tc>
                <w:tcPr>
                  <w:tcW w:w="700" w:type="pct"/>
                  <w:vMerge w:val="continue"/>
                  <w:vAlign w:val="center"/>
                </w:tcPr>
                <w:p>
                  <w:pPr>
                    <w:adjustRightInd w:val="0"/>
                    <w:snapToGrid w:val="0"/>
                    <w:jc w:val="center"/>
                    <w:textAlignment w:val="baseline"/>
                    <w:rPr>
                      <w:rFonts w:ascii="Times New Roman" w:hAnsi="Times New Roman" w:eastAsia="宋体" w:cs="Times New Roman"/>
                      <w:sz w:val="18"/>
                      <w:szCs w:val="18"/>
                    </w:rPr>
                  </w:pPr>
                </w:p>
              </w:tc>
              <w:tc>
                <w:tcPr>
                  <w:tcW w:w="700" w:type="pct"/>
                  <w:vMerge w:val="continue"/>
                  <w:vAlign w:val="center"/>
                </w:tcPr>
                <w:p>
                  <w:pPr>
                    <w:adjustRightInd w:val="0"/>
                    <w:snapToGrid w:val="0"/>
                    <w:jc w:val="center"/>
                    <w:textAlignment w:val="baseline"/>
                    <w:rPr>
                      <w:rFonts w:ascii="Times New Roman" w:hAnsi="Times New Roman" w:eastAsia="宋体" w:cs="Times New Roman"/>
                      <w:sz w:val="18"/>
                      <w:szCs w:val="18"/>
                    </w:rPr>
                  </w:pPr>
                </w:p>
              </w:tc>
              <w:tc>
                <w:tcPr>
                  <w:tcW w:w="418" w:type="pct"/>
                  <w:vMerge w:val="continue"/>
                  <w:vAlign w:val="center"/>
                </w:tcPr>
                <w:p>
                  <w:pPr>
                    <w:adjustRightInd w:val="0"/>
                    <w:snapToGrid w:val="0"/>
                    <w:jc w:val="center"/>
                    <w:textAlignment w:val="baseline"/>
                    <w:rPr>
                      <w:rFonts w:ascii="Times New Roman" w:hAnsi="Times New Roman" w:eastAsia="宋体" w:cs="Times New Roman"/>
                      <w:sz w:val="18"/>
                      <w:szCs w:val="18"/>
                    </w:rPr>
                  </w:pPr>
                </w:p>
              </w:tc>
              <w:tc>
                <w:tcPr>
                  <w:tcW w:w="291" w:type="pct"/>
                  <w:vMerge w:val="continue"/>
                  <w:vAlign w:val="center"/>
                </w:tcPr>
                <w:p>
                  <w:pPr>
                    <w:adjustRightInd w:val="0"/>
                    <w:snapToGrid w:val="0"/>
                    <w:jc w:val="center"/>
                    <w:textAlignment w:val="baseline"/>
                    <w:rPr>
                      <w:rFonts w:ascii="Times New Roman" w:hAnsi="Times New Roman" w:eastAsia="宋体" w:cs="Times New Roman"/>
                      <w:sz w:val="18"/>
                      <w:szCs w:val="18"/>
                    </w:rPr>
                  </w:pPr>
                </w:p>
              </w:tc>
              <w:tc>
                <w:tcPr>
                  <w:tcW w:w="257" w:type="pct"/>
                  <w:vMerge w:val="continue"/>
                  <w:vAlign w:val="center"/>
                </w:tcPr>
                <w:p>
                  <w:pPr>
                    <w:adjustRightInd w:val="0"/>
                    <w:snapToGrid w:val="0"/>
                    <w:jc w:val="center"/>
                    <w:textAlignment w:val="baseline"/>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76" w:type="pct"/>
                  <w:vMerge w:val="restart"/>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sz w:val="18"/>
                      <w:szCs w:val="18"/>
                    </w:rPr>
                    <w:t>蓝田县祥达电子元器件加工制造项目</w:t>
                  </w:r>
                  <w:r>
                    <w:rPr>
                      <w:rFonts w:hint="eastAsia" w:ascii="Times New Roman" w:hAnsi="Times New Roman" w:eastAsia="宋体" w:cs="Times New Roman"/>
                      <w:sz w:val="18"/>
                      <w:szCs w:val="18"/>
                    </w:rPr>
                    <w:t>（宋庙小学）</w:t>
                  </w:r>
                </w:p>
              </w:tc>
              <w:tc>
                <w:tcPr>
                  <w:tcW w:w="786" w:type="pct"/>
                  <w:vAlign w:val="center"/>
                </w:tcPr>
                <w:p>
                  <w:pPr>
                    <w:pStyle w:val="20"/>
                    <w:widowControl/>
                    <w:adjustRightInd w:val="0"/>
                    <w:snapToGrid w:val="0"/>
                    <w:spacing w:beforeAutospacing="0" w:afterAutospacing="0"/>
                    <w:jc w:val="center"/>
                    <w:rPr>
                      <w:rFonts w:ascii="Times New Roman" w:hAnsi="Times New Roman" w:eastAsia="宋体"/>
                      <w:kern w:val="2"/>
                      <w:sz w:val="18"/>
                      <w:szCs w:val="18"/>
                    </w:rPr>
                  </w:pPr>
                  <w:r>
                    <w:rPr>
                      <w:rFonts w:ascii="Times New Roman" w:hAnsi="Times New Roman" w:eastAsia="宋体"/>
                      <w:kern w:val="2"/>
                      <w:sz w:val="18"/>
                      <w:szCs w:val="18"/>
                    </w:rPr>
                    <w:t>109.259290</w:t>
                  </w:r>
                  <w:r>
                    <w:rPr>
                      <w:rFonts w:ascii="Times New Roman" w:hAnsi="Times New Roman" w:eastAsia="宋体"/>
                      <w:sz w:val="18"/>
                      <w:szCs w:val="18"/>
                    </w:rPr>
                    <w:t>°</w:t>
                  </w:r>
                </w:p>
              </w:tc>
              <w:tc>
                <w:tcPr>
                  <w:tcW w:w="724" w:type="pct"/>
                  <w:vAlign w:val="center"/>
                </w:tcPr>
                <w:p>
                  <w:pPr>
                    <w:pStyle w:val="20"/>
                    <w:widowControl/>
                    <w:adjustRightInd w:val="0"/>
                    <w:snapToGrid w:val="0"/>
                    <w:spacing w:beforeAutospacing="0" w:afterAutospacing="0"/>
                    <w:jc w:val="center"/>
                    <w:rPr>
                      <w:rFonts w:ascii="Times New Roman" w:hAnsi="Times New Roman" w:eastAsia="宋体"/>
                      <w:kern w:val="2"/>
                      <w:sz w:val="18"/>
                      <w:szCs w:val="18"/>
                    </w:rPr>
                  </w:pPr>
                  <w:r>
                    <w:rPr>
                      <w:rFonts w:ascii="Times New Roman" w:hAnsi="Times New Roman" w:eastAsia="宋体"/>
                      <w:kern w:val="2"/>
                      <w:sz w:val="18"/>
                      <w:szCs w:val="18"/>
                    </w:rPr>
                    <w:t>34.198261</w:t>
                  </w:r>
                  <w:r>
                    <w:rPr>
                      <w:rFonts w:ascii="Times New Roman" w:hAnsi="Times New Roman" w:eastAsia="宋体"/>
                      <w:sz w:val="18"/>
                      <w:szCs w:val="18"/>
                    </w:rPr>
                    <w:t>°</w:t>
                  </w:r>
                </w:p>
              </w:tc>
              <w:tc>
                <w:tcPr>
                  <w:tcW w:w="347" w:type="pct"/>
                  <w:vAlign w:val="center"/>
                </w:tcPr>
                <w:p>
                  <w:pPr>
                    <w:adjustRightInd w:val="0"/>
                    <w:snapToGrid w:val="0"/>
                    <w:jc w:val="center"/>
                    <w:textAlignment w:val="baseline"/>
                    <w:rPr>
                      <w:rFonts w:ascii="Times New Roman" w:hAnsi="Times New Roman" w:eastAsia="宋体" w:cs="Times New Roman"/>
                      <w:sz w:val="18"/>
                      <w:szCs w:val="18"/>
                    </w:rPr>
                  </w:pPr>
                  <w:r>
                    <w:rPr>
                      <w:rFonts w:hint="eastAsia" w:ascii="Times New Roman" w:hAnsi="Times New Roman" w:eastAsia="宋体" w:cs="Times New Roman"/>
                      <w:sz w:val="18"/>
                      <w:szCs w:val="18"/>
                    </w:rPr>
                    <w:t>T</w:t>
                  </w:r>
                  <w:r>
                    <w:rPr>
                      <w:rFonts w:ascii="Times New Roman" w:hAnsi="Times New Roman" w:eastAsia="宋体" w:cs="Times New Roman"/>
                      <w:sz w:val="18"/>
                      <w:szCs w:val="18"/>
                    </w:rPr>
                    <w:t>SP</w:t>
                  </w:r>
                </w:p>
              </w:tc>
              <w:tc>
                <w:tcPr>
                  <w:tcW w:w="700" w:type="pct"/>
                  <w:vAlign w:val="center"/>
                </w:tcPr>
                <w:p>
                  <w:pPr>
                    <w:adjustRightInd w:val="0"/>
                    <w:snapToGrid w:val="0"/>
                    <w:jc w:val="center"/>
                    <w:textAlignment w:val="baseline"/>
                    <w:rPr>
                      <w:rFonts w:ascii="Times New Roman" w:hAnsi="Times New Roman" w:eastAsia="宋体" w:cs="Times New Roman"/>
                      <w:sz w:val="18"/>
                      <w:szCs w:val="18"/>
                    </w:rPr>
                  </w:pPr>
                  <w:r>
                    <w:rPr>
                      <w:rFonts w:hint="eastAsia" w:ascii="Times New Roman" w:hAnsi="Times New Roman" w:eastAsia="宋体" w:cs="Times New Roman"/>
                      <w:sz w:val="18"/>
                      <w:szCs w:val="18"/>
                    </w:rPr>
                    <w:t>3</w:t>
                  </w:r>
                  <w:r>
                    <w:rPr>
                      <w:rFonts w:ascii="Times New Roman" w:hAnsi="Times New Roman" w:eastAsia="宋体" w:cs="Times New Roman"/>
                      <w:sz w:val="18"/>
                      <w:szCs w:val="18"/>
                    </w:rPr>
                    <w:t>00</w:t>
                  </w:r>
                </w:p>
              </w:tc>
              <w:tc>
                <w:tcPr>
                  <w:tcW w:w="700" w:type="pct"/>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sz w:val="18"/>
                      <w:szCs w:val="18"/>
                    </w:rPr>
                    <w:t>80~136</w:t>
                  </w:r>
                </w:p>
              </w:tc>
              <w:tc>
                <w:tcPr>
                  <w:tcW w:w="418" w:type="pct"/>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sz w:val="18"/>
                      <w:szCs w:val="18"/>
                    </w:rPr>
                    <w:t>45.3</w:t>
                  </w:r>
                </w:p>
              </w:tc>
              <w:tc>
                <w:tcPr>
                  <w:tcW w:w="291" w:type="pct"/>
                  <w:vAlign w:val="center"/>
                </w:tcPr>
                <w:p>
                  <w:pPr>
                    <w:adjustRightInd w:val="0"/>
                    <w:snapToGrid w:val="0"/>
                    <w:jc w:val="center"/>
                    <w:textAlignment w:val="baseline"/>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257" w:type="pct"/>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76" w:type="pct"/>
                  <w:vMerge w:val="continue"/>
                  <w:vAlign w:val="center"/>
                </w:tcPr>
                <w:p>
                  <w:pPr>
                    <w:adjustRightInd w:val="0"/>
                    <w:snapToGrid w:val="0"/>
                    <w:jc w:val="center"/>
                    <w:textAlignment w:val="baseline"/>
                    <w:rPr>
                      <w:rFonts w:ascii="Times New Roman" w:hAnsi="Times New Roman" w:eastAsia="宋体" w:cs="Times New Roman"/>
                      <w:sz w:val="18"/>
                      <w:szCs w:val="18"/>
                    </w:rPr>
                  </w:pPr>
                </w:p>
              </w:tc>
              <w:tc>
                <w:tcPr>
                  <w:tcW w:w="786" w:type="pct"/>
                  <w:vAlign w:val="center"/>
                </w:tcPr>
                <w:p>
                  <w:pPr>
                    <w:pStyle w:val="20"/>
                    <w:widowControl/>
                    <w:adjustRightInd w:val="0"/>
                    <w:snapToGrid w:val="0"/>
                    <w:spacing w:beforeAutospacing="0" w:afterAutospacing="0"/>
                    <w:jc w:val="center"/>
                    <w:rPr>
                      <w:rFonts w:ascii="Times New Roman" w:hAnsi="Times New Roman" w:eastAsia="宋体"/>
                      <w:kern w:val="2"/>
                      <w:sz w:val="18"/>
                      <w:szCs w:val="18"/>
                    </w:rPr>
                  </w:pPr>
                  <w:r>
                    <w:rPr>
                      <w:rFonts w:ascii="Times New Roman" w:hAnsi="Times New Roman" w:eastAsia="宋体"/>
                      <w:kern w:val="2"/>
                      <w:sz w:val="18"/>
                      <w:szCs w:val="18"/>
                    </w:rPr>
                    <w:t>109.259290</w:t>
                  </w:r>
                  <w:r>
                    <w:rPr>
                      <w:rFonts w:ascii="Times New Roman" w:hAnsi="Times New Roman" w:eastAsia="宋体"/>
                      <w:sz w:val="18"/>
                      <w:szCs w:val="18"/>
                    </w:rPr>
                    <w:t>°</w:t>
                  </w:r>
                </w:p>
              </w:tc>
              <w:tc>
                <w:tcPr>
                  <w:tcW w:w="724" w:type="pct"/>
                  <w:vAlign w:val="center"/>
                </w:tcPr>
                <w:p>
                  <w:pPr>
                    <w:pStyle w:val="20"/>
                    <w:widowControl/>
                    <w:adjustRightInd w:val="0"/>
                    <w:snapToGrid w:val="0"/>
                    <w:spacing w:beforeAutospacing="0" w:afterAutospacing="0"/>
                    <w:jc w:val="center"/>
                    <w:rPr>
                      <w:rFonts w:ascii="Times New Roman" w:hAnsi="Times New Roman" w:eastAsia="宋体"/>
                      <w:kern w:val="2"/>
                      <w:sz w:val="18"/>
                      <w:szCs w:val="18"/>
                    </w:rPr>
                  </w:pPr>
                  <w:r>
                    <w:rPr>
                      <w:rFonts w:ascii="Times New Roman" w:hAnsi="Times New Roman" w:eastAsia="宋体"/>
                      <w:kern w:val="2"/>
                      <w:sz w:val="18"/>
                      <w:szCs w:val="18"/>
                    </w:rPr>
                    <w:t>34.198261</w:t>
                  </w:r>
                  <w:r>
                    <w:rPr>
                      <w:rFonts w:ascii="Times New Roman" w:hAnsi="Times New Roman" w:eastAsia="宋体"/>
                      <w:sz w:val="18"/>
                      <w:szCs w:val="18"/>
                    </w:rPr>
                    <w:t>°</w:t>
                  </w:r>
                </w:p>
              </w:tc>
              <w:tc>
                <w:tcPr>
                  <w:tcW w:w="347" w:type="pct"/>
                  <w:vAlign w:val="center"/>
                </w:tcPr>
                <w:p>
                  <w:pPr>
                    <w:adjustRightInd w:val="0"/>
                    <w:snapToGrid w:val="0"/>
                    <w:jc w:val="center"/>
                    <w:textAlignment w:val="baseline"/>
                    <w:rPr>
                      <w:rFonts w:ascii="Times New Roman" w:hAnsi="Times New Roman" w:eastAsia="宋体" w:cs="Times New Roman"/>
                      <w:sz w:val="18"/>
                      <w:szCs w:val="18"/>
                    </w:rPr>
                  </w:pPr>
                  <w:r>
                    <w:rPr>
                      <w:rFonts w:hint="eastAsia" w:ascii="Times New Roman" w:hAnsi="Times New Roman" w:eastAsia="宋体" w:cs="Times New Roman"/>
                      <w:sz w:val="18"/>
                      <w:szCs w:val="18"/>
                    </w:rPr>
                    <w:t>非甲烷总烃</w:t>
                  </w:r>
                </w:p>
              </w:tc>
              <w:tc>
                <w:tcPr>
                  <w:tcW w:w="700" w:type="pct"/>
                  <w:vAlign w:val="center"/>
                </w:tcPr>
                <w:p>
                  <w:pPr>
                    <w:adjustRightInd w:val="0"/>
                    <w:snapToGrid w:val="0"/>
                    <w:jc w:val="center"/>
                    <w:textAlignment w:val="baseline"/>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sz w:val="18"/>
                      <w:szCs w:val="18"/>
                    </w:rPr>
                    <w:t>000</w:t>
                  </w:r>
                </w:p>
              </w:tc>
              <w:tc>
                <w:tcPr>
                  <w:tcW w:w="700" w:type="pct"/>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sz w:val="18"/>
                      <w:szCs w:val="18"/>
                    </w:rPr>
                    <w:t>590~690</w:t>
                  </w:r>
                </w:p>
              </w:tc>
              <w:tc>
                <w:tcPr>
                  <w:tcW w:w="418" w:type="pct"/>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sz w:val="18"/>
                      <w:szCs w:val="18"/>
                    </w:rPr>
                    <w:t>34.5</w:t>
                  </w:r>
                </w:p>
              </w:tc>
              <w:tc>
                <w:tcPr>
                  <w:tcW w:w="291" w:type="pct"/>
                  <w:vAlign w:val="center"/>
                </w:tcPr>
                <w:p>
                  <w:pPr>
                    <w:adjustRightInd w:val="0"/>
                    <w:snapToGrid w:val="0"/>
                    <w:jc w:val="center"/>
                    <w:textAlignment w:val="baseline"/>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257" w:type="pct"/>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76" w:type="pct"/>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snapToGrid w:val="0"/>
                      <w:sz w:val="18"/>
                      <w:szCs w:val="18"/>
                    </w:rPr>
                    <w:t>陕西中威华盛建设工程有限公司年产9700吨钢结</w:t>
                  </w:r>
                  <w:r>
                    <w:rPr>
                      <w:rFonts w:hint="eastAsia" w:ascii="Times New Roman" w:hAnsi="Times New Roman" w:eastAsia="宋体" w:cs="Times New Roman"/>
                      <w:snapToGrid w:val="0"/>
                      <w:sz w:val="18"/>
                      <w:szCs w:val="18"/>
                    </w:rPr>
                    <w:t>构项目（十里铺）</w:t>
                  </w:r>
                </w:p>
              </w:tc>
              <w:tc>
                <w:tcPr>
                  <w:tcW w:w="786" w:type="pct"/>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kern w:val="21"/>
                      <w:sz w:val="18"/>
                      <w:szCs w:val="18"/>
                    </w:rPr>
                    <w:t>109.</w:t>
                  </w:r>
                  <w:r>
                    <w:rPr>
                      <w:rFonts w:hint="eastAsia" w:ascii="Times New Roman" w:hAnsi="Times New Roman" w:eastAsia="宋体" w:cs="Times New Roman"/>
                      <w:kern w:val="21"/>
                      <w:sz w:val="18"/>
                      <w:szCs w:val="18"/>
                    </w:rPr>
                    <w:t>267799</w:t>
                  </w:r>
                  <w:r>
                    <w:rPr>
                      <w:rFonts w:ascii="Times New Roman" w:hAnsi="Times New Roman" w:eastAsia="宋体" w:cs="Times New Roman"/>
                      <w:sz w:val="18"/>
                      <w:szCs w:val="18"/>
                    </w:rPr>
                    <w:t>°</w:t>
                  </w:r>
                </w:p>
              </w:tc>
              <w:tc>
                <w:tcPr>
                  <w:tcW w:w="724" w:type="pct"/>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kern w:val="21"/>
                      <w:sz w:val="18"/>
                      <w:szCs w:val="18"/>
                    </w:rPr>
                    <w:t>34.</w:t>
                  </w:r>
                  <w:r>
                    <w:rPr>
                      <w:rFonts w:hint="eastAsia" w:ascii="Times New Roman" w:hAnsi="Times New Roman" w:eastAsia="宋体" w:cs="Times New Roman"/>
                      <w:kern w:val="21"/>
                      <w:sz w:val="18"/>
                      <w:szCs w:val="18"/>
                    </w:rPr>
                    <w:t>191429</w:t>
                  </w:r>
                  <w:r>
                    <w:rPr>
                      <w:rFonts w:ascii="Times New Roman" w:hAnsi="Times New Roman" w:eastAsia="宋体" w:cs="Times New Roman"/>
                      <w:sz w:val="18"/>
                      <w:szCs w:val="18"/>
                    </w:rPr>
                    <w:t>°</w:t>
                  </w:r>
                </w:p>
              </w:tc>
              <w:tc>
                <w:tcPr>
                  <w:tcW w:w="347" w:type="pct"/>
                  <w:vAlign w:val="center"/>
                </w:tcPr>
                <w:p>
                  <w:pPr>
                    <w:adjustRightInd w:val="0"/>
                    <w:snapToGrid w:val="0"/>
                    <w:jc w:val="center"/>
                    <w:textAlignment w:val="baseline"/>
                    <w:rPr>
                      <w:rFonts w:ascii="Times New Roman" w:hAnsi="Times New Roman" w:eastAsia="宋体" w:cs="Times New Roman"/>
                      <w:sz w:val="18"/>
                      <w:szCs w:val="18"/>
                    </w:rPr>
                  </w:pPr>
                  <w:r>
                    <w:rPr>
                      <w:rFonts w:hint="eastAsia" w:ascii="Times New Roman" w:hAnsi="Times New Roman" w:eastAsia="宋体" w:cs="Times New Roman"/>
                      <w:kern w:val="21"/>
                      <w:sz w:val="18"/>
                      <w:szCs w:val="18"/>
                    </w:rPr>
                    <w:t>二甲苯</w:t>
                  </w:r>
                </w:p>
              </w:tc>
              <w:tc>
                <w:tcPr>
                  <w:tcW w:w="700" w:type="pct"/>
                  <w:vAlign w:val="center"/>
                </w:tcPr>
                <w:p>
                  <w:pPr>
                    <w:adjustRightInd w:val="0"/>
                    <w:snapToGrid w:val="0"/>
                    <w:jc w:val="center"/>
                    <w:textAlignment w:val="baseline"/>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sz w:val="18"/>
                      <w:szCs w:val="18"/>
                    </w:rPr>
                    <w:t>00</w:t>
                  </w:r>
                </w:p>
              </w:tc>
              <w:tc>
                <w:tcPr>
                  <w:tcW w:w="700" w:type="pct"/>
                  <w:vAlign w:val="center"/>
                </w:tcPr>
                <w:p>
                  <w:pPr>
                    <w:adjustRightInd w:val="0"/>
                    <w:snapToGrid w:val="0"/>
                    <w:jc w:val="center"/>
                    <w:textAlignment w:val="baseline"/>
                    <w:rPr>
                      <w:rFonts w:ascii="Times New Roman" w:hAnsi="Times New Roman" w:eastAsia="宋体" w:cs="Times New Roman"/>
                      <w:sz w:val="18"/>
                      <w:szCs w:val="18"/>
                    </w:rPr>
                  </w:pPr>
                  <w:r>
                    <w:rPr>
                      <w:rFonts w:hint="eastAsia" w:ascii="Times New Roman" w:hAnsi="Times New Roman" w:eastAsia="宋体" w:cs="Times New Roman"/>
                      <w:kern w:val="21"/>
                      <w:sz w:val="18"/>
                      <w:szCs w:val="18"/>
                    </w:rPr>
                    <w:t>ND5.0×10</w:t>
                  </w:r>
                  <w:r>
                    <w:rPr>
                      <w:rFonts w:hint="eastAsia" w:ascii="Times New Roman" w:hAnsi="Times New Roman" w:eastAsia="宋体" w:cs="Times New Roman"/>
                      <w:kern w:val="21"/>
                      <w:sz w:val="18"/>
                      <w:szCs w:val="18"/>
                      <w:vertAlign w:val="superscript"/>
                    </w:rPr>
                    <w:t>-4</w:t>
                  </w:r>
                </w:p>
              </w:tc>
              <w:tc>
                <w:tcPr>
                  <w:tcW w:w="418" w:type="pct"/>
                  <w:vAlign w:val="center"/>
                </w:tcPr>
                <w:p>
                  <w:pPr>
                    <w:adjustRightInd w:val="0"/>
                    <w:snapToGrid w:val="0"/>
                    <w:jc w:val="center"/>
                    <w:textAlignment w:val="baseline"/>
                    <w:rPr>
                      <w:rFonts w:ascii="Times New Roman" w:hAnsi="Times New Roman" w:eastAsia="宋体" w:cs="Times New Roman"/>
                      <w:sz w:val="18"/>
                      <w:szCs w:val="18"/>
                    </w:rPr>
                  </w:pPr>
                  <w:r>
                    <w:rPr>
                      <w:rFonts w:hint="eastAsia" w:ascii="Times New Roman" w:hAnsi="Times New Roman" w:eastAsia="宋体" w:cs="Times New Roman"/>
                      <w:kern w:val="21"/>
                      <w:sz w:val="18"/>
                      <w:szCs w:val="18"/>
                    </w:rPr>
                    <w:t>0.13</w:t>
                  </w:r>
                </w:p>
              </w:tc>
              <w:tc>
                <w:tcPr>
                  <w:tcW w:w="291" w:type="pct"/>
                  <w:vAlign w:val="center"/>
                </w:tcPr>
                <w:p>
                  <w:pPr>
                    <w:adjustRightInd w:val="0"/>
                    <w:snapToGrid w:val="0"/>
                    <w:jc w:val="center"/>
                    <w:textAlignment w:val="baseline"/>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257" w:type="pct"/>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sz w:val="18"/>
                      <w:szCs w:val="18"/>
                    </w:rPr>
                    <w:t>达标</w:t>
                  </w:r>
                </w:p>
              </w:tc>
            </w:tr>
          </w:tbl>
          <w:p>
            <w:pPr>
              <w:adjustRightInd w:val="0"/>
              <w:snapToGrid w:val="0"/>
              <w:spacing w:before="156"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根据表3-</w:t>
            </w:r>
            <w:r>
              <w:rPr>
                <w:rFonts w:ascii="Times New Roman" w:hAnsi="Times New Roman" w:eastAsia="宋体" w:cs="Times New Roman"/>
                <w:sz w:val="24"/>
              </w:rPr>
              <w:t>2</w:t>
            </w:r>
            <w:r>
              <w:rPr>
                <w:rFonts w:hint="eastAsia" w:ascii="Times New Roman" w:hAnsi="Times New Roman" w:eastAsia="宋体" w:cs="Times New Roman"/>
                <w:sz w:val="24"/>
              </w:rPr>
              <w:t>，项目所在区域通过以上监测数据可知，TSP监测浓度可以满足《环境空气质量标准》（GB3095-2012）及其修改单（公告2018年第29号）中二级标准限值要求；</w:t>
            </w:r>
            <w:r>
              <w:rPr>
                <w:rStyle w:val="33"/>
                <w:rFonts w:hint="eastAsia" w:ascii="Times New Roman" w:hAnsi="Times New Roman" w:eastAsia="宋体"/>
                <w:sz w:val="24"/>
                <w:szCs w:val="24"/>
              </w:rPr>
              <w:t>非甲烷总烃</w:t>
            </w:r>
            <w:r>
              <w:rPr>
                <w:rFonts w:hint="eastAsia" w:ascii="Times New Roman" w:hAnsi="Times New Roman" w:eastAsia="宋体" w:cs="Times New Roman"/>
                <w:sz w:val="24"/>
              </w:rPr>
              <w:t>监测浓度可以</w:t>
            </w:r>
            <w:r>
              <w:rPr>
                <w:rFonts w:ascii="Times New Roman" w:hAnsi="Times New Roman" w:eastAsia="宋体" w:cs="Times New Roman"/>
                <w:sz w:val="24"/>
              </w:rPr>
              <w:t>满足《大气污染物综合排放标准详解》中相关规定</w:t>
            </w:r>
            <w:r>
              <w:rPr>
                <w:rFonts w:hint="eastAsia" w:ascii="Times New Roman" w:hAnsi="Times New Roman" w:eastAsia="宋体" w:cs="Times New Roman"/>
                <w:sz w:val="24"/>
              </w:rPr>
              <w:t>；二甲苯监测浓度可以满足《环境影响评价技术导则 大气环境》（</w:t>
            </w:r>
            <w:r>
              <w:rPr>
                <w:rFonts w:ascii="Times New Roman" w:hAnsi="Times New Roman" w:eastAsia="宋体" w:cs="Times New Roman"/>
                <w:sz w:val="24"/>
              </w:rPr>
              <w:t>HJ 2.2-2018</w:t>
            </w:r>
            <w:r>
              <w:rPr>
                <w:rFonts w:hint="eastAsia" w:ascii="Times New Roman" w:hAnsi="Times New Roman" w:eastAsia="宋体" w:cs="Times New Roman"/>
                <w:sz w:val="24"/>
              </w:rPr>
              <w:t>）附录</w:t>
            </w:r>
            <w:r>
              <w:rPr>
                <w:rFonts w:ascii="Times New Roman" w:hAnsi="Times New Roman" w:eastAsia="宋体" w:cs="Times New Roman"/>
                <w:sz w:val="24"/>
              </w:rPr>
              <w:t>D</w:t>
            </w:r>
            <w:r>
              <w:rPr>
                <w:rFonts w:hint="eastAsia" w:ascii="Times New Roman" w:hAnsi="Times New Roman" w:eastAsia="宋体" w:cs="Times New Roman"/>
                <w:sz w:val="24"/>
              </w:rPr>
              <w:t>中的浓度参考限值。</w:t>
            </w:r>
          </w:p>
          <w:p>
            <w:pPr>
              <w:adjustRightInd w:val="0"/>
              <w:snapToGrid w:val="0"/>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2、声环境</w:t>
            </w:r>
            <w:r>
              <w:rPr>
                <w:rFonts w:ascii="Times New Roman" w:hAnsi="Times New Roman" w:eastAsia="宋体" w:cs="Times New Roman"/>
                <w:b/>
                <w:bCs/>
                <w:sz w:val="24"/>
              </w:rPr>
              <w:t>质量现状</w:t>
            </w:r>
          </w:p>
          <w:p>
            <w:pPr>
              <w:adjustRightInd w:val="0"/>
              <w:snapToGrid w:val="0"/>
              <w:spacing w:line="360" w:lineRule="auto"/>
              <w:ind w:firstLine="482"/>
              <w:rPr>
                <w:rFonts w:ascii="Times New Roman" w:hAnsi="Times New Roman" w:eastAsia="宋体"/>
                <w:sz w:val="24"/>
                <w:szCs w:val="24"/>
              </w:rPr>
            </w:pPr>
            <w:r>
              <w:rPr>
                <w:rFonts w:ascii="Times New Roman" w:hAnsi="Times New Roman" w:eastAsia="宋体" w:cs="Times New Roman"/>
                <w:sz w:val="24"/>
              </w:rPr>
              <w:t>厂界外周边50米范围</w:t>
            </w:r>
            <w:r>
              <w:rPr>
                <w:rFonts w:hint="eastAsia" w:ascii="Times New Roman" w:hAnsi="Times New Roman" w:eastAsia="宋体" w:cs="Times New Roman"/>
                <w:sz w:val="24"/>
              </w:rPr>
              <w:t>内无</w:t>
            </w:r>
            <w:r>
              <w:rPr>
                <w:rFonts w:ascii="Times New Roman" w:hAnsi="Times New Roman" w:eastAsia="宋体" w:cs="Times New Roman"/>
                <w:sz w:val="24"/>
              </w:rPr>
              <w:t>声环境保护目标</w:t>
            </w:r>
            <w:r>
              <w:rPr>
                <w:rFonts w:hint="eastAsia" w:ascii="Times New Roman" w:hAnsi="Times New Roman" w:eastAsia="宋体" w:cs="Times New Roman"/>
                <w:sz w:val="24"/>
              </w:rPr>
              <w:t>，不开展监测声环境质量现状</w:t>
            </w:r>
            <w:r>
              <w:rPr>
                <w:rFonts w:hint="eastAsia" w:ascii="Times New Roman" w:hAnsi="Times New Roman" w:eastAsia="宋体"/>
                <w:sz w:val="24"/>
                <w:szCs w:val="24"/>
              </w:rPr>
              <w:t>。</w:t>
            </w:r>
          </w:p>
          <w:p>
            <w:pPr>
              <w:adjustRightInd w:val="0"/>
              <w:snapToGrid w:val="0"/>
              <w:spacing w:line="360" w:lineRule="auto"/>
              <w:ind w:firstLine="482"/>
              <w:rPr>
                <w:rFonts w:ascii="Times New Roman" w:hAnsi="Times New Roman" w:eastAsia="宋体" w:cs="Times New Roman"/>
                <w:b/>
                <w:bCs/>
                <w:sz w:val="24"/>
              </w:rPr>
            </w:pPr>
            <w:r>
              <w:rPr>
                <w:rFonts w:hint="eastAsia" w:ascii="Times New Roman" w:hAnsi="Times New Roman" w:eastAsia="宋体" w:cs="Times New Roman"/>
                <w:b/>
                <w:bCs/>
                <w:sz w:val="24"/>
              </w:rPr>
              <w:t>3、地下水环境、土壤环境</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本项目位于工业园区，车间内全部硬化，本次评价不开展土壤、地下水环境质量现状调查。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395" w:hRule="atLeast"/>
        </w:trPr>
        <w:tc>
          <w:tcPr>
            <w:tcW w:w="354"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环境保护目标</w:t>
            </w:r>
          </w:p>
        </w:tc>
        <w:tc>
          <w:tcPr>
            <w:tcW w:w="8446" w:type="dxa"/>
          </w:tcPr>
          <w:p>
            <w:pPr>
              <w:adjustRightInd w:val="0"/>
              <w:snapToGrid w:val="0"/>
              <w:spacing w:line="360" w:lineRule="auto"/>
              <w:rPr>
                <w:rFonts w:ascii="Times New Roman" w:hAnsi="Times New Roman" w:eastAsia="宋体" w:cs="Times New Roman"/>
                <w:b/>
                <w:sz w:val="28"/>
              </w:rPr>
            </w:pPr>
            <w:r>
              <w:rPr>
                <w:rFonts w:hint="eastAsia" w:ascii="Times New Roman" w:hAnsi="Times New Roman" w:eastAsia="宋体"/>
                <w:b/>
                <w:sz w:val="28"/>
              </w:rPr>
              <w:t>主要环境保护目标</w:t>
            </w:r>
            <w:r>
              <w:rPr>
                <w:rFonts w:ascii="Times New Roman" w:hAnsi="Times New Roman" w:eastAsia="宋体" w:cs="Times New Roman"/>
                <w:b/>
                <w:sz w:val="28"/>
              </w:rPr>
              <w:t>(列出名单及保护级别)：</w:t>
            </w:r>
          </w:p>
          <w:p>
            <w:pPr>
              <w:pStyle w:val="36"/>
              <w:ind w:firstLine="480"/>
            </w:pPr>
            <w:r>
              <w:rPr>
                <w:b w:val="0"/>
                <w:bCs/>
              </w:rPr>
              <w:t>根据现场调查，本项目位于</w:t>
            </w:r>
            <w:r>
              <w:rPr>
                <w:rFonts w:hint="eastAsia"/>
                <w:b w:val="0"/>
                <w:bCs/>
              </w:rPr>
              <w:t>陕西省西安市蓝田县规划一路1号三元科技创新园B29栋</w:t>
            </w:r>
            <w:r>
              <w:rPr>
                <w:b w:val="0"/>
                <w:bCs/>
              </w:rPr>
              <w:t>，项目评价区域附近无自然保护区、水源保护区、文化教育环境敏感区、珍稀动植物保护物种等。根据项目的所处地理位置、项目周围的环境关系和环境特征，确定与项目相关的主要环境保护目标。</w:t>
            </w:r>
            <w:r>
              <w:rPr>
                <w:rFonts w:hint="eastAsia"/>
                <w:b w:val="0"/>
                <w:bCs/>
              </w:rPr>
              <w:t>项目</w:t>
            </w:r>
            <w:r>
              <w:rPr>
                <w:b w:val="0"/>
                <w:bCs/>
              </w:rPr>
              <w:t>环境保护目标详细情况见表</w:t>
            </w:r>
            <w:r>
              <w:rPr>
                <w:rFonts w:hint="eastAsia"/>
                <w:b w:val="0"/>
                <w:bCs/>
              </w:rPr>
              <w:t>3</w:t>
            </w:r>
            <w:r>
              <w:rPr>
                <w:b w:val="0"/>
                <w:bCs/>
              </w:rPr>
              <w:t>-3。</w:t>
            </w:r>
          </w:p>
          <w:p>
            <w:pPr>
              <w:pStyle w:val="84"/>
            </w:pPr>
          </w:p>
          <w:p>
            <w:pPr>
              <w:pStyle w:val="84"/>
            </w:pPr>
          </w:p>
          <w:p>
            <w:pPr>
              <w:pStyle w:val="84"/>
            </w:pPr>
          </w:p>
          <w:p>
            <w:pPr>
              <w:pStyle w:val="84"/>
            </w:pPr>
            <w:r>
              <w:t>表</w:t>
            </w:r>
            <w:r>
              <w:rPr>
                <w:rFonts w:hint="eastAsia"/>
              </w:rPr>
              <w:t>3</w:t>
            </w:r>
            <w:r>
              <w:t xml:space="preserve">-3  </w:t>
            </w:r>
            <w:r>
              <w:rPr>
                <w:rFonts w:hint="eastAsia"/>
              </w:rPr>
              <w:t>项目环境保护目标</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837"/>
              <w:gridCol w:w="1289"/>
              <w:gridCol w:w="1135"/>
              <w:gridCol w:w="1134"/>
              <w:gridCol w:w="1202"/>
              <w:gridCol w:w="854"/>
              <w:gridCol w:w="874"/>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03" w:type="pct"/>
                  <w:vMerge w:val="restart"/>
                  <w:tcMar>
                    <w:left w:w="28" w:type="dxa"/>
                    <w:right w:w="28" w:type="dxa"/>
                  </w:tcMar>
                  <w:vAlign w:val="center"/>
                </w:tcPr>
                <w:p>
                  <w:pPr>
                    <w:pStyle w:val="41"/>
                    <w:rPr>
                      <w:b/>
                      <w:bCs w:val="0"/>
                    </w:rPr>
                  </w:pPr>
                  <w:r>
                    <w:rPr>
                      <w:b/>
                      <w:bCs w:val="0"/>
                    </w:rPr>
                    <w:t>环境要素</w:t>
                  </w:r>
                </w:p>
              </w:tc>
              <w:tc>
                <w:tcPr>
                  <w:tcW w:w="1456" w:type="pct"/>
                  <w:gridSpan w:val="2"/>
                  <w:tcMar>
                    <w:left w:w="28" w:type="dxa"/>
                    <w:right w:w="28" w:type="dxa"/>
                  </w:tcMar>
                  <w:vAlign w:val="center"/>
                </w:tcPr>
                <w:p>
                  <w:pPr>
                    <w:pStyle w:val="41"/>
                    <w:rPr>
                      <w:b/>
                      <w:bCs w:val="0"/>
                    </w:rPr>
                  </w:pPr>
                  <w:r>
                    <w:rPr>
                      <w:b/>
                      <w:bCs w:val="0"/>
                    </w:rPr>
                    <w:t>坐标（°）</w:t>
                  </w:r>
                </w:p>
              </w:tc>
              <w:tc>
                <w:tcPr>
                  <w:tcW w:w="681" w:type="pct"/>
                  <w:vMerge w:val="restart"/>
                  <w:tcMar>
                    <w:left w:w="28" w:type="dxa"/>
                    <w:right w:w="28" w:type="dxa"/>
                  </w:tcMar>
                  <w:vAlign w:val="center"/>
                </w:tcPr>
                <w:p>
                  <w:pPr>
                    <w:pStyle w:val="41"/>
                    <w:rPr>
                      <w:b/>
                      <w:bCs w:val="0"/>
                    </w:rPr>
                  </w:pPr>
                  <w:r>
                    <w:rPr>
                      <w:b/>
                      <w:bCs w:val="0"/>
                    </w:rPr>
                    <w:t>保护对象</w:t>
                  </w:r>
                </w:p>
              </w:tc>
              <w:tc>
                <w:tcPr>
                  <w:tcW w:w="722" w:type="pct"/>
                  <w:vMerge w:val="restart"/>
                  <w:tcMar>
                    <w:left w:w="28" w:type="dxa"/>
                    <w:right w:w="28" w:type="dxa"/>
                  </w:tcMar>
                  <w:vAlign w:val="center"/>
                </w:tcPr>
                <w:p>
                  <w:pPr>
                    <w:pStyle w:val="41"/>
                    <w:rPr>
                      <w:b/>
                      <w:bCs w:val="0"/>
                    </w:rPr>
                  </w:pPr>
                  <w:r>
                    <w:rPr>
                      <w:b/>
                      <w:bCs w:val="0"/>
                    </w:rPr>
                    <w:t>保护内容</w:t>
                  </w:r>
                </w:p>
              </w:tc>
              <w:tc>
                <w:tcPr>
                  <w:tcW w:w="513" w:type="pct"/>
                  <w:vMerge w:val="restart"/>
                  <w:tcMar>
                    <w:left w:w="28" w:type="dxa"/>
                    <w:right w:w="28" w:type="dxa"/>
                  </w:tcMar>
                  <w:vAlign w:val="center"/>
                </w:tcPr>
                <w:p>
                  <w:pPr>
                    <w:pStyle w:val="41"/>
                    <w:rPr>
                      <w:b/>
                      <w:bCs w:val="0"/>
                    </w:rPr>
                  </w:pPr>
                  <w:r>
                    <w:rPr>
                      <w:b/>
                      <w:bCs w:val="0"/>
                    </w:rPr>
                    <w:t>环境功能区</w:t>
                  </w:r>
                </w:p>
              </w:tc>
              <w:tc>
                <w:tcPr>
                  <w:tcW w:w="525" w:type="pct"/>
                  <w:vMerge w:val="restart"/>
                  <w:tcMar>
                    <w:left w:w="28" w:type="dxa"/>
                    <w:right w:w="28" w:type="dxa"/>
                  </w:tcMar>
                  <w:vAlign w:val="center"/>
                </w:tcPr>
                <w:p>
                  <w:pPr>
                    <w:pStyle w:val="41"/>
                    <w:rPr>
                      <w:b/>
                      <w:bCs w:val="0"/>
                    </w:rPr>
                  </w:pPr>
                  <w:r>
                    <w:rPr>
                      <w:b/>
                      <w:bCs w:val="0"/>
                    </w:rPr>
                    <w:t>相对场址方位</w:t>
                  </w:r>
                </w:p>
              </w:tc>
              <w:tc>
                <w:tcPr>
                  <w:tcW w:w="599" w:type="pct"/>
                  <w:vMerge w:val="restart"/>
                  <w:tcMar>
                    <w:left w:w="28" w:type="dxa"/>
                    <w:right w:w="28" w:type="dxa"/>
                  </w:tcMar>
                  <w:vAlign w:val="center"/>
                </w:tcPr>
                <w:p>
                  <w:pPr>
                    <w:pStyle w:val="41"/>
                    <w:rPr>
                      <w:b/>
                      <w:bCs w:val="0"/>
                    </w:rPr>
                  </w:pPr>
                  <w:r>
                    <w:rPr>
                      <w:b/>
                      <w:bCs w:val="0"/>
                    </w:rPr>
                    <w:t>相对距离（m）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03" w:type="pct"/>
                  <w:vMerge w:val="continue"/>
                  <w:tcMar>
                    <w:left w:w="28" w:type="dxa"/>
                    <w:right w:w="28" w:type="dxa"/>
                  </w:tcMar>
                  <w:vAlign w:val="center"/>
                </w:tcPr>
                <w:p>
                  <w:pPr>
                    <w:pStyle w:val="41"/>
                  </w:pPr>
                </w:p>
              </w:tc>
              <w:tc>
                <w:tcPr>
                  <w:tcW w:w="774" w:type="pct"/>
                  <w:tcMar>
                    <w:left w:w="28" w:type="dxa"/>
                    <w:right w:w="28" w:type="dxa"/>
                  </w:tcMar>
                  <w:vAlign w:val="center"/>
                </w:tcPr>
                <w:p>
                  <w:pPr>
                    <w:pStyle w:val="41"/>
                    <w:rPr>
                      <w:b/>
                      <w:bCs w:val="0"/>
                    </w:rPr>
                  </w:pPr>
                  <w:r>
                    <w:rPr>
                      <w:rFonts w:hint="eastAsia"/>
                      <w:b/>
                      <w:bCs w:val="0"/>
                    </w:rPr>
                    <w:t>经度</w:t>
                  </w:r>
                </w:p>
              </w:tc>
              <w:tc>
                <w:tcPr>
                  <w:tcW w:w="682" w:type="pct"/>
                  <w:tcMar>
                    <w:left w:w="28" w:type="dxa"/>
                    <w:right w:w="28" w:type="dxa"/>
                  </w:tcMar>
                  <w:vAlign w:val="center"/>
                </w:tcPr>
                <w:p>
                  <w:pPr>
                    <w:pStyle w:val="41"/>
                    <w:rPr>
                      <w:b/>
                      <w:bCs w:val="0"/>
                    </w:rPr>
                  </w:pPr>
                  <w:r>
                    <w:rPr>
                      <w:rFonts w:hint="eastAsia"/>
                      <w:b/>
                      <w:bCs w:val="0"/>
                    </w:rPr>
                    <w:t>纬度</w:t>
                  </w:r>
                </w:p>
              </w:tc>
              <w:tc>
                <w:tcPr>
                  <w:tcW w:w="681" w:type="pct"/>
                  <w:vMerge w:val="continue"/>
                  <w:tcMar>
                    <w:left w:w="28" w:type="dxa"/>
                    <w:right w:w="28" w:type="dxa"/>
                  </w:tcMar>
                  <w:vAlign w:val="center"/>
                </w:tcPr>
                <w:p>
                  <w:pPr>
                    <w:pStyle w:val="41"/>
                  </w:pPr>
                </w:p>
              </w:tc>
              <w:tc>
                <w:tcPr>
                  <w:tcW w:w="722" w:type="pct"/>
                  <w:vMerge w:val="continue"/>
                  <w:tcMar>
                    <w:left w:w="28" w:type="dxa"/>
                    <w:right w:w="28" w:type="dxa"/>
                  </w:tcMar>
                  <w:vAlign w:val="center"/>
                </w:tcPr>
                <w:p>
                  <w:pPr>
                    <w:pStyle w:val="41"/>
                  </w:pPr>
                </w:p>
              </w:tc>
              <w:tc>
                <w:tcPr>
                  <w:tcW w:w="513" w:type="pct"/>
                  <w:vMerge w:val="continue"/>
                  <w:tcMar>
                    <w:left w:w="28" w:type="dxa"/>
                    <w:right w:w="28" w:type="dxa"/>
                  </w:tcMar>
                  <w:vAlign w:val="center"/>
                </w:tcPr>
                <w:p>
                  <w:pPr>
                    <w:pStyle w:val="41"/>
                  </w:pPr>
                </w:p>
              </w:tc>
              <w:tc>
                <w:tcPr>
                  <w:tcW w:w="525" w:type="pct"/>
                  <w:vMerge w:val="continue"/>
                  <w:tcMar>
                    <w:left w:w="28" w:type="dxa"/>
                    <w:right w:w="28" w:type="dxa"/>
                  </w:tcMar>
                  <w:vAlign w:val="center"/>
                </w:tcPr>
                <w:p>
                  <w:pPr>
                    <w:pStyle w:val="41"/>
                  </w:pPr>
                </w:p>
              </w:tc>
              <w:tc>
                <w:tcPr>
                  <w:tcW w:w="599" w:type="pct"/>
                  <w:vMerge w:val="continue"/>
                  <w:tcMar>
                    <w:left w:w="28" w:type="dxa"/>
                    <w:right w:w="28" w:type="dxa"/>
                  </w:tcMar>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03" w:type="pct"/>
                  <w:vMerge w:val="restart"/>
                  <w:tcMar>
                    <w:left w:w="28" w:type="dxa"/>
                    <w:right w:w="28" w:type="dxa"/>
                  </w:tcMar>
                  <w:vAlign w:val="center"/>
                </w:tcPr>
                <w:p>
                  <w:pPr>
                    <w:pStyle w:val="41"/>
                  </w:pPr>
                  <w:r>
                    <w:t>环境空气</w:t>
                  </w:r>
                </w:p>
              </w:tc>
              <w:tc>
                <w:tcPr>
                  <w:tcW w:w="774" w:type="pct"/>
                  <w:tcMar>
                    <w:left w:w="28" w:type="dxa"/>
                    <w:right w:w="28" w:type="dxa"/>
                  </w:tcMar>
                  <w:vAlign w:val="center"/>
                </w:tcPr>
                <w:p>
                  <w:pPr>
                    <w:pStyle w:val="41"/>
                  </w:pPr>
                  <w:r>
                    <w:t>109.266285</w:t>
                  </w:r>
                </w:p>
              </w:tc>
              <w:tc>
                <w:tcPr>
                  <w:tcW w:w="682" w:type="pct"/>
                  <w:tcMar>
                    <w:left w:w="28" w:type="dxa"/>
                    <w:right w:w="28" w:type="dxa"/>
                  </w:tcMar>
                  <w:vAlign w:val="center"/>
                </w:tcPr>
                <w:p>
                  <w:pPr>
                    <w:pStyle w:val="41"/>
                  </w:pPr>
                  <w:r>
                    <w:t>34.202152</w:t>
                  </w:r>
                </w:p>
              </w:tc>
              <w:tc>
                <w:tcPr>
                  <w:tcW w:w="681" w:type="pct"/>
                  <w:tcMar>
                    <w:left w:w="28" w:type="dxa"/>
                    <w:right w:w="28" w:type="dxa"/>
                  </w:tcMar>
                  <w:vAlign w:val="center"/>
                </w:tcPr>
                <w:p>
                  <w:pPr>
                    <w:pStyle w:val="41"/>
                  </w:pPr>
                  <w:r>
                    <w:rPr>
                      <w:rFonts w:hint="eastAsia"/>
                    </w:rPr>
                    <w:t>宋家岩</w:t>
                  </w:r>
                </w:p>
              </w:tc>
              <w:tc>
                <w:tcPr>
                  <w:tcW w:w="722" w:type="pct"/>
                  <w:tcMar>
                    <w:left w:w="28" w:type="dxa"/>
                    <w:right w:w="28" w:type="dxa"/>
                  </w:tcMar>
                  <w:vAlign w:val="center"/>
                </w:tcPr>
                <w:p>
                  <w:pPr>
                    <w:pStyle w:val="41"/>
                  </w:pPr>
                  <w:r>
                    <w:rPr>
                      <w:rFonts w:hint="eastAsia"/>
                    </w:rPr>
                    <w:t>村民</w:t>
                  </w:r>
                  <w:r>
                    <w:t>315</w:t>
                  </w:r>
                  <w:r>
                    <w:rPr>
                      <w:rFonts w:hint="eastAsia"/>
                    </w:rPr>
                    <w:t>人</w:t>
                  </w:r>
                </w:p>
              </w:tc>
              <w:tc>
                <w:tcPr>
                  <w:tcW w:w="513" w:type="pct"/>
                  <w:tcMar>
                    <w:left w:w="28" w:type="dxa"/>
                    <w:right w:w="28" w:type="dxa"/>
                  </w:tcMar>
                  <w:vAlign w:val="center"/>
                </w:tcPr>
                <w:p>
                  <w:pPr>
                    <w:pStyle w:val="41"/>
                  </w:pPr>
                  <w:r>
                    <w:rPr>
                      <w:rFonts w:hint="eastAsia"/>
                    </w:rPr>
                    <w:t>二类区</w:t>
                  </w:r>
                </w:p>
              </w:tc>
              <w:tc>
                <w:tcPr>
                  <w:tcW w:w="525" w:type="pct"/>
                  <w:tcMar>
                    <w:left w:w="28" w:type="dxa"/>
                    <w:right w:w="28" w:type="dxa"/>
                  </w:tcMar>
                  <w:vAlign w:val="center"/>
                </w:tcPr>
                <w:p>
                  <w:pPr>
                    <w:pStyle w:val="41"/>
                  </w:pPr>
                  <w:r>
                    <w:t>NW</w:t>
                  </w:r>
                </w:p>
              </w:tc>
              <w:tc>
                <w:tcPr>
                  <w:tcW w:w="599" w:type="pct"/>
                  <w:tcMar>
                    <w:left w:w="28" w:type="dxa"/>
                    <w:right w:w="28" w:type="dxa"/>
                  </w:tcMar>
                  <w:vAlign w:val="center"/>
                </w:tcPr>
                <w:p>
                  <w:pPr>
                    <w:pStyle w:val="41"/>
                  </w:pPr>
                  <w:r>
                    <w:t>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03" w:type="pct"/>
                  <w:vMerge w:val="continue"/>
                  <w:tcMar>
                    <w:left w:w="28" w:type="dxa"/>
                    <w:right w:w="28" w:type="dxa"/>
                  </w:tcMar>
                  <w:vAlign w:val="center"/>
                </w:tcPr>
                <w:p>
                  <w:pPr>
                    <w:pStyle w:val="41"/>
                  </w:pPr>
                </w:p>
              </w:tc>
              <w:tc>
                <w:tcPr>
                  <w:tcW w:w="774" w:type="pct"/>
                  <w:tcMar>
                    <w:left w:w="28" w:type="dxa"/>
                    <w:right w:w="28" w:type="dxa"/>
                  </w:tcMar>
                  <w:vAlign w:val="center"/>
                </w:tcPr>
                <w:p>
                  <w:pPr>
                    <w:pStyle w:val="41"/>
                  </w:pPr>
                  <w:r>
                    <w:t>109.268884</w:t>
                  </w:r>
                </w:p>
              </w:tc>
              <w:tc>
                <w:tcPr>
                  <w:tcW w:w="682" w:type="pct"/>
                  <w:tcMar>
                    <w:left w:w="28" w:type="dxa"/>
                    <w:right w:w="28" w:type="dxa"/>
                  </w:tcMar>
                  <w:vAlign w:val="center"/>
                </w:tcPr>
                <w:p>
                  <w:pPr>
                    <w:pStyle w:val="41"/>
                  </w:pPr>
                  <w:r>
                    <w:t>34.200662</w:t>
                  </w:r>
                </w:p>
              </w:tc>
              <w:tc>
                <w:tcPr>
                  <w:tcW w:w="681" w:type="pct"/>
                  <w:tcMar>
                    <w:left w:w="28" w:type="dxa"/>
                    <w:right w:w="28" w:type="dxa"/>
                  </w:tcMar>
                  <w:vAlign w:val="center"/>
                </w:tcPr>
                <w:p>
                  <w:pPr>
                    <w:pStyle w:val="41"/>
                  </w:pPr>
                  <w:r>
                    <w:rPr>
                      <w:rFonts w:hint="eastAsia"/>
                    </w:rPr>
                    <w:t>华山沟</w:t>
                  </w:r>
                </w:p>
              </w:tc>
              <w:tc>
                <w:tcPr>
                  <w:tcW w:w="722" w:type="pct"/>
                  <w:tcMar>
                    <w:left w:w="28" w:type="dxa"/>
                    <w:right w:w="28" w:type="dxa"/>
                  </w:tcMar>
                  <w:vAlign w:val="center"/>
                </w:tcPr>
                <w:p>
                  <w:pPr>
                    <w:pStyle w:val="41"/>
                  </w:pPr>
                  <w:r>
                    <w:rPr>
                      <w:rFonts w:hint="eastAsia"/>
                    </w:rPr>
                    <w:t>村民</w:t>
                  </w:r>
                  <w:r>
                    <w:t>374</w:t>
                  </w:r>
                  <w:r>
                    <w:rPr>
                      <w:rFonts w:hint="eastAsia"/>
                    </w:rPr>
                    <w:t>人</w:t>
                  </w:r>
                </w:p>
              </w:tc>
              <w:tc>
                <w:tcPr>
                  <w:tcW w:w="513" w:type="pct"/>
                  <w:tcMar>
                    <w:left w:w="28" w:type="dxa"/>
                    <w:right w:w="28" w:type="dxa"/>
                  </w:tcMar>
                  <w:vAlign w:val="center"/>
                </w:tcPr>
                <w:p>
                  <w:pPr>
                    <w:pStyle w:val="41"/>
                  </w:pPr>
                  <w:r>
                    <w:rPr>
                      <w:rFonts w:hint="eastAsia"/>
                    </w:rPr>
                    <w:t>二类区</w:t>
                  </w:r>
                </w:p>
              </w:tc>
              <w:tc>
                <w:tcPr>
                  <w:tcW w:w="525" w:type="pct"/>
                  <w:tcMar>
                    <w:left w:w="28" w:type="dxa"/>
                    <w:right w:w="28" w:type="dxa"/>
                  </w:tcMar>
                  <w:vAlign w:val="center"/>
                </w:tcPr>
                <w:p>
                  <w:pPr>
                    <w:pStyle w:val="41"/>
                  </w:pPr>
                  <w:r>
                    <w:t>NW</w:t>
                  </w:r>
                </w:p>
              </w:tc>
              <w:tc>
                <w:tcPr>
                  <w:tcW w:w="599" w:type="pct"/>
                  <w:tcMar>
                    <w:left w:w="28" w:type="dxa"/>
                    <w:right w:w="28" w:type="dxa"/>
                  </w:tcMar>
                  <w:vAlign w:val="center"/>
                </w:tcPr>
                <w:p>
                  <w:pPr>
                    <w:pStyle w:val="41"/>
                  </w:pPr>
                  <w: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03" w:type="pct"/>
                  <w:vMerge w:val="continue"/>
                  <w:tcMar>
                    <w:left w:w="28" w:type="dxa"/>
                    <w:right w:w="28" w:type="dxa"/>
                  </w:tcMar>
                  <w:vAlign w:val="center"/>
                </w:tcPr>
                <w:p>
                  <w:pPr>
                    <w:pStyle w:val="41"/>
                  </w:pPr>
                </w:p>
              </w:tc>
              <w:tc>
                <w:tcPr>
                  <w:tcW w:w="774" w:type="pct"/>
                  <w:tcMar>
                    <w:left w:w="28" w:type="dxa"/>
                    <w:right w:w="28" w:type="dxa"/>
                  </w:tcMar>
                  <w:vAlign w:val="center"/>
                </w:tcPr>
                <w:p>
                  <w:pPr>
                    <w:pStyle w:val="41"/>
                  </w:pPr>
                  <w:r>
                    <w:t>109.266692</w:t>
                  </w:r>
                </w:p>
              </w:tc>
              <w:tc>
                <w:tcPr>
                  <w:tcW w:w="682" w:type="pct"/>
                  <w:tcMar>
                    <w:left w:w="28" w:type="dxa"/>
                    <w:right w:w="28" w:type="dxa"/>
                  </w:tcMar>
                  <w:vAlign w:val="center"/>
                </w:tcPr>
                <w:p>
                  <w:pPr>
                    <w:pStyle w:val="41"/>
                  </w:pPr>
                  <w:r>
                    <w:t>34.198051</w:t>
                  </w:r>
                </w:p>
              </w:tc>
              <w:tc>
                <w:tcPr>
                  <w:tcW w:w="681" w:type="pct"/>
                  <w:tcMar>
                    <w:left w:w="28" w:type="dxa"/>
                    <w:right w:w="28" w:type="dxa"/>
                  </w:tcMar>
                  <w:vAlign w:val="center"/>
                </w:tcPr>
                <w:p>
                  <w:pPr>
                    <w:pStyle w:val="41"/>
                  </w:pPr>
                  <w:r>
                    <w:rPr>
                      <w:rFonts w:hint="eastAsia"/>
                    </w:rPr>
                    <w:t>东宋家村</w:t>
                  </w:r>
                </w:p>
              </w:tc>
              <w:tc>
                <w:tcPr>
                  <w:tcW w:w="722" w:type="pct"/>
                  <w:tcMar>
                    <w:left w:w="28" w:type="dxa"/>
                    <w:right w:w="28" w:type="dxa"/>
                  </w:tcMar>
                  <w:vAlign w:val="center"/>
                </w:tcPr>
                <w:p>
                  <w:pPr>
                    <w:pStyle w:val="41"/>
                  </w:pPr>
                  <w:r>
                    <w:rPr>
                      <w:rFonts w:hint="eastAsia"/>
                    </w:rPr>
                    <w:t>村民</w:t>
                  </w:r>
                  <w:r>
                    <w:t>610</w:t>
                  </w:r>
                  <w:r>
                    <w:rPr>
                      <w:rFonts w:hint="eastAsia"/>
                    </w:rPr>
                    <w:t>人</w:t>
                  </w:r>
                </w:p>
              </w:tc>
              <w:tc>
                <w:tcPr>
                  <w:tcW w:w="513" w:type="pct"/>
                  <w:tcMar>
                    <w:left w:w="28" w:type="dxa"/>
                    <w:right w:w="28" w:type="dxa"/>
                  </w:tcMar>
                  <w:vAlign w:val="center"/>
                </w:tcPr>
                <w:p>
                  <w:pPr>
                    <w:pStyle w:val="41"/>
                  </w:pPr>
                  <w:r>
                    <w:rPr>
                      <w:rFonts w:hint="eastAsia"/>
                    </w:rPr>
                    <w:t>二类区</w:t>
                  </w:r>
                </w:p>
              </w:tc>
              <w:tc>
                <w:tcPr>
                  <w:tcW w:w="525" w:type="pct"/>
                  <w:tcMar>
                    <w:left w:w="28" w:type="dxa"/>
                    <w:right w:w="28" w:type="dxa"/>
                  </w:tcMar>
                  <w:vAlign w:val="center"/>
                </w:tcPr>
                <w:p>
                  <w:pPr>
                    <w:pStyle w:val="41"/>
                  </w:pPr>
                  <w:r>
                    <w:rPr>
                      <w:rFonts w:hint="eastAsia"/>
                    </w:rPr>
                    <w:t>S</w:t>
                  </w:r>
                  <w:r>
                    <w:t>W</w:t>
                  </w:r>
                </w:p>
              </w:tc>
              <w:tc>
                <w:tcPr>
                  <w:tcW w:w="599" w:type="pct"/>
                  <w:tcMar>
                    <w:left w:w="28" w:type="dxa"/>
                    <w:right w:w="28" w:type="dxa"/>
                  </w:tcMar>
                  <w:vAlign w:val="center"/>
                </w:tcPr>
                <w:p>
                  <w:pPr>
                    <w:pStyle w:val="41"/>
                  </w:pPr>
                  <w:r>
                    <w:rPr>
                      <w:rFonts w:hint="eastAsia"/>
                    </w:rPr>
                    <w:t>4</w:t>
                  </w: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03" w:type="pct"/>
                  <w:vMerge w:val="continue"/>
                  <w:tcMar>
                    <w:left w:w="28" w:type="dxa"/>
                    <w:right w:w="28" w:type="dxa"/>
                  </w:tcMar>
                  <w:vAlign w:val="center"/>
                </w:tcPr>
                <w:p>
                  <w:pPr>
                    <w:pStyle w:val="41"/>
                  </w:pPr>
                </w:p>
              </w:tc>
              <w:tc>
                <w:tcPr>
                  <w:tcW w:w="774" w:type="pct"/>
                  <w:tcMar>
                    <w:left w:w="28" w:type="dxa"/>
                    <w:right w:w="28" w:type="dxa"/>
                  </w:tcMar>
                  <w:vAlign w:val="center"/>
                </w:tcPr>
                <w:p>
                  <w:pPr>
                    <w:pStyle w:val="41"/>
                  </w:pPr>
                  <w:r>
                    <w:t>109.276082</w:t>
                  </w:r>
                </w:p>
              </w:tc>
              <w:tc>
                <w:tcPr>
                  <w:tcW w:w="682" w:type="pct"/>
                  <w:tcMar>
                    <w:left w:w="28" w:type="dxa"/>
                    <w:right w:w="28" w:type="dxa"/>
                  </w:tcMar>
                  <w:vAlign w:val="center"/>
                </w:tcPr>
                <w:p>
                  <w:pPr>
                    <w:pStyle w:val="41"/>
                  </w:pPr>
                  <w:r>
                    <w:t>34.199868</w:t>
                  </w:r>
                </w:p>
              </w:tc>
              <w:tc>
                <w:tcPr>
                  <w:tcW w:w="681" w:type="pct"/>
                  <w:tcMar>
                    <w:left w:w="28" w:type="dxa"/>
                    <w:right w:w="28" w:type="dxa"/>
                  </w:tcMar>
                  <w:vAlign w:val="center"/>
                </w:tcPr>
                <w:p>
                  <w:pPr>
                    <w:pStyle w:val="41"/>
                  </w:pPr>
                  <w:r>
                    <w:rPr>
                      <w:rFonts w:hint="eastAsia"/>
                    </w:rPr>
                    <w:t>营坡村</w:t>
                  </w:r>
                </w:p>
              </w:tc>
              <w:tc>
                <w:tcPr>
                  <w:tcW w:w="722" w:type="pct"/>
                  <w:tcMar>
                    <w:left w:w="28" w:type="dxa"/>
                    <w:right w:w="28" w:type="dxa"/>
                  </w:tcMar>
                  <w:vAlign w:val="center"/>
                </w:tcPr>
                <w:p>
                  <w:pPr>
                    <w:pStyle w:val="41"/>
                  </w:pPr>
                  <w:r>
                    <w:rPr>
                      <w:rFonts w:hint="eastAsia"/>
                    </w:rPr>
                    <w:t>村民</w:t>
                  </w:r>
                  <w:r>
                    <w:t>209</w:t>
                  </w:r>
                  <w:r>
                    <w:rPr>
                      <w:rFonts w:hint="eastAsia"/>
                    </w:rPr>
                    <w:t>人</w:t>
                  </w:r>
                </w:p>
              </w:tc>
              <w:tc>
                <w:tcPr>
                  <w:tcW w:w="513" w:type="pct"/>
                  <w:tcMar>
                    <w:left w:w="28" w:type="dxa"/>
                    <w:right w:w="28" w:type="dxa"/>
                  </w:tcMar>
                  <w:vAlign w:val="center"/>
                </w:tcPr>
                <w:p>
                  <w:pPr>
                    <w:pStyle w:val="41"/>
                  </w:pPr>
                  <w:r>
                    <w:rPr>
                      <w:rFonts w:hint="eastAsia"/>
                    </w:rPr>
                    <w:t>二类区</w:t>
                  </w:r>
                </w:p>
              </w:tc>
              <w:tc>
                <w:tcPr>
                  <w:tcW w:w="525" w:type="pct"/>
                  <w:tcMar>
                    <w:left w:w="28" w:type="dxa"/>
                    <w:right w:w="28" w:type="dxa"/>
                  </w:tcMar>
                  <w:vAlign w:val="center"/>
                </w:tcPr>
                <w:p>
                  <w:pPr>
                    <w:pStyle w:val="41"/>
                  </w:pPr>
                  <w:r>
                    <w:rPr>
                      <w:rFonts w:hint="eastAsia"/>
                    </w:rPr>
                    <w:t>E</w:t>
                  </w:r>
                </w:p>
              </w:tc>
              <w:tc>
                <w:tcPr>
                  <w:tcW w:w="599" w:type="pct"/>
                  <w:tcMar>
                    <w:left w:w="28" w:type="dxa"/>
                    <w:right w:w="28" w:type="dxa"/>
                  </w:tcMar>
                  <w:vAlign w:val="center"/>
                </w:tcPr>
                <w:p>
                  <w:pPr>
                    <w:pStyle w:val="41"/>
                  </w:pPr>
                  <w:r>
                    <w:rPr>
                      <w:rFonts w:hint="eastAsia"/>
                    </w:rPr>
                    <w:t>4</w:t>
                  </w:r>
                  <w: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03" w:type="pct"/>
                  <w:vMerge w:val="continue"/>
                  <w:tcMar>
                    <w:left w:w="28" w:type="dxa"/>
                    <w:right w:w="28" w:type="dxa"/>
                  </w:tcMar>
                  <w:vAlign w:val="center"/>
                </w:tcPr>
                <w:p>
                  <w:pPr>
                    <w:pStyle w:val="41"/>
                  </w:pPr>
                </w:p>
              </w:tc>
              <w:tc>
                <w:tcPr>
                  <w:tcW w:w="774" w:type="pct"/>
                  <w:tcMar>
                    <w:left w:w="28" w:type="dxa"/>
                    <w:right w:w="28" w:type="dxa"/>
                  </w:tcMar>
                  <w:vAlign w:val="center"/>
                </w:tcPr>
                <w:p>
                  <w:pPr>
                    <w:pStyle w:val="41"/>
                  </w:pPr>
                  <w:r>
                    <w:t>109.272966</w:t>
                  </w:r>
                </w:p>
              </w:tc>
              <w:tc>
                <w:tcPr>
                  <w:tcW w:w="682" w:type="pct"/>
                  <w:tcMar>
                    <w:left w:w="28" w:type="dxa"/>
                    <w:right w:w="28" w:type="dxa"/>
                  </w:tcMar>
                  <w:vAlign w:val="center"/>
                </w:tcPr>
                <w:p>
                  <w:pPr>
                    <w:pStyle w:val="41"/>
                  </w:pPr>
                  <w:r>
                    <w:t>34.204588</w:t>
                  </w:r>
                </w:p>
              </w:tc>
              <w:tc>
                <w:tcPr>
                  <w:tcW w:w="681" w:type="pct"/>
                  <w:tcMar>
                    <w:left w:w="28" w:type="dxa"/>
                    <w:right w:w="28" w:type="dxa"/>
                  </w:tcMar>
                  <w:vAlign w:val="center"/>
                </w:tcPr>
                <w:p>
                  <w:pPr>
                    <w:pStyle w:val="41"/>
                  </w:pPr>
                  <w:r>
                    <w:rPr>
                      <w:rFonts w:hint="eastAsia"/>
                    </w:rPr>
                    <w:t>大兴村</w:t>
                  </w:r>
                </w:p>
              </w:tc>
              <w:tc>
                <w:tcPr>
                  <w:tcW w:w="722" w:type="pct"/>
                  <w:tcMar>
                    <w:left w:w="28" w:type="dxa"/>
                    <w:right w:w="28" w:type="dxa"/>
                  </w:tcMar>
                  <w:vAlign w:val="center"/>
                </w:tcPr>
                <w:p>
                  <w:pPr>
                    <w:pStyle w:val="41"/>
                  </w:pPr>
                  <w:r>
                    <w:rPr>
                      <w:rFonts w:hint="eastAsia"/>
                    </w:rPr>
                    <w:t>村民</w:t>
                  </w:r>
                  <w:r>
                    <w:t>113</w:t>
                  </w:r>
                  <w:r>
                    <w:rPr>
                      <w:rFonts w:hint="eastAsia"/>
                    </w:rPr>
                    <w:t>人</w:t>
                  </w:r>
                </w:p>
              </w:tc>
              <w:tc>
                <w:tcPr>
                  <w:tcW w:w="513" w:type="pct"/>
                  <w:tcMar>
                    <w:left w:w="28" w:type="dxa"/>
                    <w:right w:w="28" w:type="dxa"/>
                  </w:tcMar>
                  <w:vAlign w:val="center"/>
                </w:tcPr>
                <w:p>
                  <w:pPr>
                    <w:pStyle w:val="41"/>
                  </w:pPr>
                  <w:r>
                    <w:rPr>
                      <w:rFonts w:hint="eastAsia"/>
                    </w:rPr>
                    <w:t>二类区</w:t>
                  </w:r>
                </w:p>
              </w:tc>
              <w:tc>
                <w:tcPr>
                  <w:tcW w:w="525" w:type="pct"/>
                  <w:tcMar>
                    <w:left w:w="28" w:type="dxa"/>
                    <w:right w:w="28" w:type="dxa"/>
                  </w:tcMar>
                  <w:vAlign w:val="center"/>
                </w:tcPr>
                <w:p>
                  <w:pPr>
                    <w:pStyle w:val="41"/>
                  </w:pPr>
                  <w:r>
                    <w:t>N</w:t>
                  </w:r>
                </w:p>
              </w:tc>
              <w:tc>
                <w:tcPr>
                  <w:tcW w:w="599" w:type="pct"/>
                  <w:tcMar>
                    <w:left w:w="28" w:type="dxa"/>
                    <w:right w:w="28" w:type="dxa"/>
                  </w:tcMar>
                  <w:vAlign w:val="center"/>
                </w:tcPr>
                <w:p>
                  <w:pPr>
                    <w:pStyle w:val="41"/>
                  </w:pPr>
                  <w:r>
                    <w:rPr>
                      <w:rFonts w:hint="eastAsia"/>
                    </w:rPr>
                    <w:t>4</w:t>
                  </w:r>
                  <w:r>
                    <w:t>97</w:t>
                  </w:r>
                </w:p>
              </w:tc>
            </w:tr>
          </w:tbl>
          <w:p>
            <w:pPr>
              <w:jc w:val="center"/>
              <w:rPr>
                <w:rFonts w:ascii="Times New Roman" w:hAnsi="Times New Roman"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289" w:hRule="atLeast"/>
        </w:trPr>
        <w:tc>
          <w:tcPr>
            <w:tcW w:w="354"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污染物排放控制标准</w:t>
            </w:r>
          </w:p>
        </w:tc>
        <w:tc>
          <w:tcPr>
            <w:tcW w:w="8446" w:type="dxa"/>
            <w:vAlign w:val="center"/>
          </w:tcPr>
          <w:p>
            <w:pPr>
              <w:spacing w:line="360" w:lineRule="auto"/>
              <w:ind w:firstLine="480" w:firstLineChars="200"/>
              <w:rPr>
                <w:rFonts w:ascii="Times New Roman" w:hAnsi="Times New Roman" w:eastAsia="宋体"/>
                <w:sz w:val="24"/>
                <w:szCs w:val="24"/>
              </w:rPr>
            </w:pPr>
            <w:r>
              <w:rPr>
                <w:rFonts w:ascii="Times New Roman" w:hAnsi="Times New Roman" w:eastAsia="宋体"/>
                <w:sz w:val="24"/>
              </w:rPr>
              <w:t>1、废气：</w:t>
            </w:r>
            <w:r>
              <w:rPr>
                <w:rFonts w:hint="eastAsia" w:ascii="Times New Roman" w:hAnsi="Times New Roman" w:eastAsia="宋体"/>
                <w:sz w:val="24"/>
              </w:rPr>
              <w:t>施工期扬尘执行《施工场界扬尘排放限值》（DB 61/1078-2017）中相关要求，见表4-4；运营期颗粒物排放执行《大气污染物综合排放标准》（GB16297-1996）中的排放限值，挥发性有机物VOCs（以非甲烷总烃计）、二甲苯有组织排放及厂界排放执行陕西地方标准《挥发性有机物排放控制标准》（DB61/T1061-2017）中的浓度限值，厂区内无组织排放执行《挥发性有机物无组织排放控制标准》（GB37822-2019）中特</w:t>
            </w:r>
            <w:r>
              <w:rPr>
                <w:rFonts w:hint="eastAsia" w:ascii="Times New Roman" w:hAnsi="Times New Roman" w:eastAsia="宋体"/>
                <w:sz w:val="24"/>
                <w:szCs w:val="24"/>
              </w:rPr>
              <w:t>别排放限值</w:t>
            </w:r>
            <w:r>
              <w:rPr>
                <w:rFonts w:hint="eastAsia" w:ascii="Times New Roman" w:hAnsi="Times New Roman" w:eastAsia="宋体" w:cs="Times New Roman"/>
                <w:sz w:val="24"/>
                <w:szCs w:val="24"/>
              </w:rPr>
              <w:t>。</w:t>
            </w:r>
          </w:p>
          <w:p>
            <w:pPr>
              <w:pStyle w:val="84"/>
            </w:pPr>
            <w:r>
              <w:rPr>
                <w:rFonts w:hint="eastAsia"/>
              </w:rPr>
              <w:t>表</w:t>
            </w:r>
            <w:r>
              <w:t>3-4</w:t>
            </w:r>
            <w:r>
              <w:rPr>
                <w:rFonts w:hint="eastAsia"/>
              </w:rPr>
              <w:t xml:space="preserve">  施工场界扬尘排放限值</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787"/>
              <w:gridCol w:w="1393"/>
              <w:gridCol w:w="262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shd w:val="clear" w:color="auto" w:fill="auto"/>
                  <w:vAlign w:val="center"/>
                </w:tcPr>
                <w:p>
                  <w:pPr>
                    <w:pStyle w:val="57"/>
                    <w:jc w:val="center"/>
                    <w:rPr>
                      <w:b/>
                      <w:bCs/>
                    </w:rPr>
                  </w:pPr>
                  <w:r>
                    <w:rPr>
                      <w:rFonts w:hint="eastAsia"/>
                      <w:b/>
                      <w:bCs/>
                    </w:rPr>
                    <w:t>序号</w:t>
                  </w:r>
                </w:p>
              </w:tc>
              <w:tc>
                <w:tcPr>
                  <w:tcW w:w="1841" w:type="dxa"/>
                  <w:shd w:val="clear" w:color="auto" w:fill="auto"/>
                  <w:vAlign w:val="center"/>
                </w:tcPr>
                <w:p>
                  <w:pPr>
                    <w:pStyle w:val="57"/>
                    <w:jc w:val="center"/>
                    <w:rPr>
                      <w:b/>
                      <w:bCs/>
                    </w:rPr>
                  </w:pPr>
                  <w:r>
                    <w:rPr>
                      <w:rFonts w:hint="eastAsia"/>
                      <w:b/>
                      <w:bCs/>
                    </w:rPr>
                    <w:t>污染物</w:t>
                  </w:r>
                </w:p>
              </w:tc>
              <w:tc>
                <w:tcPr>
                  <w:tcW w:w="1445" w:type="dxa"/>
                  <w:shd w:val="clear" w:color="auto" w:fill="auto"/>
                  <w:vAlign w:val="center"/>
                </w:tcPr>
                <w:p>
                  <w:pPr>
                    <w:pStyle w:val="57"/>
                    <w:jc w:val="center"/>
                    <w:rPr>
                      <w:b/>
                      <w:bCs/>
                    </w:rPr>
                  </w:pPr>
                  <w:r>
                    <w:rPr>
                      <w:rFonts w:hint="eastAsia"/>
                      <w:b/>
                      <w:bCs/>
                    </w:rPr>
                    <w:t>监控点</w:t>
                  </w:r>
                </w:p>
              </w:tc>
              <w:tc>
                <w:tcPr>
                  <w:tcW w:w="2727" w:type="dxa"/>
                  <w:shd w:val="clear" w:color="auto" w:fill="auto"/>
                  <w:vAlign w:val="center"/>
                </w:tcPr>
                <w:p>
                  <w:pPr>
                    <w:pStyle w:val="57"/>
                    <w:jc w:val="center"/>
                    <w:rPr>
                      <w:b/>
                      <w:bCs/>
                    </w:rPr>
                  </w:pPr>
                  <w:r>
                    <w:rPr>
                      <w:rFonts w:hint="eastAsia"/>
                      <w:b/>
                      <w:bCs/>
                    </w:rPr>
                    <w:t>施工阶段</w:t>
                  </w:r>
                </w:p>
              </w:tc>
              <w:tc>
                <w:tcPr>
                  <w:tcW w:w="1919" w:type="dxa"/>
                  <w:shd w:val="clear" w:color="auto" w:fill="auto"/>
                  <w:vAlign w:val="center"/>
                </w:tcPr>
                <w:p>
                  <w:pPr>
                    <w:pStyle w:val="57"/>
                    <w:jc w:val="center"/>
                    <w:rPr>
                      <w:b/>
                      <w:bCs/>
                    </w:rPr>
                  </w:pPr>
                  <w:r>
                    <w:rPr>
                      <w:rFonts w:hint="eastAsia"/>
                      <w:b/>
                      <w:bCs/>
                    </w:rPr>
                    <w:t>小时平均浓度限值（mg/m</w:t>
                  </w:r>
                  <w:r>
                    <w:rPr>
                      <w:rFonts w:hint="eastAsia"/>
                      <w:b/>
                      <w:bCs/>
                      <w:vertAlign w:val="superscript"/>
                    </w:rPr>
                    <w:t>3</w:t>
                  </w:r>
                  <w:r>
                    <w:rPr>
                      <w:rFonts w:hint="eastAsia"/>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shd w:val="clear" w:color="auto" w:fill="auto"/>
                  <w:vAlign w:val="center"/>
                </w:tcPr>
                <w:p>
                  <w:pPr>
                    <w:pStyle w:val="57"/>
                  </w:pPr>
                  <w:r>
                    <w:rPr>
                      <w:rFonts w:hint="eastAsia"/>
                    </w:rPr>
                    <w:t>1</w:t>
                  </w:r>
                </w:p>
              </w:tc>
              <w:tc>
                <w:tcPr>
                  <w:tcW w:w="1841" w:type="dxa"/>
                  <w:vMerge w:val="restart"/>
                  <w:shd w:val="clear" w:color="auto" w:fill="auto"/>
                  <w:vAlign w:val="center"/>
                </w:tcPr>
                <w:p>
                  <w:pPr>
                    <w:pStyle w:val="57"/>
                  </w:pPr>
                  <w:r>
                    <w:rPr>
                      <w:rFonts w:hint="eastAsia"/>
                    </w:rPr>
                    <w:t>施工扬尘（即总悬浮颗粒物TSP）</w:t>
                  </w:r>
                </w:p>
              </w:tc>
              <w:tc>
                <w:tcPr>
                  <w:tcW w:w="1445" w:type="dxa"/>
                  <w:vMerge w:val="restart"/>
                  <w:shd w:val="clear" w:color="auto" w:fill="auto"/>
                  <w:vAlign w:val="center"/>
                </w:tcPr>
                <w:p>
                  <w:pPr>
                    <w:pStyle w:val="57"/>
                  </w:pPr>
                  <w:r>
                    <w:rPr>
                      <w:rFonts w:hint="eastAsia"/>
                    </w:rPr>
                    <w:t>周界外浓度最高点</w:t>
                  </w:r>
                  <w:r>
                    <w:rPr>
                      <w:rFonts w:hint="eastAsia"/>
                      <w:vertAlign w:val="superscript"/>
                    </w:rPr>
                    <w:t>a</w:t>
                  </w:r>
                </w:p>
              </w:tc>
              <w:tc>
                <w:tcPr>
                  <w:tcW w:w="2727" w:type="dxa"/>
                  <w:shd w:val="clear" w:color="auto" w:fill="auto"/>
                  <w:vAlign w:val="center"/>
                </w:tcPr>
                <w:p>
                  <w:pPr>
                    <w:pStyle w:val="57"/>
                  </w:pPr>
                  <w:r>
                    <w:rPr>
                      <w:rFonts w:hint="eastAsia"/>
                    </w:rPr>
                    <w:t>拆除、土方及地基处理工程</w:t>
                  </w:r>
                </w:p>
              </w:tc>
              <w:tc>
                <w:tcPr>
                  <w:tcW w:w="1919" w:type="dxa"/>
                  <w:shd w:val="clear" w:color="auto" w:fill="auto"/>
                  <w:vAlign w:val="center"/>
                </w:tcPr>
                <w:p>
                  <w:pPr>
                    <w:pStyle w:val="57"/>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shd w:val="clear" w:color="auto" w:fill="auto"/>
                  <w:vAlign w:val="center"/>
                </w:tcPr>
                <w:p>
                  <w:pPr>
                    <w:pStyle w:val="57"/>
                  </w:pPr>
                  <w:r>
                    <w:rPr>
                      <w:rFonts w:hint="eastAsia"/>
                    </w:rPr>
                    <w:t>2</w:t>
                  </w:r>
                </w:p>
              </w:tc>
              <w:tc>
                <w:tcPr>
                  <w:tcW w:w="1841" w:type="dxa"/>
                  <w:vMerge w:val="continue"/>
                  <w:shd w:val="clear" w:color="auto" w:fill="auto"/>
                  <w:vAlign w:val="center"/>
                </w:tcPr>
                <w:p>
                  <w:pPr>
                    <w:pStyle w:val="57"/>
                  </w:pPr>
                </w:p>
              </w:tc>
              <w:tc>
                <w:tcPr>
                  <w:tcW w:w="1445" w:type="dxa"/>
                  <w:vMerge w:val="continue"/>
                  <w:shd w:val="clear" w:color="auto" w:fill="auto"/>
                  <w:vAlign w:val="center"/>
                </w:tcPr>
                <w:p>
                  <w:pPr>
                    <w:pStyle w:val="57"/>
                  </w:pPr>
                </w:p>
              </w:tc>
              <w:tc>
                <w:tcPr>
                  <w:tcW w:w="2727" w:type="dxa"/>
                  <w:shd w:val="clear" w:color="auto" w:fill="auto"/>
                  <w:vAlign w:val="center"/>
                </w:tcPr>
                <w:p>
                  <w:pPr>
                    <w:pStyle w:val="57"/>
                  </w:pPr>
                  <w:r>
                    <w:rPr>
                      <w:rFonts w:hint="eastAsia"/>
                    </w:rPr>
                    <w:t>基础、主体结构及装饰工程</w:t>
                  </w:r>
                </w:p>
              </w:tc>
              <w:tc>
                <w:tcPr>
                  <w:tcW w:w="1919" w:type="dxa"/>
                  <w:shd w:val="clear" w:color="auto" w:fill="auto"/>
                  <w:vAlign w:val="center"/>
                </w:tcPr>
                <w:p>
                  <w:pPr>
                    <w:pStyle w:val="57"/>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83" w:type="dxa"/>
                  <w:gridSpan w:val="5"/>
                  <w:shd w:val="clear" w:color="auto" w:fill="auto"/>
                  <w:vAlign w:val="center"/>
                </w:tcPr>
                <w:p>
                  <w:pPr>
                    <w:pStyle w:val="57"/>
                  </w:pPr>
                  <w:r>
                    <w:rPr>
                      <w:rFonts w:hint="eastAsia"/>
                      <w:vertAlign w:val="superscript"/>
                    </w:rPr>
                    <w:t>a</w:t>
                  </w:r>
                  <w:r>
                    <w:rPr>
                      <w:rFonts w:hint="eastAsia"/>
                    </w:rPr>
                    <w:t>周界外浓度最高点一般应设置于无组织排放源下风向的单位周界外10m范围内，若预计无组织排放的最大落地浓度点超出10m范围，可将监控点移至该预计浓度最高点附近。</w:t>
                  </w:r>
                </w:p>
              </w:tc>
            </w:tr>
          </w:tbl>
          <w:p>
            <w:pPr>
              <w:pStyle w:val="84"/>
            </w:pPr>
            <w:r>
              <w:t>表3-5  运营期颗粒物排放限值</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
              <w:gridCol w:w="1010"/>
              <w:gridCol w:w="1586"/>
              <w:gridCol w:w="2164"/>
              <w:gridCol w:w="1355"/>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578" w:type="pct"/>
                  <w:vMerge w:val="restar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项目</w:t>
                  </w:r>
                </w:p>
              </w:tc>
              <w:tc>
                <w:tcPr>
                  <w:tcW w:w="2860" w:type="pct"/>
                  <w:gridSpan w:val="3"/>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有组织排放浓度限值</w:t>
                  </w:r>
                </w:p>
              </w:tc>
              <w:tc>
                <w:tcPr>
                  <w:tcW w:w="1562" w:type="pct"/>
                  <w:gridSpan w:val="2"/>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无组织排放监控浓度限值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578" w:type="pct"/>
                  <w:vMerge w:val="continue"/>
                  <w:vAlign w:val="center"/>
                </w:tcPr>
                <w:p>
                  <w:pPr>
                    <w:adjustRightInd w:val="0"/>
                    <w:snapToGrid w:val="0"/>
                    <w:jc w:val="center"/>
                    <w:rPr>
                      <w:rFonts w:ascii="Times New Roman" w:hAnsi="Times New Roman" w:eastAsia="宋体"/>
                      <w:b/>
                      <w:bCs/>
                    </w:rPr>
                  </w:pPr>
                </w:p>
              </w:tc>
              <w:tc>
                <w:tcPr>
                  <w:tcW w:w="607" w:type="pct"/>
                  <w:vAlign w:val="center"/>
                </w:tcPr>
                <w:p>
                  <w:pPr>
                    <w:pStyle w:val="20"/>
                    <w:adjustRightInd w:val="0"/>
                    <w:snapToGrid w:val="0"/>
                    <w:spacing w:beforeAutospacing="0" w:afterAutospacing="0"/>
                    <w:jc w:val="center"/>
                    <w:rPr>
                      <w:rFonts w:ascii="Times New Roman" w:hAnsi="Times New Roman" w:eastAsia="宋体"/>
                      <w:b/>
                      <w:bCs/>
                      <w:sz w:val="21"/>
                    </w:rPr>
                  </w:pPr>
                  <w:r>
                    <w:rPr>
                      <w:rFonts w:ascii="Times New Roman" w:hAnsi="Times New Roman" w:eastAsia="宋体"/>
                      <w:b/>
                      <w:bCs/>
                      <w:sz w:val="21"/>
                    </w:rPr>
                    <w:t>排气筒高度</w:t>
                  </w:r>
                </w:p>
              </w:tc>
              <w:tc>
                <w:tcPr>
                  <w:tcW w:w="953" w:type="pct"/>
                  <w:vAlign w:val="center"/>
                </w:tcPr>
                <w:p>
                  <w:pPr>
                    <w:pStyle w:val="20"/>
                    <w:adjustRightInd w:val="0"/>
                    <w:snapToGrid w:val="0"/>
                    <w:spacing w:beforeAutospacing="0" w:afterAutospacing="0"/>
                    <w:jc w:val="center"/>
                    <w:rPr>
                      <w:rFonts w:ascii="Times New Roman" w:hAnsi="Times New Roman" w:eastAsia="宋体"/>
                      <w:b/>
                      <w:bCs/>
                      <w:sz w:val="21"/>
                    </w:rPr>
                  </w:pPr>
                  <w:r>
                    <w:rPr>
                      <w:rFonts w:ascii="Times New Roman" w:hAnsi="Times New Roman" w:eastAsia="宋体"/>
                      <w:b/>
                      <w:bCs/>
                      <w:sz w:val="21"/>
                    </w:rPr>
                    <w:t>最高允许排放浓度（mg/m</w:t>
                  </w:r>
                  <w:r>
                    <w:rPr>
                      <w:rFonts w:ascii="Times New Roman" w:hAnsi="Times New Roman" w:eastAsia="宋体"/>
                      <w:b/>
                      <w:bCs/>
                      <w:sz w:val="21"/>
                      <w:vertAlign w:val="superscript"/>
                    </w:rPr>
                    <w:t>3</w:t>
                  </w:r>
                  <w:r>
                    <w:rPr>
                      <w:rFonts w:ascii="Times New Roman" w:hAnsi="Times New Roman" w:eastAsia="宋体"/>
                      <w:b/>
                      <w:bCs/>
                      <w:sz w:val="21"/>
                    </w:rPr>
                    <w:t>）</w:t>
                  </w:r>
                </w:p>
              </w:tc>
              <w:tc>
                <w:tcPr>
                  <w:tcW w:w="1300" w:type="pct"/>
                  <w:vAlign w:val="center"/>
                </w:tcPr>
                <w:p>
                  <w:pPr>
                    <w:pStyle w:val="20"/>
                    <w:adjustRightInd w:val="0"/>
                    <w:snapToGrid w:val="0"/>
                    <w:spacing w:beforeAutospacing="0" w:afterAutospacing="0"/>
                    <w:jc w:val="center"/>
                    <w:rPr>
                      <w:rFonts w:ascii="Times New Roman" w:hAnsi="Times New Roman" w:eastAsia="宋体"/>
                      <w:b/>
                      <w:bCs/>
                      <w:sz w:val="21"/>
                    </w:rPr>
                  </w:pPr>
                  <w:r>
                    <w:rPr>
                      <w:rFonts w:ascii="Times New Roman" w:hAnsi="Times New Roman" w:eastAsia="宋体"/>
                      <w:b/>
                      <w:bCs/>
                      <w:sz w:val="21"/>
                    </w:rPr>
                    <w:t>最高允许排放速率（kg/h）</w:t>
                  </w:r>
                </w:p>
              </w:tc>
              <w:tc>
                <w:tcPr>
                  <w:tcW w:w="814" w:type="pc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监控点</w:t>
                  </w:r>
                </w:p>
              </w:tc>
              <w:tc>
                <w:tcPr>
                  <w:tcW w:w="747" w:type="pc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浓度（mg/m</w:t>
                  </w:r>
                  <w:r>
                    <w:rPr>
                      <w:rFonts w:hint="eastAsia" w:ascii="Times New Roman" w:hAnsi="Times New Roman" w:eastAsia="宋体"/>
                      <w:b/>
                      <w:bCs/>
                      <w:vertAlign w:val="superscript"/>
                    </w:rPr>
                    <w:t>3</w:t>
                  </w:r>
                  <w:r>
                    <w:rPr>
                      <w:rFonts w:hint="eastAsia" w:ascii="Times New Roman" w:hAnsi="Times New Roman" w:eastAsia="宋体"/>
                      <w:b/>
                      <w:bC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578" w:type="pct"/>
                  <w:vAlign w:val="center"/>
                </w:tcPr>
                <w:p>
                  <w:pPr>
                    <w:adjustRightInd w:val="0"/>
                    <w:snapToGrid w:val="0"/>
                    <w:jc w:val="center"/>
                    <w:rPr>
                      <w:rFonts w:ascii="Times New Roman" w:hAnsi="Times New Roman" w:eastAsia="宋体"/>
                    </w:rPr>
                  </w:pPr>
                  <w:r>
                    <w:rPr>
                      <w:rFonts w:hint="eastAsia" w:ascii="Times New Roman" w:hAnsi="Times New Roman" w:eastAsia="宋体"/>
                    </w:rPr>
                    <w:t>颗粒物</w:t>
                  </w:r>
                </w:p>
              </w:tc>
              <w:tc>
                <w:tcPr>
                  <w:tcW w:w="607" w:type="pct"/>
                  <w:vAlign w:val="center"/>
                </w:tcPr>
                <w:p>
                  <w:pPr>
                    <w:pStyle w:val="20"/>
                    <w:adjustRightInd w:val="0"/>
                    <w:snapToGrid w:val="0"/>
                    <w:spacing w:beforeAutospacing="0" w:afterAutospacing="0"/>
                    <w:jc w:val="center"/>
                    <w:rPr>
                      <w:rFonts w:ascii="Times New Roman" w:hAnsi="Times New Roman" w:eastAsia="宋体"/>
                      <w:sz w:val="21"/>
                    </w:rPr>
                  </w:pPr>
                  <w:r>
                    <w:rPr>
                      <w:rFonts w:ascii="Times New Roman" w:hAnsi="Times New Roman" w:eastAsia="宋体"/>
                      <w:sz w:val="21"/>
                    </w:rPr>
                    <w:t>17</w:t>
                  </w:r>
                </w:p>
              </w:tc>
              <w:tc>
                <w:tcPr>
                  <w:tcW w:w="953" w:type="pct"/>
                  <w:vAlign w:val="center"/>
                </w:tcPr>
                <w:p>
                  <w:pPr>
                    <w:adjustRightInd w:val="0"/>
                    <w:snapToGrid w:val="0"/>
                    <w:jc w:val="center"/>
                    <w:rPr>
                      <w:rFonts w:ascii="Times New Roman" w:hAnsi="Times New Roman" w:eastAsia="宋体"/>
                    </w:rPr>
                  </w:pPr>
                  <w:r>
                    <w:rPr>
                      <w:rFonts w:ascii="Times New Roman" w:hAnsi="Times New Roman" w:eastAsia="宋体"/>
                    </w:rPr>
                    <w:t>120</w:t>
                  </w:r>
                </w:p>
              </w:tc>
              <w:tc>
                <w:tcPr>
                  <w:tcW w:w="1300" w:type="pct"/>
                  <w:vAlign w:val="center"/>
                </w:tcPr>
                <w:p>
                  <w:pPr>
                    <w:adjustRightInd w:val="0"/>
                    <w:snapToGrid w:val="0"/>
                    <w:jc w:val="center"/>
                    <w:rPr>
                      <w:rFonts w:ascii="Times New Roman" w:hAnsi="Times New Roman" w:eastAsia="宋体"/>
                    </w:rPr>
                  </w:pPr>
                  <w:r>
                    <w:rPr>
                      <w:rFonts w:ascii="Times New Roman" w:hAnsi="Times New Roman" w:eastAsia="宋体"/>
                    </w:rPr>
                    <w:t>4.46</w:t>
                  </w:r>
                </w:p>
              </w:tc>
              <w:tc>
                <w:tcPr>
                  <w:tcW w:w="814" w:type="pct"/>
                  <w:vAlign w:val="center"/>
                </w:tcPr>
                <w:p>
                  <w:pPr>
                    <w:adjustRightInd w:val="0"/>
                    <w:snapToGrid w:val="0"/>
                    <w:jc w:val="center"/>
                    <w:rPr>
                      <w:rFonts w:ascii="Times New Roman" w:hAnsi="Times New Roman" w:eastAsia="宋体"/>
                    </w:rPr>
                  </w:pPr>
                  <w:r>
                    <w:rPr>
                      <w:rFonts w:hint="eastAsia" w:ascii="Times New Roman" w:hAnsi="Times New Roman" w:eastAsia="宋体"/>
                    </w:rPr>
                    <w:t>周界外浓度最高点</w:t>
                  </w:r>
                </w:p>
              </w:tc>
              <w:tc>
                <w:tcPr>
                  <w:tcW w:w="747" w:type="pct"/>
                  <w:vAlign w:val="center"/>
                </w:tcPr>
                <w:p>
                  <w:pPr>
                    <w:adjustRightInd w:val="0"/>
                    <w:snapToGrid w:val="0"/>
                    <w:jc w:val="center"/>
                    <w:rPr>
                      <w:rFonts w:ascii="Times New Roman" w:hAnsi="Times New Roman" w:eastAsia="宋体"/>
                    </w:rPr>
                  </w:pPr>
                  <w:r>
                    <w:rPr>
                      <w:rFonts w:hint="eastAsia" w:ascii="Times New Roman" w:hAnsi="Times New Roman" w:eastAsia="宋体"/>
                    </w:rPr>
                    <w:t>1.0</w:t>
                  </w:r>
                </w:p>
              </w:tc>
            </w:tr>
          </w:tbl>
          <w:p>
            <w:pPr>
              <w:pStyle w:val="84"/>
              <w:spacing w:before="156" w:beforeLines="50"/>
            </w:pPr>
            <w:r>
              <w:t>表3-6  运营期</w:t>
            </w:r>
            <w:r>
              <w:rPr>
                <w:rFonts w:hint="eastAsia"/>
              </w:rPr>
              <w:t>挥发性有机废气</w:t>
            </w:r>
            <w:r>
              <w:t>排放</w:t>
            </w:r>
            <w:r>
              <w:rPr>
                <w:rFonts w:hint="eastAsia"/>
              </w:rPr>
              <w:t>浓度</w:t>
            </w:r>
            <w:r>
              <w:t>限值</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6"/>
              <w:gridCol w:w="839"/>
              <w:gridCol w:w="1305"/>
              <w:gridCol w:w="1113"/>
              <w:gridCol w:w="1000"/>
              <w:gridCol w:w="1307"/>
              <w:gridCol w:w="2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0" w:type="pct"/>
                  <w:gridSpan w:val="2"/>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标准</w:t>
                  </w:r>
                </w:p>
              </w:tc>
              <w:tc>
                <w:tcPr>
                  <w:tcW w:w="2839" w:type="pct"/>
                  <w:gridSpan w:val="4"/>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《挥发性有机物排放控制标准》（DB61/T1061-2017）</w:t>
                  </w:r>
                </w:p>
              </w:tc>
              <w:tc>
                <w:tcPr>
                  <w:tcW w:w="1371" w:type="pc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《挥发性有机物无组织排放控制标准》（GB37822-2019）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6" w:type="pct"/>
                  <w:vMerge w:val="restart"/>
                  <w:vAlign w:val="center"/>
                </w:tcPr>
                <w:p>
                  <w:pPr>
                    <w:adjustRightInd w:val="0"/>
                    <w:snapToGrid w:val="0"/>
                    <w:jc w:val="center"/>
                    <w:rPr>
                      <w:rFonts w:ascii="Times New Roman" w:hAnsi="Times New Roman" w:eastAsia="宋体"/>
                    </w:rPr>
                  </w:pPr>
                  <w:bookmarkStart w:id="9" w:name="_Hlk523564702"/>
                  <w:r>
                    <w:rPr>
                      <w:rFonts w:hint="eastAsia" w:ascii="Times New Roman" w:hAnsi="Times New Roman" w:eastAsia="宋体"/>
                    </w:rPr>
                    <w:t>行业</w:t>
                  </w:r>
                </w:p>
              </w:tc>
              <w:tc>
                <w:tcPr>
                  <w:tcW w:w="504" w:type="pct"/>
                  <w:vMerge w:val="restart"/>
                  <w:vAlign w:val="center"/>
                </w:tcPr>
                <w:p>
                  <w:pPr>
                    <w:adjustRightInd w:val="0"/>
                    <w:snapToGrid w:val="0"/>
                    <w:jc w:val="center"/>
                    <w:rPr>
                      <w:rFonts w:ascii="Times New Roman" w:hAnsi="Times New Roman" w:eastAsia="宋体"/>
                    </w:rPr>
                  </w:pPr>
                  <w:r>
                    <w:rPr>
                      <w:rFonts w:hint="eastAsia" w:ascii="Times New Roman" w:hAnsi="Times New Roman" w:eastAsia="宋体"/>
                    </w:rPr>
                    <w:t>污染类型</w:t>
                  </w:r>
                </w:p>
              </w:tc>
              <w:tc>
                <w:tcPr>
                  <w:tcW w:w="1453" w:type="pct"/>
                  <w:gridSpan w:val="2"/>
                  <w:vAlign w:val="center"/>
                </w:tcPr>
                <w:p>
                  <w:pPr>
                    <w:adjustRightInd w:val="0"/>
                    <w:snapToGrid w:val="0"/>
                    <w:jc w:val="center"/>
                    <w:rPr>
                      <w:rFonts w:ascii="Times New Roman" w:hAnsi="Times New Roman" w:eastAsia="宋体"/>
                    </w:rPr>
                  </w:pPr>
                  <w:r>
                    <w:rPr>
                      <w:rFonts w:hint="eastAsia" w:ascii="Times New Roman" w:hAnsi="Times New Roman" w:eastAsia="宋体"/>
                    </w:rPr>
                    <w:t>有组织</w:t>
                  </w:r>
                </w:p>
              </w:tc>
              <w:tc>
                <w:tcPr>
                  <w:tcW w:w="1386" w:type="pct"/>
                  <w:gridSpan w:val="2"/>
                  <w:vAlign w:val="center"/>
                </w:tcPr>
                <w:p>
                  <w:pPr>
                    <w:adjustRightInd w:val="0"/>
                    <w:snapToGrid w:val="0"/>
                    <w:jc w:val="center"/>
                    <w:rPr>
                      <w:rFonts w:ascii="Times New Roman" w:hAnsi="Times New Roman" w:eastAsia="宋体"/>
                    </w:rPr>
                  </w:pPr>
                  <w:r>
                    <w:rPr>
                      <w:rFonts w:hint="eastAsia" w:ascii="Times New Roman" w:hAnsi="Times New Roman" w:eastAsia="宋体"/>
                    </w:rPr>
                    <w:t>厂界无组织</w:t>
                  </w:r>
                </w:p>
              </w:tc>
              <w:tc>
                <w:tcPr>
                  <w:tcW w:w="1371" w:type="pct"/>
                  <w:vAlign w:val="center"/>
                </w:tcPr>
                <w:p>
                  <w:pPr>
                    <w:adjustRightInd w:val="0"/>
                    <w:snapToGrid w:val="0"/>
                    <w:jc w:val="center"/>
                    <w:rPr>
                      <w:rFonts w:ascii="Times New Roman" w:hAnsi="Times New Roman" w:eastAsia="宋体"/>
                    </w:rPr>
                  </w:pPr>
                  <w:r>
                    <w:rPr>
                      <w:rFonts w:hint="eastAsia" w:ascii="Times New Roman" w:hAnsi="Times New Roman" w:eastAsia="宋体"/>
                    </w:rPr>
                    <w:t>厂区内无组织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6" w:type="pct"/>
                  <w:vMerge w:val="continue"/>
                  <w:vAlign w:val="center"/>
                </w:tcPr>
                <w:p>
                  <w:pPr>
                    <w:adjustRightInd w:val="0"/>
                    <w:snapToGrid w:val="0"/>
                    <w:jc w:val="center"/>
                    <w:rPr>
                      <w:rFonts w:ascii="Times New Roman" w:hAnsi="Times New Roman" w:eastAsia="宋体"/>
                    </w:rPr>
                  </w:pPr>
                </w:p>
              </w:tc>
              <w:tc>
                <w:tcPr>
                  <w:tcW w:w="504" w:type="pct"/>
                  <w:vMerge w:val="continue"/>
                  <w:vAlign w:val="center"/>
                </w:tcPr>
                <w:p>
                  <w:pPr>
                    <w:adjustRightInd w:val="0"/>
                    <w:snapToGrid w:val="0"/>
                    <w:jc w:val="center"/>
                    <w:rPr>
                      <w:rFonts w:ascii="Times New Roman" w:hAnsi="Times New Roman" w:eastAsia="宋体"/>
                    </w:rPr>
                  </w:pPr>
                </w:p>
              </w:tc>
              <w:tc>
                <w:tcPr>
                  <w:tcW w:w="784" w:type="pct"/>
                  <w:vAlign w:val="center"/>
                </w:tcPr>
                <w:p>
                  <w:pPr>
                    <w:adjustRightInd w:val="0"/>
                    <w:snapToGrid w:val="0"/>
                    <w:jc w:val="center"/>
                    <w:rPr>
                      <w:rFonts w:ascii="Times New Roman" w:hAnsi="Times New Roman" w:eastAsia="宋体"/>
                    </w:rPr>
                  </w:pPr>
                  <w:r>
                    <w:rPr>
                      <w:rFonts w:hint="eastAsia" w:ascii="Times New Roman" w:hAnsi="Times New Roman" w:eastAsia="宋体"/>
                    </w:rPr>
                    <w:t>最高允许浓度限值</w:t>
                  </w:r>
                  <w:r>
                    <w:rPr>
                      <w:rFonts w:ascii="Times New Roman" w:hAnsi="Times New Roman" w:eastAsia="宋体"/>
                    </w:rPr>
                    <w:t>（mg/m</w:t>
                  </w:r>
                  <w:r>
                    <w:rPr>
                      <w:rFonts w:ascii="Times New Roman" w:hAnsi="Times New Roman" w:eastAsia="宋体"/>
                      <w:vertAlign w:val="superscript"/>
                    </w:rPr>
                    <w:t>3</w:t>
                  </w:r>
                  <w:r>
                    <w:rPr>
                      <w:rFonts w:ascii="Times New Roman" w:hAnsi="Times New Roman" w:eastAsia="宋体"/>
                    </w:rPr>
                    <w:t>）</w:t>
                  </w:r>
                </w:p>
              </w:tc>
              <w:tc>
                <w:tcPr>
                  <w:tcW w:w="669" w:type="pct"/>
                  <w:vAlign w:val="center"/>
                </w:tcPr>
                <w:p>
                  <w:pPr>
                    <w:adjustRightInd w:val="0"/>
                    <w:snapToGrid w:val="0"/>
                    <w:jc w:val="center"/>
                    <w:rPr>
                      <w:rFonts w:ascii="Times New Roman" w:hAnsi="Times New Roman" w:eastAsia="宋体"/>
                    </w:rPr>
                  </w:pPr>
                  <w:r>
                    <w:rPr>
                      <w:rFonts w:hint="eastAsia" w:ascii="Times New Roman" w:hAnsi="Times New Roman" w:eastAsia="宋体"/>
                    </w:rPr>
                    <w:t>NMHC最低去除效率</w:t>
                  </w:r>
                </w:p>
              </w:tc>
              <w:tc>
                <w:tcPr>
                  <w:tcW w:w="601" w:type="pct"/>
                  <w:vAlign w:val="center"/>
                </w:tcPr>
                <w:p>
                  <w:pPr>
                    <w:adjustRightInd w:val="0"/>
                    <w:snapToGrid w:val="0"/>
                    <w:jc w:val="center"/>
                    <w:rPr>
                      <w:rFonts w:ascii="Times New Roman" w:hAnsi="Times New Roman" w:eastAsia="宋体"/>
                    </w:rPr>
                  </w:pPr>
                  <w:r>
                    <w:rPr>
                      <w:rFonts w:hint="eastAsia" w:ascii="Times New Roman" w:hAnsi="Times New Roman" w:eastAsia="宋体"/>
                    </w:rPr>
                    <w:t>企业边界监控点浓度限值</w:t>
                  </w:r>
                </w:p>
              </w:tc>
              <w:tc>
                <w:tcPr>
                  <w:tcW w:w="784" w:type="pct"/>
                  <w:vAlign w:val="center"/>
                </w:tcPr>
                <w:p>
                  <w:pPr>
                    <w:adjustRightInd w:val="0"/>
                    <w:snapToGrid w:val="0"/>
                    <w:jc w:val="center"/>
                    <w:rPr>
                      <w:rFonts w:ascii="Times New Roman" w:hAnsi="Times New Roman" w:eastAsia="宋体"/>
                    </w:rPr>
                  </w:pPr>
                  <w:r>
                    <w:rPr>
                      <w:rFonts w:hint="eastAsia" w:ascii="Times New Roman" w:hAnsi="Times New Roman" w:eastAsia="宋体"/>
                    </w:rPr>
                    <w:t>最高允许浓度限值</w:t>
                  </w:r>
                  <w:r>
                    <w:rPr>
                      <w:rFonts w:ascii="Times New Roman" w:hAnsi="Times New Roman" w:eastAsia="宋体"/>
                    </w:rPr>
                    <w:t>（mg/m</w:t>
                  </w:r>
                  <w:r>
                    <w:rPr>
                      <w:rFonts w:ascii="Times New Roman" w:hAnsi="Times New Roman" w:eastAsia="宋体"/>
                      <w:vertAlign w:val="superscript"/>
                    </w:rPr>
                    <w:t>3</w:t>
                  </w:r>
                  <w:r>
                    <w:rPr>
                      <w:rFonts w:ascii="Times New Roman" w:hAnsi="Times New Roman" w:eastAsia="宋体"/>
                    </w:rPr>
                    <w:t>）</w:t>
                  </w:r>
                </w:p>
              </w:tc>
              <w:tc>
                <w:tcPr>
                  <w:tcW w:w="1371" w:type="pct"/>
                  <w:vAlign w:val="center"/>
                </w:tcPr>
                <w:p>
                  <w:pPr>
                    <w:adjustRightInd w:val="0"/>
                    <w:snapToGrid w:val="0"/>
                    <w:jc w:val="center"/>
                    <w:rPr>
                      <w:rFonts w:ascii="Times New Roman" w:hAnsi="Times New Roman" w:eastAsia="宋体"/>
                    </w:rPr>
                  </w:pPr>
                  <w:r>
                    <w:rPr>
                      <w:rFonts w:hint="eastAsia" w:ascii="Times New Roman" w:hAnsi="Times New Roman" w:eastAsia="宋体"/>
                    </w:rPr>
                    <w:t>特别排放限值mg/m</w:t>
                  </w:r>
                  <w:r>
                    <w:rPr>
                      <w:rFonts w:hint="eastAsia" w:ascii="Times New Roman" w:hAnsi="Times New Roman" w:eastAsia="宋体"/>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6" w:type="pct"/>
                  <w:vMerge w:val="restart"/>
                  <w:vAlign w:val="center"/>
                </w:tcPr>
                <w:p>
                  <w:pPr>
                    <w:adjustRightInd w:val="0"/>
                    <w:snapToGrid w:val="0"/>
                    <w:jc w:val="center"/>
                    <w:rPr>
                      <w:rFonts w:ascii="Times New Roman" w:hAnsi="Times New Roman" w:eastAsia="宋体"/>
                    </w:rPr>
                  </w:pPr>
                  <w:r>
                    <w:rPr>
                      <w:rFonts w:hint="eastAsia" w:ascii="Times New Roman" w:hAnsi="Times New Roman" w:eastAsia="宋体"/>
                    </w:rPr>
                    <w:t>表面涂装</w:t>
                  </w:r>
                </w:p>
              </w:tc>
              <w:tc>
                <w:tcPr>
                  <w:tcW w:w="504" w:type="pct"/>
                  <w:vAlign w:val="center"/>
                </w:tcPr>
                <w:p>
                  <w:pPr>
                    <w:adjustRightInd w:val="0"/>
                    <w:snapToGrid w:val="0"/>
                    <w:jc w:val="center"/>
                    <w:rPr>
                      <w:rFonts w:ascii="Times New Roman" w:hAnsi="Times New Roman" w:eastAsia="宋体"/>
                    </w:rPr>
                  </w:pPr>
                  <w:r>
                    <w:rPr>
                      <w:rFonts w:hint="eastAsia" w:ascii="Times New Roman" w:hAnsi="Times New Roman" w:eastAsia="宋体"/>
                    </w:rPr>
                    <w:t>二甲苯</w:t>
                  </w:r>
                </w:p>
              </w:tc>
              <w:tc>
                <w:tcPr>
                  <w:tcW w:w="784" w:type="pct"/>
                  <w:vAlign w:val="center"/>
                </w:tcPr>
                <w:p>
                  <w:pPr>
                    <w:adjustRightInd w:val="0"/>
                    <w:snapToGrid w:val="0"/>
                    <w:jc w:val="center"/>
                    <w:rPr>
                      <w:rFonts w:ascii="Times New Roman" w:hAnsi="Times New Roman" w:eastAsia="宋体"/>
                    </w:rPr>
                  </w:pPr>
                  <w:r>
                    <w:rPr>
                      <w:rFonts w:hint="eastAsia" w:ascii="Times New Roman" w:hAnsi="Times New Roman" w:eastAsia="宋体"/>
                    </w:rPr>
                    <w:t>15</w:t>
                  </w:r>
                </w:p>
              </w:tc>
              <w:tc>
                <w:tcPr>
                  <w:tcW w:w="669" w:type="pct"/>
                  <w:vAlign w:val="center"/>
                </w:tcPr>
                <w:p>
                  <w:pPr>
                    <w:adjustRightInd w:val="0"/>
                    <w:snapToGrid w:val="0"/>
                    <w:jc w:val="center"/>
                    <w:rPr>
                      <w:rFonts w:ascii="Times New Roman" w:hAnsi="Times New Roman" w:eastAsia="宋体"/>
                    </w:rPr>
                  </w:pPr>
                  <w:r>
                    <w:rPr>
                      <w:rFonts w:hint="eastAsia" w:ascii="Times New Roman" w:hAnsi="Times New Roman" w:eastAsia="宋体"/>
                    </w:rPr>
                    <w:t>/</w:t>
                  </w:r>
                </w:p>
              </w:tc>
              <w:tc>
                <w:tcPr>
                  <w:tcW w:w="601" w:type="pct"/>
                  <w:vAlign w:val="center"/>
                </w:tcPr>
                <w:p>
                  <w:pPr>
                    <w:adjustRightInd w:val="0"/>
                    <w:snapToGrid w:val="0"/>
                    <w:jc w:val="center"/>
                    <w:rPr>
                      <w:rFonts w:ascii="Times New Roman" w:hAnsi="Times New Roman" w:eastAsia="宋体"/>
                    </w:rPr>
                  </w:pPr>
                  <w:r>
                    <w:rPr>
                      <w:rFonts w:hint="eastAsia" w:ascii="Times New Roman" w:hAnsi="Times New Roman" w:eastAsia="宋体"/>
                    </w:rPr>
                    <w:t>二甲苯</w:t>
                  </w:r>
                </w:p>
              </w:tc>
              <w:tc>
                <w:tcPr>
                  <w:tcW w:w="784" w:type="pct"/>
                  <w:vAlign w:val="center"/>
                </w:tcPr>
                <w:p>
                  <w:pPr>
                    <w:adjustRightInd w:val="0"/>
                    <w:snapToGrid w:val="0"/>
                    <w:jc w:val="center"/>
                    <w:rPr>
                      <w:rFonts w:ascii="Times New Roman" w:hAnsi="Times New Roman" w:eastAsia="宋体"/>
                    </w:rPr>
                  </w:pPr>
                  <w:r>
                    <w:rPr>
                      <w:rFonts w:hint="eastAsia" w:ascii="Times New Roman" w:hAnsi="Times New Roman" w:eastAsia="宋体"/>
                    </w:rPr>
                    <w:t>0</w:t>
                  </w:r>
                  <w:r>
                    <w:rPr>
                      <w:rFonts w:ascii="Times New Roman" w:hAnsi="Times New Roman" w:eastAsia="宋体"/>
                    </w:rPr>
                    <w:t>.3</w:t>
                  </w:r>
                </w:p>
              </w:tc>
              <w:tc>
                <w:tcPr>
                  <w:tcW w:w="1371" w:type="pct"/>
                  <w:vAlign w:val="center"/>
                </w:tcPr>
                <w:p>
                  <w:pPr>
                    <w:adjustRightInd w:val="0"/>
                    <w:snapToGrid w:val="0"/>
                    <w:jc w:val="center"/>
                    <w:rPr>
                      <w:rFonts w:ascii="Times New Roman" w:hAnsi="Times New Roman" w:eastAsia="宋体"/>
                    </w:rPr>
                  </w:pPr>
                  <w:r>
                    <w:rPr>
                      <w:rFonts w:hint="eastAsia" w:ascii="Times New Roman" w:hAnsi="Times New Roman"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6" w:type="pct"/>
                  <w:vMerge w:val="continue"/>
                  <w:vAlign w:val="center"/>
                </w:tcPr>
                <w:p>
                  <w:pPr>
                    <w:adjustRightInd w:val="0"/>
                    <w:snapToGrid w:val="0"/>
                    <w:jc w:val="center"/>
                    <w:rPr>
                      <w:rFonts w:ascii="Times New Roman" w:hAnsi="Times New Roman" w:eastAsia="宋体"/>
                    </w:rPr>
                  </w:pPr>
                </w:p>
              </w:tc>
              <w:tc>
                <w:tcPr>
                  <w:tcW w:w="504" w:type="pct"/>
                  <w:vAlign w:val="center"/>
                </w:tcPr>
                <w:p>
                  <w:pPr>
                    <w:adjustRightInd w:val="0"/>
                    <w:snapToGrid w:val="0"/>
                    <w:jc w:val="center"/>
                    <w:rPr>
                      <w:rFonts w:ascii="Times New Roman" w:hAnsi="Times New Roman" w:eastAsia="宋体"/>
                    </w:rPr>
                  </w:pPr>
                  <w:r>
                    <w:rPr>
                      <w:rFonts w:hint="eastAsia" w:ascii="Times New Roman" w:hAnsi="Times New Roman" w:eastAsia="宋体"/>
                    </w:rPr>
                    <w:t>非甲烷总烃</w:t>
                  </w:r>
                </w:p>
              </w:tc>
              <w:tc>
                <w:tcPr>
                  <w:tcW w:w="784" w:type="pct"/>
                  <w:vAlign w:val="center"/>
                </w:tcPr>
                <w:p>
                  <w:pPr>
                    <w:adjustRightInd w:val="0"/>
                    <w:snapToGrid w:val="0"/>
                    <w:jc w:val="center"/>
                    <w:rPr>
                      <w:rFonts w:ascii="Times New Roman" w:hAnsi="Times New Roman" w:eastAsia="宋体"/>
                    </w:rPr>
                  </w:pPr>
                  <w:r>
                    <w:rPr>
                      <w:rFonts w:hint="eastAsia" w:ascii="Times New Roman" w:hAnsi="Times New Roman" w:eastAsia="宋体"/>
                    </w:rPr>
                    <w:t>50</w:t>
                  </w:r>
                </w:p>
              </w:tc>
              <w:tc>
                <w:tcPr>
                  <w:tcW w:w="669" w:type="pct"/>
                  <w:vAlign w:val="center"/>
                </w:tcPr>
                <w:p>
                  <w:pPr>
                    <w:adjustRightInd w:val="0"/>
                    <w:snapToGrid w:val="0"/>
                    <w:jc w:val="center"/>
                    <w:rPr>
                      <w:rFonts w:ascii="Times New Roman" w:hAnsi="Times New Roman" w:eastAsia="宋体"/>
                    </w:rPr>
                  </w:pPr>
                  <w:r>
                    <w:rPr>
                      <w:rFonts w:hint="eastAsia" w:ascii="Times New Roman" w:hAnsi="Times New Roman" w:eastAsia="宋体"/>
                    </w:rPr>
                    <w:t>85%</w:t>
                  </w:r>
                </w:p>
              </w:tc>
              <w:tc>
                <w:tcPr>
                  <w:tcW w:w="601" w:type="pct"/>
                  <w:vAlign w:val="center"/>
                </w:tcPr>
                <w:p>
                  <w:pPr>
                    <w:adjustRightInd w:val="0"/>
                    <w:snapToGrid w:val="0"/>
                    <w:jc w:val="center"/>
                    <w:rPr>
                      <w:rFonts w:ascii="Times New Roman" w:hAnsi="Times New Roman" w:eastAsia="宋体"/>
                    </w:rPr>
                  </w:pPr>
                  <w:r>
                    <w:rPr>
                      <w:rFonts w:hint="eastAsia" w:ascii="Times New Roman" w:hAnsi="Times New Roman" w:eastAsia="宋体"/>
                    </w:rPr>
                    <w:t>非甲烷总烃</w:t>
                  </w:r>
                </w:p>
              </w:tc>
              <w:tc>
                <w:tcPr>
                  <w:tcW w:w="784" w:type="pct"/>
                  <w:vAlign w:val="center"/>
                </w:tcPr>
                <w:p>
                  <w:pPr>
                    <w:adjustRightInd w:val="0"/>
                    <w:snapToGrid w:val="0"/>
                    <w:jc w:val="center"/>
                    <w:rPr>
                      <w:rFonts w:ascii="Times New Roman" w:hAnsi="Times New Roman" w:eastAsia="宋体"/>
                    </w:rPr>
                  </w:pPr>
                  <w:r>
                    <w:rPr>
                      <w:rFonts w:hint="eastAsia" w:ascii="Times New Roman" w:hAnsi="Times New Roman" w:eastAsia="宋体"/>
                    </w:rPr>
                    <w:t>3</w:t>
                  </w:r>
                </w:p>
              </w:tc>
              <w:tc>
                <w:tcPr>
                  <w:tcW w:w="1371" w:type="pct"/>
                  <w:vAlign w:val="center"/>
                </w:tcPr>
                <w:p>
                  <w:pPr>
                    <w:adjustRightInd w:val="0"/>
                    <w:snapToGrid w:val="0"/>
                    <w:jc w:val="center"/>
                    <w:rPr>
                      <w:rFonts w:ascii="Times New Roman" w:hAnsi="Times New Roman" w:eastAsia="宋体"/>
                    </w:rPr>
                  </w:pPr>
                  <w:r>
                    <w:rPr>
                      <w:rFonts w:ascii="Times New Roman" w:hAnsi="Times New Roman" w:eastAsia="宋体"/>
                    </w:rPr>
                    <w:t>6</w:t>
                  </w:r>
                </w:p>
              </w:tc>
            </w:tr>
            <w:bookmarkEnd w:id="9"/>
          </w:tbl>
          <w:p>
            <w:pPr>
              <w:pStyle w:val="49"/>
              <w:adjustRightInd w:val="0"/>
              <w:snapToGrid w:val="0"/>
              <w:spacing w:before="156" w:beforeLines="50"/>
              <w:ind w:firstLine="0" w:firstLineChars="0"/>
              <w:rPr>
                <w:rFonts w:ascii="Times New Roman" w:hAnsi="Times New Roman" w:eastAsia="宋体" w:cs="Times New Roman"/>
                <w:b/>
                <w:kern w:val="0"/>
                <w:szCs w:val="24"/>
              </w:rPr>
            </w:pPr>
            <w:r>
              <w:rPr>
                <w:rFonts w:ascii="Times New Roman" w:hAnsi="Times New Roman" w:eastAsia="宋体" w:cs="Times New Roman"/>
                <w:b/>
                <w:szCs w:val="24"/>
              </w:rPr>
              <w:t>2、噪声：</w:t>
            </w:r>
            <w:r>
              <w:rPr>
                <w:rFonts w:hint="eastAsia" w:ascii="Times New Roman" w:hAnsi="Times New Roman" w:eastAsia="宋体"/>
              </w:rPr>
              <w:t>施工期噪声执行《建筑施工场界环境噪声排放标准》（GB12523-2011），见表</w:t>
            </w:r>
            <w:r>
              <w:rPr>
                <w:rFonts w:ascii="Times New Roman" w:hAnsi="Times New Roman" w:eastAsia="宋体"/>
              </w:rPr>
              <w:t>3-6</w:t>
            </w:r>
            <w:r>
              <w:rPr>
                <w:rFonts w:hint="eastAsia" w:ascii="Times New Roman" w:hAnsi="Times New Roman" w:eastAsia="宋体"/>
              </w:rPr>
              <w:t>；</w:t>
            </w:r>
            <w:r>
              <w:rPr>
                <w:rFonts w:ascii="Times New Roman" w:hAnsi="Times New Roman" w:eastAsia="宋体" w:cs="Times New Roman"/>
                <w:szCs w:val="24"/>
              </w:rPr>
              <w:t>运营期噪声执行《工业企业厂界环境噪声排放标准》（GB12348</w:t>
            </w:r>
            <w:r>
              <w:rPr>
                <w:rFonts w:hint="eastAsia" w:ascii="Times New Roman" w:hAnsi="Times New Roman" w:eastAsia="宋体" w:cs="Times New Roman"/>
                <w:szCs w:val="24"/>
              </w:rPr>
              <w:t>-</w:t>
            </w:r>
            <w:r>
              <w:rPr>
                <w:rFonts w:ascii="Times New Roman" w:hAnsi="Times New Roman" w:eastAsia="宋体" w:cs="Times New Roman"/>
                <w:szCs w:val="24"/>
              </w:rPr>
              <w:t>2008）中3类标</w:t>
            </w:r>
            <w:r>
              <w:rPr>
                <w:rFonts w:ascii="Times New Roman" w:hAnsi="Times New Roman" w:eastAsia="宋体" w:cs="Times New Roman"/>
                <w:bCs/>
                <w:kern w:val="0"/>
                <w:szCs w:val="24"/>
              </w:rPr>
              <w:t>准，见表</w:t>
            </w:r>
            <w:r>
              <w:rPr>
                <w:rFonts w:hint="eastAsia" w:ascii="Times New Roman" w:hAnsi="Times New Roman" w:eastAsia="宋体" w:cs="Times New Roman"/>
                <w:bCs/>
                <w:kern w:val="0"/>
                <w:szCs w:val="24"/>
              </w:rPr>
              <w:t>3</w:t>
            </w:r>
            <w:r>
              <w:rPr>
                <w:rFonts w:ascii="Times New Roman" w:hAnsi="Times New Roman" w:eastAsia="宋体" w:cs="Times New Roman"/>
                <w:bCs/>
                <w:kern w:val="0"/>
                <w:szCs w:val="24"/>
              </w:rPr>
              <w:t>-7。</w:t>
            </w:r>
          </w:p>
          <w:p>
            <w:pPr>
              <w:pStyle w:val="84"/>
              <w:widowControl w:val="0"/>
              <w:snapToGrid w:val="0"/>
            </w:pPr>
            <w:r>
              <w:rPr>
                <w:rFonts w:hint="eastAsia"/>
              </w:rPr>
              <w:t>表</w:t>
            </w:r>
            <w:r>
              <w:t>3-6</w:t>
            </w:r>
            <w:r>
              <w:rPr>
                <w:rFonts w:hint="eastAsia"/>
              </w:rPr>
              <w:t xml:space="preserve">  建筑施工场界环境噪声排放标准  单位：dB（A）</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2694"/>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44" w:type="dxa"/>
                </w:tcPr>
                <w:p>
                  <w:pPr>
                    <w:pStyle w:val="57"/>
                  </w:pPr>
                  <w:r>
                    <w:t>执行标准</w:t>
                  </w:r>
                </w:p>
              </w:tc>
              <w:tc>
                <w:tcPr>
                  <w:tcW w:w="2694" w:type="dxa"/>
                  <w:shd w:val="clear" w:color="auto" w:fill="auto"/>
                  <w:vAlign w:val="center"/>
                </w:tcPr>
                <w:p>
                  <w:pPr>
                    <w:pStyle w:val="57"/>
                  </w:pPr>
                  <w:r>
                    <w:rPr>
                      <w:rFonts w:hint="eastAsia"/>
                    </w:rPr>
                    <w:t>昼间</w:t>
                  </w:r>
                </w:p>
              </w:tc>
              <w:tc>
                <w:tcPr>
                  <w:tcW w:w="2084" w:type="dxa"/>
                  <w:shd w:val="clear" w:color="auto" w:fill="auto"/>
                  <w:vAlign w:val="center"/>
                </w:tcPr>
                <w:p>
                  <w:pPr>
                    <w:pStyle w:val="57"/>
                  </w:pPr>
                  <w:r>
                    <w:rPr>
                      <w:rFonts w:hint="eastAsia"/>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44" w:type="dxa"/>
                </w:tcPr>
                <w:p>
                  <w:pPr>
                    <w:pStyle w:val="57"/>
                  </w:pPr>
                  <w:r>
                    <w:rPr>
                      <w:rFonts w:hint="eastAsia"/>
                    </w:rPr>
                    <w:t>《建筑施工场界环境噪声排放标准》（GB12523-2011）</w:t>
                  </w:r>
                </w:p>
              </w:tc>
              <w:tc>
                <w:tcPr>
                  <w:tcW w:w="2694" w:type="dxa"/>
                  <w:shd w:val="clear" w:color="auto" w:fill="auto"/>
                  <w:vAlign w:val="center"/>
                </w:tcPr>
                <w:p>
                  <w:pPr>
                    <w:pStyle w:val="57"/>
                  </w:pPr>
                  <w:r>
                    <w:rPr>
                      <w:rFonts w:hint="eastAsia"/>
                    </w:rPr>
                    <w:t>70</w:t>
                  </w:r>
                </w:p>
              </w:tc>
              <w:tc>
                <w:tcPr>
                  <w:tcW w:w="2084" w:type="dxa"/>
                  <w:shd w:val="clear" w:color="auto" w:fill="auto"/>
                  <w:vAlign w:val="center"/>
                </w:tcPr>
                <w:p>
                  <w:pPr>
                    <w:pStyle w:val="57"/>
                  </w:pPr>
                  <w:r>
                    <w:rPr>
                      <w:rFonts w:hint="eastAsia"/>
                    </w:rPr>
                    <w:t>55</w:t>
                  </w:r>
                </w:p>
              </w:tc>
            </w:tr>
          </w:tbl>
          <w:p>
            <w:pPr>
              <w:pStyle w:val="84"/>
            </w:pPr>
            <w:r>
              <w:rPr>
                <w:rFonts w:hint="eastAsia"/>
              </w:rPr>
              <w:t>表3-</w:t>
            </w:r>
            <w:r>
              <w:t>7</w:t>
            </w:r>
            <w:r>
              <w:rPr>
                <w:rFonts w:hint="eastAsia"/>
              </w:rPr>
              <w:t xml:space="preserve">  工业企业厂界环境噪声排放限值  单位：dB(A)</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119"/>
              <w:gridCol w:w="1842"/>
              <w:gridCol w:w="2450"/>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874" w:type="pct"/>
                  <w:vMerge w:val="restart"/>
                  <w:vAlign w:val="center"/>
                </w:tcPr>
                <w:p>
                  <w:pPr>
                    <w:adjustRightInd w:val="0"/>
                    <w:snapToGrid w:val="0"/>
                    <w:jc w:val="center"/>
                    <w:rPr>
                      <w:rFonts w:ascii="Times New Roman" w:hAnsi="Times New Roman" w:eastAsia="宋体" w:cs="Times New Roman"/>
                      <w:b/>
                      <w:bCs/>
                      <w:kern w:val="0"/>
                    </w:rPr>
                  </w:pPr>
                  <w:r>
                    <w:rPr>
                      <w:rFonts w:ascii="Times New Roman" w:hAnsi="Times New Roman" w:eastAsia="宋体" w:cs="Times New Roman"/>
                      <w:b/>
                      <w:bCs/>
                      <w:kern w:val="0"/>
                    </w:rPr>
                    <w:t>执行标准</w:t>
                  </w:r>
                </w:p>
              </w:tc>
              <w:tc>
                <w:tcPr>
                  <w:tcW w:w="1107" w:type="pct"/>
                  <w:vMerge w:val="restart"/>
                  <w:vAlign w:val="center"/>
                </w:tcPr>
                <w:p>
                  <w:pPr>
                    <w:adjustRightInd w:val="0"/>
                    <w:snapToGrid w:val="0"/>
                    <w:jc w:val="center"/>
                    <w:rPr>
                      <w:rFonts w:ascii="Times New Roman" w:hAnsi="Times New Roman" w:eastAsia="宋体" w:cs="Times New Roman"/>
                      <w:b/>
                      <w:bCs/>
                      <w:kern w:val="0"/>
                    </w:rPr>
                  </w:pPr>
                  <w:r>
                    <w:rPr>
                      <w:rFonts w:ascii="Times New Roman" w:hAnsi="Times New Roman" w:eastAsia="宋体" w:cs="Times New Roman"/>
                      <w:b/>
                      <w:bCs/>
                      <w:kern w:val="0"/>
                    </w:rPr>
                    <w:t>厂界外声环境功能区类别</w:t>
                  </w:r>
                </w:p>
              </w:tc>
              <w:tc>
                <w:tcPr>
                  <w:tcW w:w="2019" w:type="pct"/>
                  <w:gridSpan w:val="2"/>
                  <w:vAlign w:val="center"/>
                </w:tcPr>
                <w:p>
                  <w:pPr>
                    <w:adjustRightInd w:val="0"/>
                    <w:snapToGrid w:val="0"/>
                    <w:jc w:val="center"/>
                    <w:rPr>
                      <w:rFonts w:ascii="Times New Roman" w:hAnsi="Times New Roman" w:eastAsia="宋体" w:cs="Times New Roman"/>
                      <w:b/>
                      <w:bCs/>
                      <w:kern w:val="0"/>
                    </w:rPr>
                  </w:pPr>
                  <w:r>
                    <w:rPr>
                      <w:rFonts w:ascii="Times New Roman" w:hAnsi="Times New Roman" w:eastAsia="宋体" w:cs="Times New Roman"/>
                      <w:b/>
                      <w:bCs/>
                      <w:kern w:val="0"/>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874" w:type="pct"/>
                  <w:vMerge w:val="continue"/>
                </w:tcPr>
                <w:p>
                  <w:pPr>
                    <w:adjustRightInd w:val="0"/>
                    <w:snapToGrid w:val="0"/>
                    <w:jc w:val="center"/>
                    <w:rPr>
                      <w:rFonts w:ascii="Times New Roman" w:hAnsi="Times New Roman" w:eastAsia="宋体" w:cs="Times New Roman"/>
                      <w:b/>
                      <w:bCs/>
                      <w:kern w:val="0"/>
                    </w:rPr>
                  </w:pPr>
                </w:p>
              </w:tc>
              <w:tc>
                <w:tcPr>
                  <w:tcW w:w="1107" w:type="pct"/>
                  <w:vMerge w:val="continue"/>
                  <w:vAlign w:val="center"/>
                </w:tcPr>
                <w:p>
                  <w:pPr>
                    <w:adjustRightInd w:val="0"/>
                    <w:snapToGrid w:val="0"/>
                    <w:jc w:val="center"/>
                    <w:rPr>
                      <w:rFonts w:ascii="Times New Roman" w:hAnsi="Times New Roman" w:eastAsia="宋体" w:cs="Times New Roman"/>
                      <w:b/>
                      <w:bCs/>
                      <w:kern w:val="0"/>
                    </w:rPr>
                  </w:pPr>
                </w:p>
              </w:tc>
              <w:tc>
                <w:tcPr>
                  <w:tcW w:w="1472" w:type="pct"/>
                  <w:vAlign w:val="center"/>
                </w:tcPr>
                <w:p>
                  <w:pPr>
                    <w:adjustRightInd w:val="0"/>
                    <w:snapToGrid w:val="0"/>
                    <w:jc w:val="center"/>
                    <w:rPr>
                      <w:rFonts w:ascii="Times New Roman" w:hAnsi="Times New Roman" w:eastAsia="宋体" w:cs="Times New Roman"/>
                      <w:b/>
                      <w:bCs/>
                      <w:kern w:val="0"/>
                    </w:rPr>
                  </w:pPr>
                  <w:r>
                    <w:rPr>
                      <w:rFonts w:ascii="Times New Roman" w:hAnsi="Times New Roman" w:eastAsia="宋体" w:cs="Times New Roman"/>
                      <w:b/>
                      <w:bCs/>
                      <w:kern w:val="0"/>
                    </w:rPr>
                    <w:t>昼间</w:t>
                  </w:r>
                </w:p>
              </w:tc>
              <w:tc>
                <w:tcPr>
                  <w:tcW w:w="547" w:type="pct"/>
                  <w:vAlign w:val="center"/>
                </w:tcPr>
                <w:p>
                  <w:pPr>
                    <w:adjustRightInd w:val="0"/>
                    <w:snapToGrid w:val="0"/>
                    <w:jc w:val="center"/>
                    <w:rPr>
                      <w:rFonts w:ascii="Times New Roman" w:hAnsi="Times New Roman" w:eastAsia="宋体" w:cs="Times New Roman"/>
                      <w:b/>
                      <w:bCs/>
                      <w:kern w:val="0"/>
                    </w:rPr>
                  </w:pPr>
                  <w:r>
                    <w:rPr>
                      <w:rFonts w:hint="eastAsia" w:ascii="Times New Roman" w:hAnsi="Times New Roman" w:eastAsia="宋体" w:cs="Times New Roman"/>
                      <w:b/>
                      <w:bCs/>
                      <w:kern w:val="0"/>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874"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《工业企业厂界环境噪声排放标准》（GB12348-2008）</w:t>
                  </w:r>
                </w:p>
              </w:tc>
              <w:tc>
                <w:tcPr>
                  <w:tcW w:w="1107"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3</w:t>
                  </w:r>
                </w:p>
              </w:tc>
              <w:tc>
                <w:tcPr>
                  <w:tcW w:w="1472" w:type="pct"/>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kern w:val="0"/>
                    </w:rPr>
                    <w:t>65</w:t>
                  </w:r>
                </w:p>
              </w:tc>
              <w:tc>
                <w:tcPr>
                  <w:tcW w:w="547" w:type="pct"/>
                  <w:vAlign w:val="center"/>
                </w:tcPr>
                <w:p>
                  <w:pPr>
                    <w:adjustRightInd w:val="0"/>
                    <w:snapToGrid w:val="0"/>
                    <w:jc w:val="center"/>
                    <w:rPr>
                      <w:rFonts w:ascii="Times New Roman" w:hAnsi="Times New Roman" w:eastAsia="宋体" w:cs="Times New Roman"/>
                      <w:kern w:val="0"/>
                    </w:rPr>
                  </w:pPr>
                  <w:r>
                    <w:rPr>
                      <w:rFonts w:hint="eastAsia" w:ascii="Times New Roman" w:hAnsi="Times New Roman" w:eastAsia="宋体" w:cs="Times New Roman"/>
                      <w:kern w:val="0"/>
                    </w:rPr>
                    <w:t>5</w:t>
                  </w:r>
                  <w:r>
                    <w:rPr>
                      <w:rFonts w:ascii="Times New Roman" w:hAnsi="Times New Roman" w:eastAsia="宋体" w:cs="Times New Roman"/>
                      <w:kern w:val="0"/>
                    </w:rPr>
                    <w:t>5</w:t>
                  </w:r>
                </w:p>
              </w:tc>
            </w:tr>
          </w:tbl>
          <w:p>
            <w:pPr>
              <w:adjustRightInd w:val="0"/>
              <w:snapToGrid w:val="0"/>
              <w:spacing w:before="156" w:beforeLines="50" w:line="360" w:lineRule="auto"/>
              <w:rPr>
                <w:rFonts w:ascii="Times New Roman" w:hAnsi="Times New Roman" w:eastAsia="宋体" w:cs="Times New Roman"/>
                <w:sz w:val="24"/>
              </w:rPr>
            </w:pPr>
            <w:r>
              <w:rPr>
                <w:rFonts w:ascii="Times New Roman" w:hAnsi="Times New Roman" w:eastAsia="宋体" w:cs="Times New Roman"/>
                <w:b/>
                <w:sz w:val="24"/>
              </w:rPr>
              <w:t>3、废水：</w:t>
            </w:r>
            <w:r>
              <w:rPr>
                <w:rFonts w:hint="eastAsia" w:ascii="Times New Roman" w:hAnsi="Times New Roman" w:eastAsia="宋体" w:cs="Times New Roman"/>
                <w:sz w:val="24"/>
              </w:rPr>
              <w:t>废水中COD、B</w:t>
            </w:r>
            <w:r>
              <w:rPr>
                <w:rFonts w:ascii="Times New Roman" w:hAnsi="Times New Roman" w:eastAsia="宋体" w:cs="Times New Roman"/>
                <w:sz w:val="24"/>
              </w:rPr>
              <w:t>OD</w:t>
            </w:r>
            <w:r>
              <w:rPr>
                <w:rFonts w:ascii="Times New Roman" w:hAnsi="Times New Roman" w:eastAsia="宋体" w:cs="Times New Roman"/>
                <w:sz w:val="24"/>
                <w:vertAlign w:val="subscript"/>
              </w:rPr>
              <w:t>5</w:t>
            </w:r>
            <w:r>
              <w:rPr>
                <w:rFonts w:hint="eastAsia" w:ascii="Times New Roman" w:hAnsi="Times New Roman" w:eastAsia="宋体" w:cs="Times New Roman"/>
                <w:sz w:val="24"/>
              </w:rPr>
              <w:t>、S</w:t>
            </w:r>
            <w:r>
              <w:rPr>
                <w:rFonts w:ascii="Times New Roman" w:hAnsi="Times New Roman" w:eastAsia="宋体" w:cs="Times New Roman"/>
                <w:sz w:val="24"/>
              </w:rPr>
              <w:t>S</w:t>
            </w:r>
            <w:r>
              <w:rPr>
                <w:rFonts w:hint="eastAsia" w:ascii="Times New Roman" w:hAnsi="Times New Roman" w:eastAsia="宋体" w:cs="Times New Roman"/>
                <w:sz w:val="24"/>
              </w:rPr>
              <w:t>执行《污水综合排放标准》（GB8978-1996）三级标准；氨氮、T</w:t>
            </w:r>
            <w:r>
              <w:rPr>
                <w:rFonts w:ascii="Times New Roman" w:hAnsi="Times New Roman" w:eastAsia="宋体" w:cs="Times New Roman"/>
                <w:sz w:val="24"/>
              </w:rPr>
              <w:t>N</w:t>
            </w:r>
            <w:r>
              <w:rPr>
                <w:rFonts w:hint="eastAsia" w:ascii="Times New Roman" w:hAnsi="Times New Roman" w:eastAsia="宋体" w:cs="Times New Roman"/>
                <w:sz w:val="24"/>
              </w:rPr>
              <w:t>、T</w:t>
            </w:r>
            <w:r>
              <w:rPr>
                <w:rFonts w:ascii="Times New Roman" w:hAnsi="Times New Roman" w:eastAsia="宋体" w:cs="Times New Roman"/>
                <w:sz w:val="24"/>
              </w:rPr>
              <w:t>P</w:t>
            </w:r>
            <w:r>
              <w:rPr>
                <w:rFonts w:hint="eastAsia" w:ascii="Times New Roman" w:hAnsi="Times New Roman" w:eastAsia="宋体" w:cs="Times New Roman"/>
                <w:sz w:val="24"/>
              </w:rPr>
              <w:t>执行</w:t>
            </w:r>
            <w:r>
              <w:rPr>
                <w:rFonts w:hint="eastAsia" w:ascii="Times New Roman" w:hAnsi="Times New Roman" w:eastAsia="宋体" w:cs="Times New Roman"/>
                <w:kern w:val="0"/>
                <w:sz w:val="24"/>
              </w:rPr>
              <w:t>《污水排入城镇下水道水质标准》（GB/T 31962-2015）中B级标准</w:t>
            </w:r>
            <w:r>
              <w:rPr>
                <w:rFonts w:hint="eastAsia" w:ascii="Times New Roman" w:hAnsi="Times New Roman" w:eastAsia="宋体" w:cs="Times New Roman"/>
                <w:sz w:val="24"/>
              </w:rPr>
              <w:t>。详见表3</w:t>
            </w:r>
            <w:r>
              <w:rPr>
                <w:rFonts w:ascii="Times New Roman" w:hAnsi="Times New Roman" w:eastAsia="宋体" w:cs="Times New Roman"/>
                <w:sz w:val="24"/>
              </w:rPr>
              <w:t>-8</w:t>
            </w:r>
            <w:r>
              <w:rPr>
                <w:rFonts w:hint="eastAsia" w:ascii="Times New Roman" w:hAnsi="Times New Roman" w:eastAsia="宋体" w:cs="Times New Roman"/>
                <w:sz w:val="24"/>
              </w:rPr>
              <w:t>。</w:t>
            </w:r>
          </w:p>
          <w:p>
            <w:pPr>
              <w:pStyle w:val="84"/>
            </w:pPr>
            <w:r>
              <w:rPr>
                <w:rFonts w:hint="eastAsia"/>
              </w:rPr>
              <w:t>表3-</w:t>
            </w:r>
            <w:r>
              <w:t>8</w:t>
            </w:r>
            <w:r>
              <w:rPr>
                <w:rFonts w:hint="eastAsia"/>
              </w:rPr>
              <w:t xml:space="preserve">  水污染物排放执行标准表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255"/>
              <w:gridCol w:w="309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55" w:type="pct"/>
                  <w:vAlign w:val="center"/>
                </w:tcPr>
                <w:p>
                  <w:pPr>
                    <w:adjustRightInd w:val="0"/>
                    <w:snapToGrid w:val="0"/>
                    <w:jc w:val="center"/>
                    <w:rPr>
                      <w:rFonts w:ascii="Times New Roman" w:hAnsi="Times New Roman" w:eastAsia="宋体"/>
                      <w:b/>
                      <w:bCs/>
                      <w:kern w:val="0"/>
                    </w:rPr>
                  </w:pPr>
                  <w:r>
                    <w:rPr>
                      <w:rFonts w:ascii="Times New Roman" w:hAnsi="Times New Roman" w:eastAsia="宋体"/>
                      <w:b/>
                      <w:bCs/>
                      <w:kern w:val="0"/>
                    </w:rPr>
                    <w:t>评价因子</w:t>
                  </w:r>
                </w:p>
              </w:tc>
              <w:tc>
                <w:tcPr>
                  <w:tcW w:w="1857" w:type="pct"/>
                  <w:vAlign w:val="center"/>
                </w:tcPr>
                <w:p>
                  <w:pPr>
                    <w:adjustRightInd w:val="0"/>
                    <w:snapToGrid w:val="0"/>
                    <w:jc w:val="center"/>
                    <w:rPr>
                      <w:rFonts w:ascii="Times New Roman" w:hAnsi="Times New Roman" w:eastAsia="宋体"/>
                      <w:b/>
                      <w:bCs/>
                      <w:kern w:val="0"/>
                    </w:rPr>
                  </w:pPr>
                  <w:r>
                    <w:rPr>
                      <w:rFonts w:ascii="Times New Roman" w:hAnsi="Times New Roman" w:eastAsia="宋体"/>
                      <w:b/>
                      <w:bCs/>
                      <w:kern w:val="0"/>
                    </w:rPr>
                    <w:t>执行标准</w:t>
                  </w:r>
                </w:p>
              </w:tc>
              <w:tc>
                <w:tcPr>
                  <w:tcW w:w="1788" w:type="pct"/>
                  <w:vAlign w:val="center"/>
                </w:tcPr>
                <w:p>
                  <w:pPr>
                    <w:adjustRightInd w:val="0"/>
                    <w:snapToGrid w:val="0"/>
                    <w:jc w:val="center"/>
                    <w:rPr>
                      <w:rFonts w:ascii="Times New Roman" w:hAnsi="Times New Roman" w:eastAsia="宋体"/>
                      <w:b/>
                      <w:bCs/>
                      <w:kern w:val="0"/>
                    </w:rPr>
                  </w:pPr>
                  <w:r>
                    <w:rPr>
                      <w:rFonts w:ascii="Times New Roman" w:hAnsi="Times New Roman" w:eastAsia="宋体"/>
                      <w:b/>
                      <w:bCs/>
                      <w:kern w:val="0"/>
                    </w:rPr>
                    <w:t>最高允许排放浓度mg/L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55" w:type="pct"/>
                  <w:vAlign w:val="center"/>
                </w:tcPr>
                <w:p>
                  <w:pPr>
                    <w:adjustRightInd w:val="0"/>
                    <w:snapToGrid w:val="0"/>
                    <w:jc w:val="center"/>
                    <w:rPr>
                      <w:rFonts w:ascii="Times New Roman" w:hAnsi="Times New Roman" w:eastAsia="宋体"/>
                      <w:kern w:val="0"/>
                    </w:rPr>
                  </w:pPr>
                  <w:r>
                    <w:rPr>
                      <w:rFonts w:ascii="Times New Roman" w:hAnsi="Times New Roman" w:eastAsia="宋体"/>
                      <w:kern w:val="0"/>
                    </w:rPr>
                    <w:t>COD</w:t>
                  </w:r>
                </w:p>
              </w:tc>
              <w:tc>
                <w:tcPr>
                  <w:tcW w:w="1857" w:type="pct"/>
                  <w:vMerge w:val="restart"/>
                  <w:vAlign w:val="center"/>
                </w:tcPr>
                <w:p>
                  <w:pPr>
                    <w:adjustRightInd w:val="0"/>
                    <w:snapToGrid w:val="0"/>
                    <w:jc w:val="center"/>
                    <w:rPr>
                      <w:rFonts w:ascii="Times New Roman" w:hAnsi="Times New Roman" w:eastAsia="宋体"/>
                      <w:kern w:val="0"/>
                    </w:rPr>
                  </w:pPr>
                  <w:r>
                    <w:rPr>
                      <w:rFonts w:ascii="Times New Roman" w:hAnsi="Times New Roman" w:eastAsia="宋体"/>
                      <w:kern w:val="0"/>
                    </w:rPr>
                    <w:t>《污水综合排放标准》（GB 8978-1996）中三级标准</w:t>
                  </w:r>
                </w:p>
              </w:tc>
              <w:tc>
                <w:tcPr>
                  <w:tcW w:w="1788" w:type="pct"/>
                  <w:vAlign w:val="center"/>
                </w:tcPr>
                <w:p>
                  <w:pPr>
                    <w:adjustRightInd w:val="0"/>
                    <w:snapToGrid w:val="0"/>
                    <w:jc w:val="center"/>
                    <w:rPr>
                      <w:rFonts w:ascii="Times New Roman" w:hAnsi="Times New Roman" w:eastAsia="宋体"/>
                      <w:kern w:val="0"/>
                    </w:rPr>
                  </w:pPr>
                  <w:r>
                    <w:rPr>
                      <w:rFonts w:ascii="Times New Roman" w:hAnsi="Times New Roman" w:eastAsia="宋体"/>
                      <w:kern w:val="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55" w:type="pct"/>
                  <w:vAlign w:val="center"/>
                </w:tcPr>
                <w:p>
                  <w:pPr>
                    <w:adjustRightInd w:val="0"/>
                    <w:snapToGrid w:val="0"/>
                    <w:jc w:val="center"/>
                    <w:rPr>
                      <w:rFonts w:ascii="Times New Roman" w:hAnsi="Times New Roman" w:eastAsia="宋体"/>
                      <w:kern w:val="0"/>
                    </w:rPr>
                  </w:pPr>
                  <w:r>
                    <w:rPr>
                      <w:rFonts w:hint="eastAsia" w:ascii="Times New Roman" w:hAnsi="Times New Roman" w:eastAsia="宋体"/>
                      <w:kern w:val="0"/>
                    </w:rPr>
                    <w:t>B</w:t>
                  </w:r>
                  <w:r>
                    <w:rPr>
                      <w:rFonts w:ascii="Times New Roman" w:hAnsi="Times New Roman" w:eastAsia="宋体"/>
                      <w:kern w:val="0"/>
                    </w:rPr>
                    <w:t>OD</w:t>
                  </w:r>
                  <w:r>
                    <w:rPr>
                      <w:rFonts w:ascii="Times New Roman" w:hAnsi="Times New Roman" w:eastAsia="宋体"/>
                      <w:kern w:val="0"/>
                      <w:vertAlign w:val="subscript"/>
                    </w:rPr>
                    <w:t>5</w:t>
                  </w:r>
                </w:p>
              </w:tc>
              <w:tc>
                <w:tcPr>
                  <w:tcW w:w="1857" w:type="pct"/>
                  <w:vMerge w:val="continue"/>
                  <w:vAlign w:val="center"/>
                </w:tcPr>
                <w:p>
                  <w:pPr>
                    <w:adjustRightInd w:val="0"/>
                    <w:snapToGrid w:val="0"/>
                    <w:jc w:val="center"/>
                    <w:rPr>
                      <w:rFonts w:ascii="Times New Roman" w:hAnsi="Times New Roman" w:eastAsia="宋体"/>
                      <w:kern w:val="0"/>
                    </w:rPr>
                  </w:pPr>
                </w:p>
              </w:tc>
              <w:tc>
                <w:tcPr>
                  <w:tcW w:w="1788" w:type="pct"/>
                  <w:vAlign w:val="center"/>
                </w:tcPr>
                <w:p>
                  <w:pPr>
                    <w:adjustRightInd w:val="0"/>
                    <w:snapToGrid w:val="0"/>
                    <w:jc w:val="center"/>
                    <w:rPr>
                      <w:rFonts w:ascii="Times New Roman" w:hAnsi="Times New Roman" w:eastAsia="宋体"/>
                      <w:kern w:val="0"/>
                    </w:rPr>
                  </w:pPr>
                  <w:r>
                    <w:rPr>
                      <w:rFonts w:hint="eastAsia" w:ascii="Times New Roman" w:hAnsi="Times New Roman" w:eastAsia="宋体"/>
                      <w:kern w:val="0"/>
                    </w:rPr>
                    <w:t>3</w:t>
                  </w:r>
                  <w:r>
                    <w:rPr>
                      <w:rFonts w:ascii="Times New Roman" w:hAnsi="Times New Roman" w:eastAsia="宋体"/>
                      <w:kern w:val="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55" w:type="pct"/>
                  <w:vAlign w:val="center"/>
                </w:tcPr>
                <w:p>
                  <w:pPr>
                    <w:adjustRightInd w:val="0"/>
                    <w:snapToGrid w:val="0"/>
                    <w:jc w:val="center"/>
                    <w:rPr>
                      <w:rFonts w:ascii="Times New Roman" w:hAnsi="Times New Roman" w:eastAsia="宋体"/>
                      <w:kern w:val="0"/>
                    </w:rPr>
                  </w:pPr>
                  <w:r>
                    <w:rPr>
                      <w:rFonts w:hint="eastAsia" w:ascii="Times New Roman" w:hAnsi="Times New Roman" w:eastAsia="宋体"/>
                      <w:kern w:val="0"/>
                    </w:rPr>
                    <w:t>S</w:t>
                  </w:r>
                  <w:r>
                    <w:rPr>
                      <w:rFonts w:ascii="Times New Roman" w:hAnsi="Times New Roman" w:eastAsia="宋体"/>
                      <w:kern w:val="0"/>
                    </w:rPr>
                    <w:t>S</w:t>
                  </w:r>
                </w:p>
              </w:tc>
              <w:tc>
                <w:tcPr>
                  <w:tcW w:w="1857" w:type="pct"/>
                  <w:vMerge w:val="continue"/>
                  <w:vAlign w:val="center"/>
                </w:tcPr>
                <w:p>
                  <w:pPr>
                    <w:adjustRightInd w:val="0"/>
                    <w:snapToGrid w:val="0"/>
                    <w:jc w:val="center"/>
                    <w:rPr>
                      <w:rFonts w:ascii="Times New Roman" w:hAnsi="Times New Roman" w:eastAsia="宋体"/>
                      <w:kern w:val="0"/>
                    </w:rPr>
                  </w:pPr>
                </w:p>
              </w:tc>
              <w:tc>
                <w:tcPr>
                  <w:tcW w:w="1788" w:type="pct"/>
                  <w:vAlign w:val="center"/>
                </w:tcPr>
                <w:p>
                  <w:pPr>
                    <w:adjustRightInd w:val="0"/>
                    <w:snapToGrid w:val="0"/>
                    <w:jc w:val="center"/>
                    <w:rPr>
                      <w:rFonts w:ascii="Times New Roman" w:hAnsi="Times New Roman" w:eastAsia="宋体"/>
                      <w:kern w:val="0"/>
                    </w:rPr>
                  </w:pPr>
                  <w:r>
                    <w:rPr>
                      <w:rFonts w:hint="eastAsia" w:ascii="Times New Roman" w:hAnsi="Times New Roman" w:eastAsia="宋体"/>
                      <w:kern w:val="0"/>
                    </w:rPr>
                    <w:t>4</w:t>
                  </w:r>
                  <w:r>
                    <w:rPr>
                      <w:rFonts w:ascii="Times New Roman" w:hAnsi="Times New Roman" w:eastAsia="宋体"/>
                      <w:kern w:val="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55" w:type="pct"/>
                  <w:vAlign w:val="center"/>
                </w:tcPr>
                <w:p>
                  <w:pPr>
                    <w:adjustRightInd w:val="0"/>
                    <w:snapToGrid w:val="0"/>
                    <w:jc w:val="center"/>
                    <w:rPr>
                      <w:rFonts w:ascii="Times New Roman" w:hAnsi="Times New Roman" w:eastAsia="宋体"/>
                      <w:kern w:val="0"/>
                    </w:rPr>
                  </w:pPr>
                  <w:r>
                    <w:rPr>
                      <w:rFonts w:ascii="Times New Roman" w:hAnsi="Times New Roman" w:eastAsia="宋体"/>
                      <w:kern w:val="0"/>
                    </w:rPr>
                    <w:t>氨氮</w:t>
                  </w:r>
                </w:p>
              </w:tc>
              <w:tc>
                <w:tcPr>
                  <w:tcW w:w="1857" w:type="pct"/>
                  <w:vMerge w:val="restart"/>
                  <w:vAlign w:val="center"/>
                </w:tcPr>
                <w:p>
                  <w:pPr>
                    <w:topLinePunct/>
                    <w:adjustRightInd w:val="0"/>
                    <w:snapToGrid w:val="0"/>
                    <w:jc w:val="center"/>
                    <w:rPr>
                      <w:rFonts w:ascii="Times New Roman" w:hAnsi="Times New Roman" w:eastAsia="宋体"/>
                      <w:kern w:val="0"/>
                    </w:rPr>
                  </w:pPr>
                  <w:r>
                    <w:rPr>
                      <w:rFonts w:ascii="Times New Roman" w:hAnsi="Times New Roman" w:eastAsia="宋体"/>
                      <w:kern w:val="0"/>
                    </w:rPr>
                    <w:t>《污水排入城镇下水道水质标准》（GB/T 31962-2015）中</w:t>
                  </w:r>
                  <w:r>
                    <w:rPr>
                      <w:rFonts w:hint="eastAsia" w:ascii="Times New Roman" w:hAnsi="Times New Roman" w:eastAsia="宋体"/>
                      <w:kern w:val="0"/>
                    </w:rPr>
                    <w:t>B</w:t>
                  </w:r>
                  <w:r>
                    <w:rPr>
                      <w:rFonts w:ascii="Times New Roman" w:hAnsi="Times New Roman" w:eastAsia="宋体"/>
                      <w:kern w:val="0"/>
                    </w:rPr>
                    <w:t>级标准</w:t>
                  </w:r>
                </w:p>
              </w:tc>
              <w:tc>
                <w:tcPr>
                  <w:tcW w:w="1788" w:type="pct"/>
                  <w:vAlign w:val="center"/>
                </w:tcPr>
                <w:p>
                  <w:pPr>
                    <w:adjustRightInd w:val="0"/>
                    <w:snapToGrid w:val="0"/>
                    <w:jc w:val="center"/>
                    <w:rPr>
                      <w:rFonts w:ascii="Times New Roman" w:hAnsi="Times New Roman" w:eastAsia="宋体"/>
                      <w:kern w:val="0"/>
                    </w:rPr>
                  </w:pPr>
                  <w:r>
                    <w:rPr>
                      <w:rFonts w:ascii="Times New Roman" w:hAnsi="Times New Roman" w:eastAsia="宋体"/>
                      <w:kern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55" w:type="pct"/>
                  <w:vAlign w:val="center"/>
                </w:tcPr>
                <w:p>
                  <w:pPr>
                    <w:adjustRightInd w:val="0"/>
                    <w:snapToGrid w:val="0"/>
                    <w:jc w:val="center"/>
                    <w:rPr>
                      <w:rFonts w:ascii="Times New Roman" w:hAnsi="Times New Roman" w:eastAsia="宋体"/>
                      <w:kern w:val="0"/>
                    </w:rPr>
                  </w:pPr>
                  <w:r>
                    <w:rPr>
                      <w:rFonts w:hint="eastAsia" w:ascii="Times New Roman" w:hAnsi="Times New Roman" w:eastAsia="宋体"/>
                      <w:kern w:val="0"/>
                    </w:rPr>
                    <w:t>T</w:t>
                  </w:r>
                  <w:r>
                    <w:rPr>
                      <w:rFonts w:ascii="Times New Roman" w:hAnsi="Times New Roman" w:eastAsia="宋体"/>
                      <w:kern w:val="0"/>
                    </w:rPr>
                    <w:t>N</w:t>
                  </w:r>
                </w:p>
              </w:tc>
              <w:tc>
                <w:tcPr>
                  <w:tcW w:w="1857" w:type="pct"/>
                  <w:vMerge w:val="continue"/>
                  <w:vAlign w:val="center"/>
                </w:tcPr>
                <w:p>
                  <w:pPr>
                    <w:topLinePunct/>
                    <w:adjustRightInd w:val="0"/>
                    <w:snapToGrid w:val="0"/>
                    <w:jc w:val="center"/>
                    <w:rPr>
                      <w:rFonts w:ascii="Times New Roman" w:hAnsi="Times New Roman" w:eastAsia="宋体"/>
                      <w:kern w:val="0"/>
                    </w:rPr>
                  </w:pPr>
                </w:p>
              </w:tc>
              <w:tc>
                <w:tcPr>
                  <w:tcW w:w="1788" w:type="pct"/>
                  <w:vAlign w:val="center"/>
                </w:tcPr>
                <w:p>
                  <w:pPr>
                    <w:adjustRightInd w:val="0"/>
                    <w:snapToGrid w:val="0"/>
                    <w:jc w:val="center"/>
                    <w:rPr>
                      <w:rFonts w:ascii="Times New Roman" w:hAnsi="Times New Roman" w:eastAsia="宋体"/>
                      <w:kern w:val="0"/>
                    </w:rPr>
                  </w:pPr>
                  <w:r>
                    <w:rPr>
                      <w:rFonts w:hint="eastAsia" w:ascii="Times New Roman" w:hAnsi="Times New Roman" w:eastAsia="宋体"/>
                      <w:kern w:val="0"/>
                    </w:rPr>
                    <w:t>7</w:t>
                  </w:r>
                  <w:r>
                    <w:rPr>
                      <w:rFonts w:ascii="Times New Roman" w:hAnsi="Times New Roman" w:eastAsia="宋体"/>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55" w:type="pct"/>
                  <w:vAlign w:val="center"/>
                </w:tcPr>
                <w:p>
                  <w:pPr>
                    <w:adjustRightInd w:val="0"/>
                    <w:snapToGrid w:val="0"/>
                    <w:jc w:val="center"/>
                    <w:rPr>
                      <w:rFonts w:ascii="Times New Roman" w:hAnsi="Times New Roman" w:eastAsia="宋体"/>
                      <w:kern w:val="0"/>
                    </w:rPr>
                  </w:pPr>
                  <w:r>
                    <w:rPr>
                      <w:rFonts w:hint="eastAsia" w:ascii="Times New Roman" w:hAnsi="Times New Roman" w:eastAsia="宋体"/>
                      <w:kern w:val="0"/>
                    </w:rPr>
                    <w:t>T</w:t>
                  </w:r>
                  <w:r>
                    <w:rPr>
                      <w:rFonts w:ascii="Times New Roman" w:hAnsi="Times New Roman" w:eastAsia="宋体"/>
                      <w:kern w:val="0"/>
                    </w:rPr>
                    <w:t>P</w:t>
                  </w:r>
                </w:p>
              </w:tc>
              <w:tc>
                <w:tcPr>
                  <w:tcW w:w="1857" w:type="pct"/>
                  <w:vMerge w:val="continue"/>
                  <w:vAlign w:val="center"/>
                </w:tcPr>
                <w:p>
                  <w:pPr>
                    <w:topLinePunct/>
                    <w:adjustRightInd w:val="0"/>
                    <w:snapToGrid w:val="0"/>
                    <w:jc w:val="center"/>
                    <w:rPr>
                      <w:rFonts w:ascii="Times New Roman" w:hAnsi="Times New Roman" w:eastAsia="宋体"/>
                      <w:kern w:val="0"/>
                    </w:rPr>
                  </w:pPr>
                </w:p>
              </w:tc>
              <w:tc>
                <w:tcPr>
                  <w:tcW w:w="1788" w:type="pct"/>
                  <w:vAlign w:val="center"/>
                </w:tcPr>
                <w:p>
                  <w:pPr>
                    <w:adjustRightInd w:val="0"/>
                    <w:snapToGrid w:val="0"/>
                    <w:jc w:val="center"/>
                    <w:rPr>
                      <w:rFonts w:ascii="Times New Roman" w:hAnsi="Times New Roman" w:eastAsia="宋体"/>
                      <w:kern w:val="0"/>
                    </w:rPr>
                  </w:pPr>
                  <w:r>
                    <w:rPr>
                      <w:rFonts w:ascii="Times New Roman" w:hAnsi="Times New Roman" w:eastAsia="宋体"/>
                    </w:rPr>
                    <w:t>8</w:t>
                  </w:r>
                </w:p>
              </w:tc>
            </w:tr>
          </w:tbl>
          <w:p>
            <w:pPr>
              <w:adjustRightInd w:val="0"/>
              <w:snapToGrid w:val="0"/>
              <w:spacing w:line="360" w:lineRule="auto"/>
              <w:rPr>
                <w:rFonts w:ascii="Times New Roman" w:hAnsi="Times New Roman" w:eastAsia="宋体" w:cs="Times New Roman"/>
                <w:sz w:val="24"/>
              </w:rPr>
            </w:pPr>
            <w:r>
              <w:rPr>
                <w:rFonts w:ascii="Times New Roman" w:hAnsi="Times New Roman" w:eastAsia="宋体" w:cs="Times New Roman"/>
                <w:b/>
                <w:sz w:val="24"/>
              </w:rPr>
              <w:t>4、固废：</w:t>
            </w:r>
            <w:r>
              <w:rPr>
                <w:rFonts w:ascii="Times New Roman" w:hAnsi="Times New Roman" w:eastAsia="宋体" w:cs="Times New Roman"/>
                <w:sz w:val="24"/>
              </w:rPr>
              <w:t>一般固体废物执行《一般工业固体废物贮存</w:t>
            </w:r>
            <w:r>
              <w:rPr>
                <w:rFonts w:hint="eastAsia" w:ascii="Times New Roman" w:hAnsi="Times New Roman" w:eastAsia="宋体" w:cs="Times New Roman"/>
                <w:sz w:val="24"/>
              </w:rPr>
              <w:t>和填埋</w:t>
            </w:r>
            <w:r>
              <w:rPr>
                <w:rFonts w:ascii="Times New Roman" w:hAnsi="Times New Roman" w:eastAsia="宋体" w:cs="Times New Roman"/>
                <w:sz w:val="24"/>
              </w:rPr>
              <w:t>污染控制标准》（GB18599-2020）中有关要求；危险废物应执行《危险废物贮存污染控制标准》（GB18597-2023）中有关要求。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975" w:hRule="atLeast"/>
        </w:trPr>
        <w:tc>
          <w:tcPr>
            <w:tcW w:w="354"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总量控制指标</w:t>
            </w:r>
          </w:p>
        </w:tc>
        <w:tc>
          <w:tcPr>
            <w:tcW w:w="8446" w:type="dxa"/>
            <w:vAlign w:val="center"/>
          </w:tcPr>
          <w:p>
            <w:pPr>
              <w:autoSpaceDE w:val="0"/>
              <w:autoSpaceDN w:val="0"/>
              <w:adjustRightInd w:val="0"/>
              <w:spacing w:line="360" w:lineRule="auto"/>
              <w:ind w:firstLine="480" w:firstLineChars="200"/>
              <w:rPr>
                <w:rFonts w:ascii="Times New Roman" w:hAnsi="Times New Roman" w:eastAsia="宋体"/>
                <w:bCs/>
                <w:iCs/>
                <w:sz w:val="24"/>
              </w:rPr>
            </w:pPr>
            <w:r>
              <w:rPr>
                <w:rFonts w:hint="eastAsia" w:ascii="Times New Roman" w:hAnsi="Times New Roman" w:eastAsia="宋体"/>
                <w:bCs/>
                <w:iCs/>
                <w:sz w:val="24"/>
              </w:rPr>
              <w:t>“十四五”期间国家对</w:t>
            </w:r>
            <w:r>
              <w:rPr>
                <w:rFonts w:ascii="Times New Roman" w:hAnsi="Times New Roman" w:eastAsia="宋体"/>
                <w:bCs/>
                <w:iCs/>
                <w:sz w:val="24"/>
              </w:rPr>
              <w:t>COD</w:t>
            </w:r>
            <w:r>
              <w:rPr>
                <w:rFonts w:hint="eastAsia" w:ascii="Times New Roman" w:hAnsi="Times New Roman" w:eastAsia="宋体"/>
                <w:bCs/>
                <w:iCs/>
                <w:sz w:val="24"/>
              </w:rPr>
              <w:t>、</w:t>
            </w:r>
            <w:r>
              <w:rPr>
                <w:rFonts w:ascii="Times New Roman" w:hAnsi="Times New Roman" w:eastAsia="宋体"/>
                <w:bCs/>
                <w:iCs/>
                <w:sz w:val="24"/>
              </w:rPr>
              <w:t>NH</w:t>
            </w:r>
            <w:r>
              <w:rPr>
                <w:rFonts w:ascii="Times New Roman" w:hAnsi="Times New Roman" w:eastAsia="宋体"/>
                <w:bCs/>
                <w:iCs/>
                <w:sz w:val="24"/>
                <w:vertAlign w:val="subscript"/>
              </w:rPr>
              <w:t>3</w:t>
            </w:r>
            <w:r>
              <w:rPr>
                <w:rFonts w:ascii="Times New Roman" w:hAnsi="Times New Roman" w:eastAsia="宋体"/>
                <w:bCs/>
                <w:iCs/>
                <w:sz w:val="24"/>
              </w:rPr>
              <w:t>-N</w:t>
            </w:r>
            <w:r>
              <w:rPr>
                <w:rFonts w:hint="eastAsia" w:ascii="Times New Roman" w:hAnsi="Times New Roman" w:eastAsia="宋体"/>
                <w:bCs/>
                <w:iCs/>
                <w:sz w:val="24"/>
              </w:rPr>
              <w:t>、二氧化硫、氮氧化物、挥发性有机物等主要污染物实行排放总量控制计划管理，根据总量控制要求及项目实际情况，</w:t>
            </w:r>
            <w:r>
              <w:rPr>
                <w:rFonts w:hint="eastAsia" w:ascii="Times New Roman" w:hAnsi="Times New Roman" w:eastAsia="宋体"/>
                <w:bCs/>
                <w:iCs/>
                <w:sz w:val="24"/>
                <w:szCs w:val="24"/>
              </w:rPr>
              <w:t>根据总量控制要求及项目实际情况，项目废水最终排入</w:t>
            </w:r>
            <w:r>
              <w:rPr>
                <w:rFonts w:hint="eastAsia" w:ascii="Times New Roman" w:hAnsi="Times New Roman" w:eastAsia="宋体"/>
                <w:sz w:val="24"/>
                <w:szCs w:val="24"/>
              </w:rPr>
              <w:t>蓝田工业园（洩湖镇）污水处理站</w:t>
            </w:r>
            <w:r>
              <w:rPr>
                <w:rFonts w:hint="eastAsia" w:ascii="Times New Roman" w:hAnsi="Times New Roman" w:eastAsia="宋体"/>
                <w:bCs/>
                <w:iCs/>
                <w:sz w:val="24"/>
                <w:szCs w:val="24"/>
              </w:rPr>
              <w:t>，</w:t>
            </w:r>
            <w:r>
              <w:rPr>
                <w:rFonts w:hint="eastAsia" w:ascii="Times New Roman" w:hAnsi="Times New Roman" w:eastAsia="宋体"/>
                <w:sz w:val="24"/>
                <w:szCs w:val="24"/>
              </w:rPr>
              <w:t>本次涉及主要污染物排放量为：C</w:t>
            </w:r>
            <w:r>
              <w:rPr>
                <w:rFonts w:ascii="Times New Roman" w:hAnsi="Times New Roman" w:eastAsia="宋体"/>
                <w:sz w:val="24"/>
                <w:szCs w:val="24"/>
              </w:rPr>
              <w:t>OD 0.175t/a</w:t>
            </w:r>
            <w:r>
              <w:rPr>
                <w:rFonts w:hint="eastAsia" w:ascii="Times New Roman" w:hAnsi="Times New Roman" w:eastAsia="宋体"/>
                <w:sz w:val="24"/>
                <w:szCs w:val="24"/>
              </w:rPr>
              <w:t>、N</w:t>
            </w:r>
            <w:r>
              <w:rPr>
                <w:rFonts w:ascii="Times New Roman" w:hAnsi="Times New Roman" w:eastAsia="宋体"/>
                <w:sz w:val="24"/>
                <w:szCs w:val="24"/>
              </w:rPr>
              <w:t>H</w:t>
            </w:r>
            <w:r>
              <w:rPr>
                <w:rFonts w:ascii="Times New Roman" w:hAnsi="Times New Roman" w:eastAsia="宋体"/>
                <w:sz w:val="24"/>
                <w:szCs w:val="24"/>
                <w:vertAlign w:val="subscript"/>
              </w:rPr>
              <w:t>3</w:t>
            </w:r>
            <w:r>
              <w:rPr>
                <w:rFonts w:ascii="Times New Roman" w:hAnsi="Times New Roman" w:eastAsia="宋体"/>
                <w:sz w:val="24"/>
                <w:szCs w:val="24"/>
              </w:rPr>
              <w:t>-N 0.019t/a</w:t>
            </w:r>
            <w:r>
              <w:rPr>
                <w:rFonts w:hint="eastAsia" w:ascii="Times New Roman" w:hAnsi="Times New Roman" w:eastAsia="宋体"/>
                <w:sz w:val="24"/>
                <w:szCs w:val="24"/>
              </w:rPr>
              <w:t>、V</w:t>
            </w:r>
            <w:r>
              <w:rPr>
                <w:rFonts w:ascii="Times New Roman" w:hAnsi="Times New Roman" w:eastAsia="宋体"/>
                <w:sz w:val="24"/>
                <w:szCs w:val="24"/>
              </w:rPr>
              <w:t>OCs 0.37t/a</w:t>
            </w:r>
            <w:r>
              <w:rPr>
                <w:rFonts w:hint="eastAsia" w:ascii="Times New Roman" w:hAnsi="Times New Roman" w:eastAsia="宋体"/>
                <w:sz w:val="24"/>
                <w:szCs w:val="24"/>
              </w:rPr>
              <w:t>，其中</w:t>
            </w:r>
            <w:r>
              <w:rPr>
                <w:rFonts w:ascii="Times New Roman" w:hAnsi="Times New Roman" w:eastAsia="宋体"/>
                <w:sz w:val="24"/>
                <w:szCs w:val="24"/>
              </w:rPr>
              <w:t>COD</w:t>
            </w:r>
            <w:r>
              <w:rPr>
                <w:rFonts w:hint="eastAsia" w:ascii="Times New Roman" w:hAnsi="Times New Roman" w:eastAsia="宋体"/>
                <w:sz w:val="24"/>
                <w:szCs w:val="24"/>
              </w:rPr>
              <w:t>、</w:t>
            </w:r>
            <w:r>
              <w:rPr>
                <w:rFonts w:ascii="Times New Roman" w:hAnsi="Times New Roman" w:eastAsia="宋体"/>
                <w:sz w:val="24"/>
                <w:szCs w:val="24"/>
              </w:rPr>
              <w:t>NH</w:t>
            </w:r>
            <w:r>
              <w:rPr>
                <w:rFonts w:ascii="Times New Roman" w:hAnsi="Times New Roman" w:eastAsia="宋体"/>
                <w:sz w:val="24"/>
                <w:szCs w:val="24"/>
                <w:vertAlign w:val="subscript"/>
              </w:rPr>
              <w:t>3</w:t>
            </w:r>
            <w:r>
              <w:rPr>
                <w:rFonts w:ascii="Times New Roman" w:hAnsi="Times New Roman" w:eastAsia="宋体"/>
                <w:sz w:val="24"/>
                <w:szCs w:val="24"/>
              </w:rPr>
              <w:t>-N</w:t>
            </w:r>
            <w:r>
              <w:rPr>
                <w:rFonts w:hint="eastAsia" w:ascii="Times New Roman" w:hAnsi="Times New Roman" w:eastAsia="宋体"/>
                <w:sz w:val="24"/>
                <w:szCs w:val="24"/>
              </w:rPr>
              <w:t>总量控制指标纳入蓝田工业园（洩湖镇）污水处理站。</w:t>
            </w:r>
          </w:p>
        </w:tc>
      </w:tr>
    </w:tbl>
    <w:p>
      <w:pPr>
        <w:pStyle w:val="21"/>
        <w:rPr>
          <w:color w:val="auto"/>
        </w:rPr>
        <w:sectPr>
          <w:pgSz w:w="11906" w:h="16838"/>
          <w:pgMar w:top="1440" w:right="1800" w:bottom="1440" w:left="1800" w:header="851" w:footer="992" w:gutter="0"/>
          <w:cols w:space="425" w:num="1"/>
          <w:docGrid w:type="lines" w:linePitch="312" w:charSpace="0"/>
        </w:sectPr>
      </w:pPr>
      <w:bookmarkStart w:id="10" w:name="_Toc16112"/>
    </w:p>
    <w:bookmarkEnd w:id="10"/>
    <w:p>
      <w:pPr>
        <w:pStyle w:val="21"/>
        <w:rPr>
          <w:bCs/>
          <w:color w:val="auto"/>
        </w:rPr>
      </w:pPr>
      <w:bookmarkStart w:id="11" w:name="_Toc19505"/>
      <w:r>
        <w:rPr>
          <w:rFonts w:hint="eastAsia"/>
          <w:color w:val="auto"/>
        </w:rPr>
        <w:t>四、主要环境影响和保护措施</w:t>
      </w:r>
    </w:p>
    <w:tbl>
      <w:tblPr>
        <w:tblStyle w:val="2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354"/>
        <w:gridCol w:w="8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96" w:hRule="atLeast"/>
        </w:trPr>
        <w:tc>
          <w:tcPr>
            <w:tcW w:w="346"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施工期环境保护措施</w:t>
            </w:r>
          </w:p>
        </w:tc>
        <w:tc>
          <w:tcPr>
            <w:tcW w:w="8176" w:type="dxa"/>
          </w:tcPr>
          <w:p>
            <w:pPr>
              <w:adjustRightInd w:val="0"/>
              <w:snapToGrid w:val="0"/>
              <w:spacing w:line="360" w:lineRule="auto"/>
              <w:ind w:firstLine="496" w:firstLineChars="200"/>
              <w:rPr>
                <w:rFonts w:ascii="Times New Roman" w:hAnsi="Times New Roman" w:eastAsia="宋体"/>
                <w:bCs/>
                <w:spacing w:val="4"/>
                <w:sz w:val="24"/>
                <w:lang w:val="zh-CN"/>
              </w:rPr>
            </w:pPr>
            <w:r>
              <w:rPr>
                <w:rFonts w:hint="eastAsia" w:ascii="Times New Roman" w:hAnsi="Times New Roman" w:eastAsia="宋体"/>
                <w:bCs/>
                <w:spacing w:val="4"/>
                <w:sz w:val="24"/>
              </w:rPr>
              <w:t>1</w:t>
            </w:r>
            <w:r>
              <w:rPr>
                <w:rFonts w:ascii="Times New Roman" w:hAnsi="Times New Roman" w:eastAsia="宋体"/>
                <w:bCs/>
                <w:spacing w:val="4"/>
                <w:sz w:val="24"/>
              </w:rPr>
              <w:t>、</w:t>
            </w:r>
            <w:r>
              <w:rPr>
                <w:rFonts w:ascii="Times New Roman" w:hAnsi="Times New Roman" w:eastAsia="宋体"/>
                <w:bCs/>
                <w:spacing w:val="4"/>
                <w:sz w:val="24"/>
                <w:lang w:val="zh-CN"/>
              </w:rPr>
              <w:t>大气环境影响</w:t>
            </w:r>
          </w:p>
          <w:p>
            <w:pPr>
              <w:widowControl/>
              <w:shd w:val="clear" w:color="auto" w:fill="FFFFFF"/>
              <w:adjustRightInd w:val="0"/>
              <w:snapToGrid w:val="0"/>
              <w:spacing w:line="360" w:lineRule="auto"/>
              <w:ind w:firstLine="480" w:firstLineChars="200"/>
              <w:rPr>
                <w:rFonts w:ascii="Times New Roman" w:hAnsi="Times New Roman" w:eastAsia="宋体"/>
                <w:kern w:val="0"/>
                <w:sz w:val="24"/>
                <w:szCs w:val="28"/>
              </w:rPr>
            </w:pPr>
            <w:r>
              <w:rPr>
                <w:rFonts w:hint="eastAsia" w:ascii="Times New Roman" w:hAnsi="Times New Roman" w:eastAsia="宋体"/>
                <w:kern w:val="0"/>
                <w:sz w:val="24"/>
                <w:szCs w:val="28"/>
              </w:rPr>
              <w:t>本项目施工期对大气的环境影响主要是设备安装需要的材料运输产生的扬尘和汽车尾气。</w:t>
            </w:r>
          </w:p>
          <w:p>
            <w:pPr>
              <w:widowControl/>
              <w:shd w:val="clear" w:color="auto" w:fill="FFFFFF"/>
              <w:adjustRightInd w:val="0"/>
              <w:snapToGrid w:val="0"/>
              <w:spacing w:line="360" w:lineRule="auto"/>
              <w:ind w:firstLine="480" w:firstLineChars="200"/>
              <w:jc w:val="left"/>
              <w:rPr>
                <w:rFonts w:ascii="Times New Roman" w:hAnsi="Times New Roman" w:eastAsia="宋体"/>
                <w:kern w:val="0"/>
                <w:sz w:val="24"/>
                <w:szCs w:val="28"/>
              </w:rPr>
            </w:pPr>
            <w:r>
              <w:rPr>
                <w:rFonts w:hint="eastAsia" w:ascii="Times New Roman" w:hAnsi="Times New Roman" w:eastAsia="宋体"/>
                <w:kern w:val="0"/>
                <w:sz w:val="24"/>
                <w:szCs w:val="28"/>
              </w:rPr>
              <w:t>（1）施工扬尘影响分析</w:t>
            </w:r>
          </w:p>
          <w:p>
            <w:pPr>
              <w:widowControl/>
              <w:shd w:val="clear" w:color="auto" w:fill="FFFFFF"/>
              <w:adjustRightInd w:val="0"/>
              <w:snapToGrid w:val="0"/>
              <w:spacing w:line="360" w:lineRule="auto"/>
              <w:ind w:firstLine="480" w:firstLineChars="200"/>
              <w:rPr>
                <w:rFonts w:ascii="Times New Roman" w:hAnsi="Times New Roman" w:eastAsia="宋体"/>
                <w:kern w:val="0"/>
                <w:sz w:val="24"/>
                <w:szCs w:val="28"/>
              </w:rPr>
            </w:pPr>
            <w:r>
              <w:rPr>
                <w:rFonts w:hint="eastAsia" w:ascii="Times New Roman" w:hAnsi="Times New Roman" w:eastAsia="宋体"/>
                <w:kern w:val="0"/>
                <w:sz w:val="24"/>
                <w:szCs w:val="28"/>
              </w:rPr>
              <w:t>本项目扬尘主要发生在设备的装卸和运输车辆行驶过程中。本项目仅进行厂房分隔、设备安装，其中厂房分隔采用活动板材料，本身扬尘产生量较小，采取加强地面清扫、管控车辆速度等有效扬尘治理措施后，可进一步减少扬尘对环境空气的影响，采取措施后</w:t>
            </w:r>
            <w:r>
              <w:rPr>
                <w:rFonts w:hint="eastAsia" w:ascii="Times New Roman" w:hAnsi="Times New Roman" w:eastAsia="宋体"/>
                <w:sz w:val="24"/>
              </w:rPr>
              <w:t>可满足《施工场界扬尘排放限值》（DB 61/1078-2017）中相关要求</w:t>
            </w:r>
            <w:r>
              <w:rPr>
                <w:rFonts w:hint="eastAsia" w:ascii="Times New Roman" w:hAnsi="Times New Roman" w:eastAsia="宋体"/>
                <w:kern w:val="0"/>
                <w:sz w:val="24"/>
                <w:szCs w:val="28"/>
              </w:rPr>
              <w:t>。</w:t>
            </w:r>
          </w:p>
          <w:p>
            <w:pPr>
              <w:widowControl/>
              <w:shd w:val="clear" w:color="auto" w:fill="FFFFFF"/>
              <w:adjustRightInd w:val="0"/>
              <w:snapToGrid w:val="0"/>
              <w:spacing w:line="360" w:lineRule="auto"/>
              <w:ind w:firstLine="480" w:firstLineChars="200"/>
              <w:jc w:val="left"/>
              <w:rPr>
                <w:rFonts w:ascii="Times New Roman" w:hAnsi="Times New Roman" w:eastAsia="宋体"/>
                <w:kern w:val="0"/>
                <w:sz w:val="24"/>
                <w:szCs w:val="28"/>
              </w:rPr>
            </w:pPr>
            <w:r>
              <w:rPr>
                <w:rFonts w:hint="eastAsia" w:ascii="Times New Roman" w:hAnsi="Times New Roman" w:eastAsia="宋体"/>
                <w:kern w:val="0"/>
                <w:sz w:val="24"/>
                <w:szCs w:val="28"/>
              </w:rPr>
              <w:t>（2）汽车尾气影响分析</w:t>
            </w:r>
          </w:p>
          <w:p>
            <w:pPr>
              <w:widowControl/>
              <w:shd w:val="clear" w:color="auto" w:fill="FFFFFF"/>
              <w:adjustRightInd w:val="0"/>
              <w:snapToGrid w:val="0"/>
              <w:spacing w:line="360" w:lineRule="auto"/>
              <w:ind w:firstLine="480" w:firstLineChars="200"/>
              <w:rPr>
                <w:rFonts w:ascii="Times New Roman" w:hAnsi="Times New Roman" w:eastAsia="宋体"/>
                <w:kern w:val="0"/>
                <w:sz w:val="24"/>
                <w:szCs w:val="28"/>
              </w:rPr>
            </w:pPr>
            <w:r>
              <w:rPr>
                <w:rFonts w:hint="eastAsia" w:ascii="Times New Roman" w:hAnsi="Times New Roman" w:eastAsia="宋体"/>
                <w:kern w:val="0"/>
                <w:sz w:val="24"/>
                <w:szCs w:val="28"/>
              </w:rPr>
              <w:t>施工期间，运输车辆会排放汽车尾气，尾气中主要污染物为</w:t>
            </w:r>
            <w:r>
              <w:rPr>
                <w:rFonts w:ascii="Times New Roman" w:hAnsi="Times New Roman" w:eastAsia="宋体" w:cs="Times New Roman"/>
                <w:kern w:val="0"/>
                <w:sz w:val="24"/>
                <w:szCs w:val="28"/>
              </w:rPr>
              <w:t>CO、NO</w:t>
            </w:r>
            <w:r>
              <w:rPr>
                <w:rFonts w:ascii="Times New Roman" w:hAnsi="Times New Roman" w:eastAsia="宋体" w:cs="Times New Roman"/>
                <w:kern w:val="0"/>
                <w:sz w:val="24"/>
                <w:szCs w:val="28"/>
                <w:vertAlign w:val="subscript"/>
              </w:rPr>
              <w:t>X</w:t>
            </w:r>
            <w:r>
              <w:rPr>
                <w:rFonts w:ascii="Times New Roman" w:hAnsi="Times New Roman" w:eastAsia="宋体" w:cs="Times New Roman"/>
                <w:kern w:val="0"/>
                <w:sz w:val="24"/>
                <w:szCs w:val="28"/>
              </w:rPr>
              <w:t>、THC</w:t>
            </w:r>
            <w:r>
              <w:rPr>
                <w:rFonts w:hint="eastAsia" w:ascii="Times New Roman" w:hAnsi="Times New Roman" w:eastAsia="宋体"/>
                <w:kern w:val="0"/>
                <w:sz w:val="24"/>
                <w:szCs w:val="28"/>
              </w:rPr>
              <w:t>。由于本项目工程量很小，施工期使用的运输车辆很少，尾气排放量很小，因此，不会对区域环境空气质量及周边环境产生影响。</w:t>
            </w:r>
          </w:p>
          <w:p>
            <w:pPr>
              <w:adjustRightInd w:val="0"/>
              <w:snapToGrid w:val="0"/>
              <w:spacing w:line="360" w:lineRule="auto"/>
              <w:ind w:firstLine="496" w:firstLineChars="200"/>
              <w:rPr>
                <w:rFonts w:ascii="Times New Roman" w:hAnsi="Times New Roman" w:eastAsia="宋体" w:cs="宋体"/>
                <w:bCs/>
                <w:spacing w:val="4"/>
                <w:sz w:val="24"/>
                <w:lang w:val="zh-CN"/>
              </w:rPr>
            </w:pPr>
            <w:bookmarkStart w:id="12" w:name="_Toc23321"/>
            <w:bookmarkStart w:id="13" w:name="_Toc5582"/>
            <w:bookmarkStart w:id="14" w:name="_Toc202186390"/>
            <w:bookmarkStart w:id="15" w:name="_Toc201821556"/>
            <w:bookmarkStart w:id="16" w:name="_Toc201657049"/>
            <w:bookmarkStart w:id="17" w:name="_Toc201817349"/>
            <w:bookmarkStart w:id="18" w:name="_Toc462068115"/>
            <w:bookmarkStart w:id="19" w:name="_Toc503709287"/>
            <w:bookmarkStart w:id="20" w:name="_Toc502624868"/>
            <w:bookmarkStart w:id="21" w:name="_Toc502655712"/>
            <w:r>
              <w:rPr>
                <w:rFonts w:hint="eastAsia" w:ascii="Times New Roman" w:hAnsi="Times New Roman" w:eastAsia="宋体" w:cs="宋体"/>
                <w:bCs/>
                <w:spacing w:val="4"/>
                <w:sz w:val="24"/>
              </w:rPr>
              <w:t>2、</w:t>
            </w:r>
            <w:r>
              <w:rPr>
                <w:rFonts w:hint="eastAsia" w:ascii="Times New Roman" w:hAnsi="Times New Roman" w:eastAsia="宋体" w:cs="宋体"/>
                <w:bCs/>
                <w:spacing w:val="4"/>
                <w:sz w:val="24"/>
                <w:lang w:val="zh-CN"/>
              </w:rPr>
              <w:t>水环境影响</w:t>
            </w:r>
            <w:bookmarkEnd w:id="12"/>
            <w:bookmarkEnd w:id="13"/>
            <w:bookmarkEnd w:id="14"/>
            <w:bookmarkEnd w:id="15"/>
            <w:bookmarkEnd w:id="16"/>
            <w:bookmarkEnd w:id="17"/>
          </w:p>
          <w:p>
            <w:pPr>
              <w:adjustRightInd w:val="0"/>
              <w:snapToGrid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施工期水污染源主要为施工</w:t>
            </w:r>
            <w:r>
              <w:rPr>
                <w:rFonts w:hint="eastAsia" w:ascii="Times New Roman" w:hAnsi="Times New Roman" w:eastAsia="宋体"/>
                <w:sz w:val="24"/>
                <w:szCs w:val="24"/>
              </w:rPr>
              <w:t>人员</w:t>
            </w:r>
            <w:r>
              <w:rPr>
                <w:rFonts w:ascii="Times New Roman" w:hAnsi="Times New Roman" w:eastAsia="宋体"/>
                <w:sz w:val="24"/>
                <w:szCs w:val="24"/>
              </w:rPr>
              <w:t>生活污水</w:t>
            </w:r>
            <w:r>
              <w:rPr>
                <w:rFonts w:hint="eastAsia" w:ascii="Times New Roman" w:hAnsi="Times New Roman" w:eastAsia="宋体"/>
                <w:sz w:val="24"/>
                <w:szCs w:val="24"/>
              </w:rPr>
              <w:t>以及地面清洁废水</w:t>
            </w:r>
            <w:r>
              <w:rPr>
                <w:rFonts w:ascii="Times New Roman" w:hAnsi="Times New Roman" w:eastAsia="宋体"/>
                <w:sz w:val="24"/>
                <w:szCs w:val="24"/>
              </w:rPr>
              <w:t>，其中，</w:t>
            </w:r>
            <w:r>
              <w:rPr>
                <w:rFonts w:hint="eastAsia" w:ascii="Times New Roman" w:hAnsi="Times New Roman" w:eastAsia="宋体"/>
                <w:sz w:val="24"/>
                <w:szCs w:val="24"/>
              </w:rPr>
              <w:t>施工人员生活污水依托厂区新建化粪池处理，地面清洁废水经沉淀后洒水回用。因此，</w:t>
            </w:r>
            <w:r>
              <w:rPr>
                <w:rFonts w:ascii="Times New Roman" w:hAnsi="Times New Roman" w:eastAsia="宋体"/>
                <w:sz w:val="24"/>
                <w:szCs w:val="24"/>
              </w:rPr>
              <w:t>本项目施工期废水对环境影响较小。</w:t>
            </w:r>
          </w:p>
          <w:p>
            <w:pPr>
              <w:adjustRightInd w:val="0"/>
              <w:snapToGrid w:val="0"/>
              <w:spacing w:line="360" w:lineRule="auto"/>
              <w:ind w:firstLine="496" w:firstLineChars="200"/>
              <w:rPr>
                <w:rFonts w:ascii="Times New Roman" w:hAnsi="Times New Roman" w:eastAsia="宋体" w:cs="宋体"/>
                <w:bCs/>
                <w:spacing w:val="4"/>
                <w:sz w:val="24"/>
                <w:lang w:val="zh-CN"/>
              </w:rPr>
            </w:pPr>
            <w:bookmarkStart w:id="22" w:name="_Toc201821557"/>
            <w:bookmarkStart w:id="23" w:name="_Toc202186391"/>
            <w:bookmarkStart w:id="24" w:name="_Toc201657050"/>
            <w:bookmarkStart w:id="25" w:name="_Toc7247"/>
            <w:bookmarkStart w:id="26" w:name="_Toc12876"/>
            <w:bookmarkStart w:id="27" w:name="_Toc201817350"/>
            <w:r>
              <w:rPr>
                <w:rFonts w:hint="eastAsia" w:ascii="Times New Roman" w:hAnsi="Times New Roman" w:eastAsia="宋体" w:cs="宋体"/>
                <w:bCs/>
                <w:spacing w:val="4"/>
                <w:sz w:val="24"/>
              </w:rPr>
              <w:t>3、</w:t>
            </w:r>
            <w:r>
              <w:rPr>
                <w:rFonts w:hint="eastAsia" w:ascii="Times New Roman" w:hAnsi="Times New Roman" w:eastAsia="宋体" w:cs="宋体"/>
                <w:bCs/>
                <w:spacing w:val="4"/>
                <w:sz w:val="24"/>
                <w:lang w:val="zh-CN"/>
              </w:rPr>
              <w:t>施工期噪声影响评价</w:t>
            </w:r>
            <w:bookmarkEnd w:id="22"/>
            <w:bookmarkEnd w:id="23"/>
            <w:bookmarkEnd w:id="24"/>
            <w:bookmarkEnd w:id="25"/>
            <w:bookmarkEnd w:id="26"/>
            <w:bookmarkEnd w:id="27"/>
          </w:p>
          <w:bookmarkEnd w:id="18"/>
          <w:bookmarkEnd w:id="19"/>
          <w:bookmarkEnd w:id="20"/>
          <w:bookmarkEnd w:id="21"/>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本项目施工期设备安装过程会产生噪声，噪声值为</w:t>
            </w:r>
            <w:r>
              <w:rPr>
                <w:rFonts w:ascii="Times New Roman" w:hAnsi="Times New Roman" w:eastAsia="宋体" w:cs="Times New Roman"/>
                <w:sz w:val="24"/>
              </w:rPr>
              <w:t>65~85</w:t>
            </w:r>
            <w:r>
              <w:rPr>
                <w:rFonts w:hint="eastAsia" w:ascii="Times New Roman" w:hAnsi="Times New Roman" w:eastAsia="宋体"/>
                <w:sz w:val="24"/>
              </w:rPr>
              <w:t>dB（A），为了保证在施工期安装设备不会对周围声环境造成影响，本环评要求建设单位在装修及设备安装期间采取噪声防治措施如下：</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①本项目所有设备安装过程均在室内进行，要求建设单位设备安装过程中应合理安排施工时间，避免高噪声设备同时使用。</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②派专人负责，严格管理设备安装人员，要求其文明施工。</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通过以上措施，施工期噪声对环境影响较小，可满足《建筑施工场界环境噪声排放标准》（</w:t>
            </w:r>
            <w:r>
              <w:rPr>
                <w:rFonts w:ascii="Times New Roman" w:hAnsi="Times New Roman" w:eastAsia="宋体"/>
                <w:sz w:val="24"/>
              </w:rPr>
              <w:t>GB 12523-2011</w:t>
            </w:r>
            <w:r>
              <w:rPr>
                <w:rFonts w:hint="eastAsia" w:ascii="Times New Roman" w:hAnsi="Times New Roman" w:eastAsia="宋体"/>
                <w:sz w:val="24"/>
              </w:rPr>
              <w:t>）中排放限值要求。</w:t>
            </w:r>
          </w:p>
          <w:p>
            <w:pPr>
              <w:adjustRightInd w:val="0"/>
              <w:snapToGrid w:val="0"/>
              <w:spacing w:line="360" w:lineRule="auto"/>
              <w:ind w:firstLine="496" w:firstLineChars="200"/>
              <w:rPr>
                <w:rFonts w:ascii="Times New Roman" w:hAnsi="Times New Roman" w:eastAsia="宋体"/>
                <w:bCs/>
                <w:spacing w:val="4"/>
                <w:sz w:val="24"/>
                <w:lang w:val="zh-CN"/>
              </w:rPr>
            </w:pPr>
            <w:r>
              <w:rPr>
                <w:rFonts w:hint="eastAsia" w:ascii="Times New Roman" w:hAnsi="Times New Roman" w:eastAsia="宋体" w:cs="宋体"/>
                <w:bCs/>
                <w:spacing w:val="4"/>
                <w:sz w:val="24"/>
              </w:rPr>
              <w:t>4、</w:t>
            </w:r>
            <w:r>
              <w:rPr>
                <w:rFonts w:hint="eastAsia" w:ascii="Times New Roman" w:hAnsi="Times New Roman" w:eastAsia="宋体" w:cs="宋体"/>
                <w:bCs/>
                <w:spacing w:val="4"/>
                <w:sz w:val="24"/>
                <w:lang w:val="zh-CN"/>
              </w:rPr>
              <w:t>施工期固体废物影响评价</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施工期的固体废物主要为施工人员产生的生活垃圾和设备安装的废包装材料。环评建议生活垃圾分类收集，能回收利用的回收利用，不能回收的收集后交由环保部门清运至当地垃圾填埋场进行处置。施工期产生的废包装材料、废水性漆桶均属于一般固废，收集后外售处理。</w:t>
            </w:r>
          </w:p>
          <w:p>
            <w:pPr>
              <w:adjustRightInd w:val="0"/>
              <w:snapToGrid w:val="0"/>
              <w:spacing w:line="360" w:lineRule="auto"/>
              <w:ind w:firstLine="480" w:firstLineChars="200"/>
              <w:rPr>
                <w:rFonts w:ascii="Times New Roman" w:hAnsi="Times New Roman" w:eastAsia="宋体"/>
              </w:rPr>
            </w:pPr>
            <w:r>
              <w:rPr>
                <w:rFonts w:hint="eastAsia" w:ascii="Times New Roman" w:hAnsi="Times New Roman" w:eastAsia="宋体"/>
                <w:sz w:val="24"/>
              </w:rPr>
              <w:t>项目施工期时间较短，施工期结束后影响随之消失，对周边环境影响较小。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294" w:hRule="atLeast"/>
        </w:trPr>
        <w:tc>
          <w:tcPr>
            <w:tcW w:w="346"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运营期环境影响和保护措施</w:t>
            </w:r>
          </w:p>
        </w:tc>
        <w:tc>
          <w:tcPr>
            <w:tcW w:w="8176" w:type="dxa"/>
          </w:tcPr>
          <w:p>
            <w:pPr>
              <w:pStyle w:val="36"/>
            </w:pPr>
            <w:r>
              <w:t>1</w:t>
            </w:r>
            <w:r>
              <w:rPr>
                <w:rFonts w:hint="eastAsia"/>
              </w:rPr>
              <w:t>、废气</w:t>
            </w:r>
          </w:p>
          <w:p>
            <w:pPr>
              <w:adjustRightInd w:val="0"/>
              <w:snapToGrid w:val="0"/>
              <w:spacing w:line="360" w:lineRule="auto"/>
              <w:ind w:firstLine="482" w:firstLineChars="200"/>
              <w:rPr>
                <w:rFonts w:ascii="Times New Roman" w:hAnsi="Times New Roman" w:eastAsia="宋体" w:cs="Times New Roman"/>
                <w:b/>
                <w:bCs/>
                <w:sz w:val="24"/>
                <w:szCs w:val="32"/>
              </w:rPr>
            </w:pPr>
            <w:r>
              <w:rPr>
                <w:rFonts w:hint="eastAsia" w:ascii="Times New Roman" w:hAnsi="Times New Roman" w:eastAsia="宋体" w:cs="Times New Roman"/>
                <w:b/>
                <w:bCs/>
                <w:sz w:val="24"/>
                <w:szCs w:val="32"/>
              </w:rPr>
              <w:t>（1）正常工况</w:t>
            </w:r>
          </w:p>
          <w:p>
            <w:pPr>
              <w:pStyle w:val="122"/>
              <w:adjustRightInd w:val="0"/>
              <w:snapToGrid w:val="0"/>
              <w:spacing w:line="360" w:lineRule="auto"/>
              <w:ind w:firstLine="480" w:firstLineChars="200"/>
              <w:rPr>
                <w:rFonts w:cs="宋体"/>
                <w:sz w:val="24"/>
                <w:szCs w:val="24"/>
              </w:rPr>
            </w:pPr>
            <w:r>
              <w:rPr>
                <w:rFonts w:hint="eastAsia"/>
                <w:sz w:val="24"/>
                <w:szCs w:val="24"/>
              </w:rPr>
              <w:t>本项目运营期主要废气为喷砂、抛丸、打磨粉尘，清洗剂清洗、喷涂、烘干产生的漆雾、有机废气</w:t>
            </w:r>
            <w:r>
              <w:rPr>
                <w:rFonts w:hint="eastAsia" w:cs="宋体"/>
                <w:sz w:val="24"/>
                <w:szCs w:val="24"/>
              </w:rPr>
              <w:t>。</w:t>
            </w:r>
            <w:r>
              <w:rPr>
                <w:rFonts w:hint="eastAsia"/>
                <w:sz w:val="24"/>
                <w:szCs w:val="24"/>
              </w:rPr>
              <w:t>表面涂装（打磨，喷漆）依据《排污许可证申请与核发技术规范 铁路、船舶、航空航天和其他运输设备制造业》（H</w:t>
            </w:r>
            <w:r>
              <w:rPr>
                <w:sz w:val="24"/>
                <w:szCs w:val="24"/>
              </w:rPr>
              <w:t>J1124-2020</w:t>
            </w:r>
            <w:r>
              <w:rPr>
                <w:rFonts w:hint="eastAsia"/>
                <w:sz w:val="24"/>
                <w:szCs w:val="24"/>
              </w:rPr>
              <w:t>）。</w:t>
            </w:r>
          </w:p>
          <w:p>
            <w:pPr>
              <w:pStyle w:val="122"/>
              <w:adjustRightInd w:val="0"/>
              <w:snapToGrid w:val="0"/>
              <w:spacing w:line="360" w:lineRule="auto"/>
              <w:ind w:firstLine="480" w:firstLineChars="200"/>
              <w:rPr>
                <w:rFonts w:cs="宋体"/>
                <w:sz w:val="24"/>
                <w:szCs w:val="24"/>
              </w:rPr>
            </w:pPr>
            <w:r>
              <w:rPr>
                <w:rFonts w:hint="eastAsia" w:cs="宋体"/>
                <w:sz w:val="24"/>
                <w:szCs w:val="24"/>
              </w:rPr>
              <w:t>（1）</w:t>
            </w:r>
            <w:r>
              <w:rPr>
                <w:rFonts w:hint="eastAsia"/>
                <w:sz w:val="24"/>
                <w:szCs w:val="24"/>
              </w:rPr>
              <w:t>颗粒物</w:t>
            </w:r>
          </w:p>
          <w:p>
            <w:pPr>
              <w:pStyle w:val="122"/>
              <w:adjustRightInd w:val="0"/>
              <w:snapToGrid w:val="0"/>
              <w:spacing w:line="360" w:lineRule="auto"/>
              <w:ind w:firstLine="480" w:firstLineChars="200"/>
              <w:rPr>
                <w:sz w:val="24"/>
                <w:szCs w:val="24"/>
              </w:rPr>
            </w:pPr>
            <w:r>
              <w:rPr>
                <w:rFonts w:hint="eastAsia" w:cs="宋体"/>
                <w:sz w:val="24"/>
                <w:szCs w:val="24"/>
              </w:rPr>
              <w:t>包括喷砂粉尘、抛丸、打磨粉尘，</w:t>
            </w:r>
            <w:r>
              <w:rPr>
                <w:kern w:val="0"/>
                <w:sz w:val="24"/>
                <w:szCs w:val="24"/>
              </w:rPr>
              <w:t>产排情况</w:t>
            </w:r>
            <w:r>
              <w:rPr>
                <w:rFonts w:hint="eastAsia"/>
                <w:kern w:val="0"/>
                <w:sz w:val="24"/>
                <w:szCs w:val="24"/>
              </w:rPr>
              <w:t>参考</w:t>
            </w:r>
            <w:r>
              <w:rPr>
                <w:rFonts w:hint="eastAsia"/>
                <w:kern w:val="0"/>
                <w:sz w:val="24"/>
                <w:szCs w:val="24"/>
                <w:lang w:val="en-GB"/>
              </w:rPr>
              <w:t>《</w:t>
            </w:r>
            <w:r>
              <w:rPr>
                <w:sz w:val="24"/>
                <w:szCs w:val="24"/>
              </w:rPr>
              <w:t>排放源统计调查产排污核算方法和系数手册</w:t>
            </w:r>
            <w:r>
              <w:rPr>
                <w:rFonts w:hint="eastAsia"/>
                <w:kern w:val="0"/>
                <w:sz w:val="24"/>
                <w:szCs w:val="24"/>
                <w:lang w:val="en-GB"/>
              </w:rPr>
              <w:t>》（</w:t>
            </w:r>
            <w:r>
              <w:rPr>
                <w:rFonts w:hint="eastAsia"/>
                <w:kern w:val="0"/>
                <w:sz w:val="24"/>
                <w:szCs w:val="24"/>
              </w:rPr>
              <w:t>公告2021年第24号</w:t>
            </w:r>
            <w:r>
              <w:rPr>
                <w:rFonts w:hint="eastAsia"/>
                <w:kern w:val="0"/>
                <w:sz w:val="24"/>
                <w:szCs w:val="24"/>
                <w:lang w:val="en-GB"/>
              </w:rPr>
              <w:t>）</w:t>
            </w:r>
            <w:r>
              <w:rPr>
                <w:rFonts w:hint="eastAsia"/>
                <w:sz w:val="24"/>
                <w:szCs w:val="24"/>
                <w:lang w:val="en-GB"/>
              </w:rPr>
              <w:t>中“</w:t>
            </w:r>
            <w:r>
              <w:rPr>
                <w:rFonts w:hint="eastAsia"/>
                <w:sz w:val="24"/>
                <w:szCs w:val="24"/>
              </w:rPr>
              <w:t>33 金属制品业、34 通用设备制造业、35 专用设备制造业、36 汽车制造业、37 铁路船舶、航空航天和其他运输设备制造业431 金属制品修理、432 通用设备修理433 专用设备修理、434 铁路、船舶、航空航天等运输设备修理（不包括电镀工艺）行业系数手册</w:t>
            </w:r>
            <w:r>
              <w:rPr>
                <w:rFonts w:hint="eastAsia"/>
                <w:sz w:val="24"/>
                <w:szCs w:val="24"/>
                <w:lang w:val="en-GB"/>
              </w:rPr>
              <w:t>”中0</w:t>
            </w:r>
            <w:r>
              <w:rPr>
                <w:sz w:val="24"/>
                <w:szCs w:val="24"/>
                <w:lang w:val="en-GB"/>
              </w:rPr>
              <w:t xml:space="preserve">6 </w:t>
            </w:r>
            <w:r>
              <w:rPr>
                <w:rFonts w:hint="eastAsia"/>
                <w:sz w:val="24"/>
                <w:szCs w:val="24"/>
                <w:lang w:val="en-GB"/>
              </w:rPr>
              <w:t>预处理：抛丸、喷砂、打磨产污系数2</w:t>
            </w:r>
            <w:r>
              <w:rPr>
                <w:sz w:val="24"/>
                <w:szCs w:val="24"/>
                <w:lang w:val="en-GB"/>
              </w:rPr>
              <w:t>.19</w:t>
            </w:r>
            <w:r>
              <w:rPr>
                <w:rFonts w:hint="eastAsia"/>
                <w:sz w:val="24"/>
                <w:szCs w:val="24"/>
                <w:lang w:val="en-GB"/>
              </w:rPr>
              <w:t>千克/吨-原料。项目原料重量约</w:t>
            </w:r>
            <w:r>
              <w:rPr>
                <w:sz w:val="24"/>
                <w:szCs w:val="24"/>
                <w:lang w:val="en-GB"/>
              </w:rPr>
              <w:t>10.6</w:t>
            </w:r>
            <w:r>
              <w:rPr>
                <w:rFonts w:hint="eastAsia"/>
                <w:sz w:val="24"/>
                <w:szCs w:val="24"/>
                <w:lang w:val="en-GB"/>
              </w:rPr>
              <w:t>t，设备运行时长</w:t>
            </w:r>
            <w:r>
              <w:rPr>
                <w:sz w:val="24"/>
                <w:szCs w:val="24"/>
                <w:lang w:val="en-GB"/>
              </w:rPr>
              <w:t>1000</w:t>
            </w:r>
            <w:r>
              <w:rPr>
                <w:rFonts w:hint="eastAsia"/>
                <w:sz w:val="24"/>
                <w:szCs w:val="24"/>
                <w:lang w:val="en-GB"/>
              </w:rPr>
              <w:t>h，颗粒物产生量0</w:t>
            </w:r>
            <w:r>
              <w:rPr>
                <w:sz w:val="24"/>
                <w:szCs w:val="24"/>
                <w:lang w:val="en-GB"/>
              </w:rPr>
              <w:t>.26</w:t>
            </w:r>
            <w:r>
              <w:rPr>
                <w:rFonts w:hint="eastAsia"/>
                <w:sz w:val="24"/>
                <w:szCs w:val="24"/>
                <w:lang w:val="en-GB"/>
              </w:rPr>
              <w:t>t</w:t>
            </w:r>
            <w:r>
              <w:rPr>
                <w:sz w:val="24"/>
                <w:szCs w:val="24"/>
                <w:lang w:val="en-GB"/>
              </w:rPr>
              <w:t>/</w:t>
            </w:r>
            <w:r>
              <w:rPr>
                <w:rFonts w:hint="eastAsia"/>
                <w:sz w:val="24"/>
                <w:szCs w:val="24"/>
                <w:lang w:val="en-GB"/>
              </w:rPr>
              <w:t>a，采取管道负压收集后经脉冲除尘器处理后由</w:t>
            </w:r>
            <w:r>
              <w:rPr>
                <w:sz w:val="24"/>
                <w:szCs w:val="24"/>
                <w:lang w:val="en-GB"/>
              </w:rPr>
              <w:t>17m</w:t>
            </w:r>
            <w:r>
              <w:rPr>
                <w:rFonts w:hint="eastAsia"/>
                <w:sz w:val="24"/>
                <w:szCs w:val="24"/>
                <w:lang w:val="en-GB"/>
              </w:rPr>
              <w:t>排气筒排放，风机风量</w:t>
            </w:r>
            <w:r>
              <w:rPr>
                <w:sz w:val="24"/>
                <w:szCs w:val="24"/>
                <w:lang w:bidi="zh-CN"/>
              </w:rPr>
              <w:t>15000m</w:t>
            </w:r>
            <w:r>
              <w:rPr>
                <w:sz w:val="24"/>
                <w:szCs w:val="24"/>
                <w:vertAlign w:val="superscript"/>
                <w:lang w:bidi="zh-CN"/>
              </w:rPr>
              <w:t>3</w:t>
            </w:r>
            <w:r>
              <w:rPr>
                <w:sz w:val="24"/>
                <w:szCs w:val="24"/>
                <w:lang w:bidi="zh-CN"/>
              </w:rPr>
              <w:t>/h</w:t>
            </w:r>
            <w:r>
              <w:rPr>
                <w:rFonts w:hint="eastAsia"/>
                <w:sz w:val="24"/>
                <w:szCs w:val="24"/>
                <w:lang w:bidi="zh-CN"/>
              </w:rPr>
              <w:t>，估算收集效率为9</w:t>
            </w:r>
            <w:r>
              <w:rPr>
                <w:sz w:val="24"/>
                <w:szCs w:val="24"/>
                <w:lang w:bidi="zh-CN"/>
              </w:rPr>
              <w:t>5</w:t>
            </w:r>
            <w:r>
              <w:rPr>
                <w:rFonts w:hint="eastAsia"/>
                <w:sz w:val="24"/>
                <w:szCs w:val="24"/>
                <w:lang w:bidi="zh-CN"/>
              </w:rPr>
              <w:t>%，去除率依据</w:t>
            </w:r>
            <w:r>
              <w:rPr>
                <w:rFonts w:hint="eastAsia"/>
                <w:sz w:val="24"/>
                <w:szCs w:val="24"/>
              </w:rPr>
              <w:t>行业系数手册确定为9</w:t>
            </w:r>
            <w:r>
              <w:rPr>
                <w:sz w:val="24"/>
                <w:szCs w:val="24"/>
              </w:rPr>
              <w:t>0</w:t>
            </w:r>
            <w:r>
              <w:rPr>
                <w:rFonts w:hint="eastAsia"/>
                <w:sz w:val="24"/>
                <w:szCs w:val="24"/>
              </w:rPr>
              <w:t>%，依据《排污许可证申请与核发技术规范 铁路、船舶、航空航天和其他运输设备制造业》（H</w:t>
            </w:r>
            <w:r>
              <w:rPr>
                <w:sz w:val="24"/>
                <w:szCs w:val="24"/>
              </w:rPr>
              <w:t>J1124-2020</w:t>
            </w:r>
            <w:r>
              <w:rPr>
                <w:rFonts w:hint="eastAsia"/>
                <w:sz w:val="24"/>
                <w:szCs w:val="24"/>
              </w:rPr>
              <w:t>），</w:t>
            </w:r>
            <w:r>
              <w:rPr>
                <w:rFonts w:hint="eastAsia"/>
              </w:rPr>
              <w:t>该</w:t>
            </w:r>
            <w:r>
              <w:rPr>
                <w:rFonts w:hint="eastAsia"/>
                <w:sz w:val="24"/>
                <w:szCs w:val="24"/>
              </w:rPr>
              <w:t>环保措施为可行技术</w:t>
            </w:r>
            <w:r>
              <w:rPr>
                <w:rFonts w:hint="eastAsia"/>
                <w:sz w:val="24"/>
                <w:szCs w:val="24"/>
                <w:lang w:bidi="zh-CN"/>
              </w:rPr>
              <w:t>。</w:t>
            </w:r>
          </w:p>
          <w:p>
            <w:pPr>
              <w:pStyle w:val="122"/>
              <w:adjustRightInd w:val="0"/>
              <w:snapToGrid w:val="0"/>
              <w:spacing w:line="360" w:lineRule="auto"/>
              <w:ind w:firstLine="480" w:firstLineChars="200"/>
              <w:rPr>
                <w:rFonts w:cs="宋体"/>
                <w:sz w:val="24"/>
                <w:szCs w:val="24"/>
              </w:rPr>
            </w:pPr>
            <w:r>
              <w:rPr>
                <w:rFonts w:hint="eastAsia"/>
                <w:sz w:val="24"/>
                <w:szCs w:val="24"/>
              </w:rPr>
              <w:t>颗粒物产生环节、污染物种类、排放形式及污染防治设施见表4-1，粉尘产生及排放情况见表4-2。</w:t>
            </w:r>
          </w:p>
          <w:p>
            <w:pPr>
              <w:pStyle w:val="84"/>
              <w:adjustRightInd w:val="0"/>
              <w:snapToGrid w:val="0"/>
              <w:ind w:firstLine="422"/>
            </w:pPr>
            <w:r>
              <w:rPr>
                <w:rFonts w:hint="eastAsia"/>
              </w:rPr>
              <w:t>表4-</w:t>
            </w:r>
            <w:r>
              <w:t>1</w:t>
            </w:r>
            <w:r>
              <w:rPr>
                <w:rFonts w:hint="eastAsia"/>
              </w:rPr>
              <w:t xml:space="preserve">  颗粒物产生环节、污染物种类、排放形式及污染防治设施一览表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427"/>
              <w:gridCol w:w="636"/>
              <w:gridCol w:w="1231"/>
              <w:gridCol w:w="1136"/>
              <w:gridCol w:w="617"/>
              <w:gridCol w:w="601"/>
              <w:gridCol w:w="552"/>
              <w:gridCol w:w="695"/>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3" w:type="pct"/>
                  <w:vMerge w:val="restart"/>
                  <w:vAlign w:val="center"/>
                </w:tcPr>
                <w:p>
                  <w:pPr>
                    <w:pStyle w:val="57"/>
                    <w:jc w:val="center"/>
                    <w:rPr>
                      <w:b/>
                      <w:bCs/>
                    </w:rPr>
                  </w:pPr>
                  <w:r>
                    <w:rPr>
                      <w:rFonts w:hint="eastAsia"/>
                      <w:b/>
                      <w:bCs/>
                    </w:rPr>
                    <w:t>废气产污环节</w:t>
                  </w:r>
                </w:p>
              </w:tc>
              <w:tc>
                <w:tcPr>
                  <w:tcW w:w="347" w:type="pct"/>
                  <w:vMerge w:val="restart"/>
                  <w:vAlign w:val="center"/>
                </w:tcPr>
                <w:p>
                  <w:pPr>
                    <w:pStyle w:val="57"/>
                    <w:jc w:val="center"/>
                    <w:rPr>
                      <w:b/>
                      <w:bCs/>
                    </w:rPr>
                  </w:pPr>
                  <w:r>
                    <w:rPr>
                      <w:rFonts w:hint="eastAsia"/>
                      <w:b/>
                      <w:bCs/>
                    </w:rPr>
                    <w:t>污染物种类</w:t>
                  </w:r>
                </w:p>
              </w:tc>
              <w:tc>
                <w:tcPr>
                  <w:tcW w:w="292" w:type="pct"/>
                  <w:vMerge w:val="restart"/>
                  <w:vAlign w:val="center"/>
                </w:tcPr>
                <w:p>
                  <w:pPr>
                    <w:pStyle w:val="57"/>
                    <w:jc w:val="center"/>
                    <w:rPr>
                      <w:b/>
                      <w:bCs/>
                    </w:rPr>
                  </w:pPr>
                  <w:r>
                    <w:rPr>
                      <w:b/>
                      <w:bCs/>
                    </w:rPr>
                    <w:t>排放形式</w:t>
                  </w:r>
                </w:p>
              </w:tc>
              <w:tc>
                <w:tcPr>
                  <w:tcW w:w="2739" w:type="pct"/>
                  <w:gridSpan w:val="5"/>
                  <w:vAlign w:val="center"/>
                </w:tcPr>
                <w:p>
                  <w:pPr>
                    <w:pStyle w:val="57"/>
                    <w:jc w:val="center"/>
                    <w:rPr>
                      <w:b/>
                      <w:bCs/>
                    </w:rPr>
                  </w:pPr>
                  <w:r>
                    <w:rPr>
                      <w:rFonts w:hint="eastAsia"/>
                      <w:b/>
                      <w:bCs/>
                    </w:rPr>
                    <w:t>治理设施</w:t>
                  </w:r>
                </w:p>
              </w:tc>
              <w:tc>
                <w:tcPr>
                  <w:tcW w:w="487" w:type="pct"/>
                  <w:vMerge w:val="restart"/>
                  <w:vAlign w:val="center"/>
                </w:tcPr>
                <w:p>
                  <w:pPr>
                    <w:pStyle w:val="57"/>
                    <w:jc w:val="center"/>
                    <w:rPr>
                      <w:b/>
                      <w:bCs/>
                    </w:rPr>
                  </w:pPr>
                  <w:r>
                    <w:rPr>
                      <w:rFonts w:hint="eastAsia"/>
                      <w:b/>
                      <w:bCs/>
                    </w:rPr>
                    <w:t>排放口类型</w:t>
                  </w:r>
                </w:p>
              </w:tc>
              <w:tc>
                <w:tcPr>
                  <w:tcW w:w="722" w:type="pct"/>
                  <w:vMerge w:val="restart"/>
                  <w:vAlign w:val="center"/>
                </w:tcPr>
                <w:p>
                  <w:pPr>
                    <w:pStyle w:val="57"/>
                    <w:jc w:val="center"/>
                    <w:rPr>
                      <w:b/>
                      <w:bCs/>
                    </w:rPr>
                  </w:pPr>
                  <w:r>
                    <w:rPr>
                      <w:rFonts w:hint="eastAsia"/>
                      <w:b/>
                      <w:bCs/>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3" w:type="pct"/>
                  <w:vMerge w:val="continue"/>
                  <w:vAlign w:val="center"/>
                </w:tcPr>
                <w:p>
                  <w:pPr>
                    <w:pStyle w:val="57"/>
                    <w:jc w:val="center"/>
                    <w:rPr>
                      <w:b/>
                      <w:bCs/>
                    </w:rPr>
                  </w:pPr>
                </w:p>
              </w:tc>
              <w:tc>
                <w:tcPr>
                  <w:tcW w:w="347" w:type="pct"/>
                  <w:vMerge w:val="continue"/>
                  <w:vAlign w:val="center"/>
                </w:tcPr>
                <w:p>
                  <w:pPr>
                    <w:pStyle w:val="57"/>
                    <w:jc w:val="center"/>
                    <w:rPr>
                      <w:b/>
                      <w:bCs/>
                    </w:rPr>
                  </w:pPr>
                </w:p>
              </w:tc>
              <w:tc>
                <w:tcPr>
                  <w:tcW w:w="292" w:type="pct"/>
                  <w:vMerge w:val="continue"/>
                  <w:vAlign w:val="center"/>
                </w:tcPr>
                <w:p>
                  <w:pPr>
                    <w:pStyle w:val="57"/>
                    <w:jc w:val="center"/>
                    <w:rPr>
                      <w:b/>
                      <w:bCs/>
                    </w:rPr>
                  </w:pPr>
                </w:p>
              </w:tc>
              <w:tc>
                <w:tcPr>
                  <w:tcW w:w="832" w:type="pct"/>
                  <w:vAlign w:val="center"/>
                </w:tcPr>
                <w:p>
                  <w:pPr>
                    <w:pStyle w:val="57"/>
                    <w:jc w:val="center"/>
                    <w:rPr>
                      <w:b/>
                      <w:bCs/>
                    </w:rPr>
                  </w:pPr>
                  <w:r>
                    <w:rPr>
                      <w:rFonts w:hint="eastAsia"/>
                      <w:b/>
                      <w:bCs/>
                    </w:rPr>
                    <w:t>名称</w:t>
                  </w:r>
                </w:p>
              </w:tc>
              <w:tc>
                <w:tcPr>
                  <w:tcW w:w="642" w:type="pct"/>
                  <w:vAlign w:val="center"/>
                </w:tcPr>
                <w:p>
                  <w:pPr>
                    <w:pStyle w:val="57"/>
                    <w:jc w:val="center"/>
                    <w:rPr>
                      <w:b/>
                      <w:bCs/>
                    </w:rPr>
                  </w:pPr>
                  <w:r>
                    <w:rPr>
                      <w:rFonts w:hint="eastAsia"/>
                      <w:b/>
                      <w:bCs/>
                    </w:rPr>
                    <w:t>处理能力</w:t>
                  </w:r>
                </w:p>
              </w:tc>
              <w:tc>
                <w:tcPr>
                  <w:tcW w:w="439" w:type="pct"/>
                  <w:vAlign w:val="center"/>
                </w:tcPr>
                <w:p>
                  <w:pPr>
                    <w:pStyle w:val="57"/>
                    <w:jc w:val="center"/>
                    <w:rPr>
                      <w:b/>
                      <w:bCs/>
                    </w:rPr>
                  </w:pPr>
                  <w:r>
                    <w:rPr>
                      <w:rFonts w:hint="eastAsia"/>
                      <w:b/>
                      <w:bCs/>
                    </w:rPr>
                    <w:t>收集效率</w:t>
                  </w:r>
                </w:p>
              </w:tc>
              <w:tc>
                <w:tcPr>
                  <w:tcW w:w="374" w:type="pct"/>
                  <w:vAlign w:val="center"/>
                </w:tcPr>
                <w:p>
                  <w:pPr>
                    <w:pStyle w:val="57"/>
                    <w:jc w:val="center"/>
                    <w:rPr>
                      <w:b/>
                      <w:bCs/>
                    </w:rPr>
                  </w:pPr>
                  <w:r>
                    <w:rPr>
                      <w:rFonts w:hint="eastAsia"/>
                      <w:b/>
                      <w:bCs/>
                    </w:rPr>
                    <w:t>去除率</w:t>
                  </w:r>
                </w:p>
              </w:tc>
              <w:tc>
                <w:tcPr>
                  <w:tcW w:w="453" w:type="pct"/>
                  <w:vAlign w:val="center"/>
                </w:tcPr>
                <w:p>
                  <w:pPr>
                    <w:pStyle w:val="57"/>
                    <w:jc w:val="center"/>
                    <w:rPr>
                      <w:b/>
                      <w:bCs/>
                    </w:rPr>
                  </w:pPr>
                  <w:r>
                    <w:rPr>
                      <w:rFonts w:hint="eastAsia"/>
                      <w:b/>
                      <w:bCs/>
                    </w:rPr>
                    <w:t>是否为可行技术</w:t>
                  </w:r>
                </w:p>
              </w:tc>
              <w:tc>
                <w:tcPr>
                  <w:tcW w:w="487" w:type="pct"/>
                  <w:vMerge w:val="continue"/>
                  <w:vAlign w:val="center"/>
                </w:tcPr>
                <w:p>
                  <w:pPr>
                    <w:pStyle w:val="57"/>
                  </w:pPr>
                </w:p>
              </w:tc>
              <w:tc>
                <w:tcPr>
                  <w:tcW w:w="722" w:type="pct"/>
                  <w:vMerge w:val="continue"/>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3" w:type="pct"/>
                  <w:vAlign w:val="center"/>
                </w:tcPr>
                <w:p>
                  <w:pPr>
                    <w:pStyle w:val="57"/>
                  </w:pPr>
                  <w:r>
                    <w:rPr>
                      <w:rFonts w:hint="eastAsia"/>
                    </w:rPr>
                    <w:t>喷砂、抛丸、打磨</w:t>
                  </w:r>
                </w:p>
              </w:tc>
              <w:tc>
                <w:tcPr>
                  <w:tcW w:w="347" w:type="pct"/>
                  <w:vAlign w:val="center"/>
                </w:tcPr>
                <w:p>
                  <w:pPr>
                    <w:pStyle w:val="57"/>
                  </w:pPr>
                  <w:r>
                    <w:rPr>
                      <w:rFonts w:hint="eastAsia"/>
                    </w:rPr>
                    <w:t>颗粒物</w:t>
                  </w:r>
                </w:p>
              </w:tc>
              <w:tc>
                <w:tcPr>
                  <w:tcW w:w="292" w:type="pct"/>
                  <w:vAlign w:val="center"/>
                </w:tcPr>
                <w:p>
                  <w:pPr>
                    <w:pStyle w:val="57"/>
                  </w:pPr>
                  <w:r>
                    <w:rPr>
                      <w:rFonts w:hint="eastAsia"/>
                    </w:rPr>
                    <w:t>有组织、无组织</w:t>
                  </w:r>
                </w:p>
              </w:tc>
              <w:tc>
                <w:tcPr>
                  <w:tcW w:w="832" w:type="pct"/>
                  <w:vAlign w:val="center"/>
                </w:tcPr>
                <w:p>
                  <w:pPr>
                    <w:pStyle w:val="57"/>
                  </w:pPr>
                  <w:r>
                    <w:rPr>
                      <w:rFonts w:hint="eastAsia"/>
                      <w:lang w:bidi="zh-CN"/>
                    </w:rPr>
                    <w:t>管道负压收集+脉冲除尘器+</w:t>
                  </w:r>
                  <w:r>
                    <w:rPr>
                      <w:lang w:bidi="zh-CN"/>
                    </w:rPr>
                    <w:t>17m</w:t>
                  </w:r>
                  <w:r>
                    <w:rPr>
                      <w:rFonts w:hint="eastAsia"/>
                      <w:lang w:bidi="zh-CN"/>
                    </w:rPr>
                    <w:t>排气筒</w:t>
                  </w:r>
                </w:p>
              </w:tc>
              <w:tc>
                <w:tcPr>
                  <w:tcW w:w="642" w:type="pct"/>
                  <w:vAlign w:val="center"/>
                </w:tcPr>
                <w:p>
                  <w:pPr>
                    <w:pStyle w:val="57"/>
                  </w:pPr>
                  <w:r>
                    <w:rPr>
                      <w:rFonts w:hint="eastAsia"/>
                      <w:lang w:bidi="zh-CN"/>
                    </w:rPr>
                    <w:t>风量</w:t>
                  </w:r>
                  <w:r>
                    <w:rPr>
                      <w:lang w:bidi="zh-CN"/>
                    </w:rPr>
                    <w:t>15000m</w:t>
                  </w:r>
                  <w:r>
                    <w:rPr>
                      <w:vertAlign w:val="superscript"/>
                      <w:lang w:bidi="zh-CN"/>
                    </w:rPr>
                    <w:t>3</w:t>
                  </w:r>
                  <w:r>
                    <w:rPr>
                      <w:lang w:bidi="zh-CN"/>
                    </w:rPr>
                    <w:t>/h</w:t>
                  </w:r>
                </w:p>
              </w:tc>
              <w:tc>
                <w:tcPr>
                  <w:tcW w:w="439" w:type="pct"/>
                  <w:vAlign w:val="center"/>
                </w:tcPr>
                <w:p>
                  <w:pPr>
                    <w:pStyle w:val="57"/>
                  </w:pPr>
                  <w:r>
                    <w:t>95%</w:t>
                  </w:r>
                </w:p>
              </w:tc>
              <w:tc>
                <w:tcPr>
                  <w:tcW w:w="374" w:type="pct"/>
                  <w:vAlign w:val="center"/>
                </w:tcPr>
                <w:p>
                  <w:pPr>
                    <w:pStyle w:val="57"/>
                  </w:pPr>
                  <w:r>
                    <w:rPr>
                      <w:lang w:bidi="zh-CN"/>
                    </w:rPr>
                    <w:t>90%</w:t>
                  </w:r>
                </w:p>
              </w:tc>
              <w:tc>
                <w:tcPr>
                  <w:tcW w:w="453" w:type="pct"/>
                  <w:vAlign w:val="center"/>
                </w:tcPr>
                <w:p>
                  <w:pPr>
                    <w:pStyle w:val="57"/>
                  </w:pPr>
                  <w:r>
                    <w:rPr>
                      <w:rFonts w:hint="eastAsia"/>
                    </w:rPr>
                    <w:t>是</w:t>
                  </w:r>
                </w:p>
              </w:tc>
              <w:tc>
                <w:tcPr>
                  <w:tcW w:w="487" w:type="pct"/>
                  <w:vAlign w:val="center"/>
                </w:tcPr>
                <w:p>
                  <w:pPr>
                    <w:pStyle w:val="57"/>
                  </w:pPr>
                  <w:r>
                    <w:rPr>
                      <w:rFonts w:hint="eastAsia"/>
                    </w:rPr>
                    <w:t>一般排放口</w:t>
                  </w:r>
                </w:p>
              </w:tc>
              <w:tc>
                <w:tcPr>
                  <w:tcW w:w="722" w:type="pct"/>
                  <w:vAlign w:val="center"/>
                </w:tcPr>
                <w:p>
                  <w:pPr>
                    <w:pStyle w:val="57"/>
                  </w:pPr>
                  <w:r>
                    <w:rPr>
                      <w:rFonts w:hint="eastAsia"/>
                    </w:rPr>
                    <w:t>GB16297-1996</w:t>
                  </w:r>
                </w:p>
              </w:tc>
            </w:tr>
          </w:tbl>
          <w:p>
            <w:pPr>
              <w:pStyle w:val="71"/>
              <w:rPr>
                <w:color w:val="auto"/>
              </w:rPr>
            </w:pPr>
            <w:r>
              <w:rPr>
                <w:rFonts w:hint="eastAsia"/>
                <w:color w:val="auto"/>
              </w:rPr>
              <w:t>表</w:t>
            </w:r>
            <w:r>
              <w:rPr>
                <w:color w:val="auto"/>
              </w:rPr>
              <w:t>4-2  本项目</w:t>
            </w:r>
            <w:r>
              <w:rPr>
                <w:rFonts w:hint="eastAsia"/>
                <w:color w:val="auto"/>
              </w:rPr>
              <w:t>颗粒物</w:t>
            </w:r>
            <w:r>
              <w:rPr>
                <w:color w:val="auto"/>
              </w:rPr>
              <w:t>产生及排放情况一览表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470"/>
              <w:gridCol w:w="743"/>
              <w:gridCol w:w="872"/>
              <w:gridCol w:w="981"/>
              <w:gridCol w:w="997"/>
              <w:gridCol w:w="780"/>
              <w:gridCol w:w="707"/>
              <w:gridCol w:w="736"/>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8" w:type="pct"/>
                  <w:vMerge w:val="restart"/>
                  <w:vAlign w:val="center"/>
                </w:tcPr>
                <w:p>
                  <w:pPr>
                    <w:adjustRightInd w:val="0"/>
                    <w:snapToGrid w:val="0"/>
                    <w:spacing w:line="0" w:lineRule="atLeast"/>
                    <w:jc w:val="center"/>
                    <w:rPr>
                      <w:rFonts w:ascii="Times New Roman" w:hAnsi="Times New Roman" w:eastAsia="宋体" w:cs="Times New Roman"/>
                      <w:b/>
                      <w:bCs/>
                    </w:rPr>
                  </w:pPr>
                  <w:bookmarkStart w:id="28" w:name="_Hlk151456997"/>
                  <w:r>
                    <w:rPr>
                      <w:rFonts w:hint="eastAsia" w:ascii="Times New Roman" w:hAnsi="Times New Roman" w:eastAsia="宋体"/>
                      <w:b/>
                      <w:bCs/>
                    </w:rPr>
                    <w:t>产污环节</w:t>
                  </w:r>
                </w:p>
              </w:tc>
              <w:tc>
                <w:tcPr>
                  <w:tcW w:w="292" w:type="pct"/>
                  <w:vMerge w:val="restart"/>
                  <w:vAlign w:val="center"/>
                </w:tcPr>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污染物</w:t>
                  </w:r>
                </w:p>
              </w:tc>
              <w:tc>
                <w:tcPr>
                  <w:tcW w:w="461" w:type="pct"/>
                  <w:vMerge w:val="restart"/>
                  <w:vAlign w:val="center"/>
                </w:tcPr>
                <w:p>
                  <w:pPr>
                    <w:adjustRightInd w:val="0"/>
                    <w:snapToGrid w:val="0"/>
                    <w:spacing w:line="0" w:lineRule="atLeast"/>
                    <w:jc w:val="center"/>
                    <w:rPr>
                      <w:rFonts w:ascii="Times New Roman" w:hAnsi="Times New Roman" w:eastAsia="宋体" w:cs="Times New Roman"/>
                      <w:b/>
                      <w:bCs/>
                    </w:rPr>
                  </w:pPr>
                  <w:r>
                    <w:rPr>
                      <w:rFonts w:hint="eastAsia" w:ascii="Times New Roman" w:hAnsi="Times New Roman" w:eastAsia="宋体" w:cs="Times New Roman"/>
                      <w:b/>
                      <w:bCs/>
                    </w:rPr>
                    <w:t>产污时长</w:t>
                  </w:r>
                </w:p>
              </w:tc>
              <w:tc>
                <w:tcPr>
                  <w:tcW w:w="1769" w:type="pct"/>
                  <w:gridSpan w:val="3"/>
                  <w:vAlign w:val="center"/>
                </w:tcPr>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产生情况</w:t>
                  </w:r>
                </w:p>
              </w:tc>
              <w:tc>
                <w:tcPr>
                  <w:tcW w:w="1380" w:type="pct"/>
                  <w:gridSpan w:val="3"/>
                  <w:vAlign w:val="center"/>
                </w:tcPr>
                <w:p>
                  <w:pPr>
                    <w:adjustRightInd w:val="0"/>
                    <w:snapToGrid w:val="0"/>
                    <w:spacing w:line="0" w:lineRule="atLeast"/>
                    <w:jc w:val="center"/>
                    <w:rPr>
                      <w:rFonts w:ascii="Times New Roman" w:hAnsi="Times New Roman" w:eastAsia="宋体" w:cs="Times New Roman"/>
                      <w:b/>
                      <w:bCs/>
                    </w:rPr>
                  </w:pPr>
                  <w:r>
                    <w:rPr>
                      <w:rFonts w:hint="eastAsia" w:ascii="Times New Roman" w:hAnsi="Times New Roman" w:eastAsia="宋体" w:cs="Times New Roman"/>
                      <w:b/>
                      <w:bCs/>
                    </w:rPr>
                    <w:t>有组织</w:t>
                  </w:r>
                  <w:r>
                    <w:rPr>
                      <w:rFonts w:ascii="Times New Roman" w:hAnsi="Times New Roman" w:eastAsia="宋体" w:cs="Times New Roman"/>
                      <w:b/>
                      <w:bCs/>
                    </w:rPr>
                    <w:t>排放情况</w:t>
                  </w:r>
                </w:p>
              </w:tc>
              <w:tc>
                <w:tcPr>
                  <w:tcW w:w="541" w:type="pct"/>
                  <w:vAlign w:val="center"/>
                </w:tcPr>
                <w:p>
                  <w:pPr>
                    <w:adjustRightInd w:val="0"/>
                    <w:snapToGrid w:val="0"/>
                    <w:spacing w:line="0" w:lineRule="atLeast"/>
                    <w:jc w:val="center"/>
                    <w:rPr>
                      <w:rFonts w:ascii="Times New Roman" w:hAnsi="Times New Roman" w:eastAsia="宋体" w:cs="Times New Roman"/>
                      <w:b/>
                      <w:bCs/>
                    </w:rPr>
                  </w:pPr>
                  <w:r>
                    <w:rPr>
                      <w:rFonts w:hint="eastAsia" w:ascii="Times New Roman" w:hAnsi="Times New Roman" w:eastAsia="宋体" w:cs="Times New Roman"/>
                      <w:b/>
                      <w:bCs/>
                    </w:rPr>
                    <w:t>无组织排放情况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58" w:type="pct"/>
                  <w:vMerge w:val="continue"/>
                  <w:vAlign w:val="center"/>
                </w:tcPr>
                <w:p>
                  <w:pPr>
                    <w:adjustRightInd w:val="0"/>
                    <w:snapToGrid w:val="0"/>
                    <w:spacing w:line="0" w:lineRule="atLeast"/>
                    <w:jc w:val="center"/>
                    <w:rPr>
                      <w:rFonts w:ascii="Times New Roman" w:hAnsi="Times New Roman" w:eastAsia="宋体" w:cs="Times New Roman"/>
                      <w:b/>
                      <w:bCs/>
                    </w:rPr>
                  </w:pPr>
                </w:p>
              </w:tc>
              <w:tc>
                <w:tcPr>
                  <w:tcW w:w="292" w:type="pct"/>
                  <w:vMerge w:val="continue"/>
                  <w:vAlign w:val="center"/>
                </w:tcPr>
                <w:p>
                  <w:pPr>
                    <w:adjustRightInd w:val="0"/>
                    <w:snapToGrid w:val="0"/>
                    <w:spacing w:line="0" w:lineRule="atLeast"/>
                    <w:jc w:val="center"/>
                    <w:rPr>
                      <w:rFonts w:ascii="Times New Roman" w:hAnsi="Times New Roman" w:eastAsia="宋体" w:cs="Times New Roman"/>
                      <w:b/>
                      <w:bCs/>
                    </w:rPr>
                  </w:pPr>
                </w:p>
              </w:tc>
              <w:tc>
                <w:tcPr>
                  <w:tcW w:w="461" w:type="pct"/>
                  <w:vMerge w:val="continue"/>
                  <w:vAlign w:val="center"/>
                </w:tcPr>
                <w:p>
                  <w:pPr>
                    <w:adjustRightInd w:val="0"/>
                    <w:snapToGrid w:val="0"/>
                    <w:spacing w:line="0" w:lineRule="atLeast"/>
                    <w:jc w:val="center"/>
                    <w:rPr>
                      <w:rFonts w:ascii="Times New Roman" w:hAnsi="Times New Roman" w:eastAsia="宋体" w:cs="Times New Roman"/>
                      <w:b/>
                      <w:bCs/>
                    </w:rPr>
                  </w:pPr>
                </w:p>
              </w:tc>
              <w:tc>
                <w:tcPr>
                  <w:tcW w:w="541" w:type="pct"/>
                  <w:vAlign w:val="center"/>
                </w:tcPr>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产生量（t/a）</w:t>
                  </w:r>
                </w:p>
              </w:tc>
              <w:tc>
                <w:tcPr>
                  <w:tcW w:w="609" w:type="pct"/>
                  <w:vAlign w:val="center"/>
                </w:tcPr>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产生浓度（mg/</w:t>
                  </w:r>
                </w:p>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m</w:t>
                  </w:r>
                  <w:r>
                    <w:rPr>
                      <w:rFonts w:ascii="Times New Roman" w:hAnsi="Times New Roman" w:eastAsia="宋体" w:cs="Times New Roman"/>
                      <w:b/>
                      <w:bCs/>
                      <w:vertAlign w:val="superscript"/>
                    </w:rPr>
                    <w:t>3</w:t>
                  </w:r>
                  <w:r>
                    <w:rPr>
                      <w:rFonts w:ascii="Times New Roman" w:hAnsi="Times New Roman" w:eastAsia="宋体" w:cs="Times New Roman"/>
                      <w:b/>
                      <w:bCs/>
                    </w:rPr>
                    <w:t>）</w:t>
                  </w:r>
                </w:p>
              </w:tc>
              <w:tc>
                <w:tcPr>
                  <w:tcW w:w="619" w:type="pct"/>
                  <w:vAlign w:val="center"/>
                </w:tcPr>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产生速率（kg</w:t>
                  </w:r>
                </w:p>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/h）</w:t>
                  </w:r>
                </w:p>
              </w:tc>
              <w:tc>
                <w:tcPr>
                  <w:tcW w:w="484" w:type="pct"/>
                  <w:vAlign w:val="center"/>
                </w:tcPr>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排放量（t/</w:t>
                  </w:r>
                </w:p>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a）</w:t>
                  </w:r>
                </w:p>
              </w:tc>
              <w:tc>
                <w:tcPr>
                  <w:tcW w:w="439" w:type="pct"/>
                  <w:vAlign w:val="center"/>
                </w:tcPr>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排放速率（kg/</w:t>
                  </w:r>
                </w:p>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h）</w:t>
                  </w:r>
                </w:p>
              </w:tc>
              <w:tc>
                <w:tcPr>
                  <w:tcW w:w="456" w:type="pct"/>
                  <w:vAlign w:val="center"/>
                </w:tcPr>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排放浓度（mg</w:t>
                  </w:r>
                </w:p>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/m</w:t>
                  </w:r>
                  <w:r>
                    <w:rPr>
                      <w:rFonts w:ascii="Times New Roman" w:hAnsi="Times New Roman" w:eastAsia="宋体" w:cs="Times New Roman"/>
                      <w:b/>
                      <w:bCs/>
                      <w:vertAlign w:val="superscript"/>
                    </w:rPr>
                    <w:t>3</w:t>
                  </w:r>
                  <w:r>
                    <w:rPr>
                      <w:rFonts w:ascii="Times New Roman" w:hAnsi="Times New Roman" w:eastAsia="宋体" w:cs="Times New Roman"/>
                      <w:b/>
                      <w:bCs/>
                    </w:rPr>
                    <w:t>）</w:t>
                  </w:r>
                </w:p>
              </w:tc>
              <w:tc>
                <w:tcPr>
                  <w:tcW w:w="541" w:type="pct"/>
                  <w:vAlign w:val="center"/>
                </w:tcPr>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排放</w:t>
                  </w:r>
                </w:p>
                <w:p>
                  <w:pPr>
                    <w:adjustRightInd w:val="0"/>
                    <w:snapToGrid w:val="0"/>
                    <w:spacing w:line="0" w:lineRule="atLeast"/>
                    <w:jc w:val="center"/>
                    <w:rPr>
                      <w:rFonts w:ascii="Times New Roman" w:hAnsi="Times New Roman" w:eastAsia="宋体" w:cs="Times New Roman"/>
                      <w:b/>
                      <w:bCs/>
                    </w:rPr>
                  </w:pPr>
                  <w:r>
                    <w:rPr>
                      <w:rFonts w:ascii="Times New Roman" w:hAnsi="Times New Roman" w:eastAsia="宋体" w:cs="Times New Roman"/>
                      <w:b/>
                      <w:bCs/>
                    </w:rPr>
                    <w:t>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8" w:type="pct"/>
                  <w:vAlign w:val="center"/>
                </w:tcPr>
                <w:p>
                  <w:pPr>
                    <w:adjustRightInd w:val="0"/>
                    <w:snapToGrid w:val="0"/>
                    <w:spacing w:line="0" w:lineRule="atLeast"/>
                    <w:jc w:val="center"/>
                    <w:rPr>
                      <w:rFonts w:ascii="Times New Roman" w:hAnsi="Times New Roman" w:eastAsia="宋体" w:cs="Times New Roman"/>
                    </w:rPr>
                  </w:pPr>
                  <w:r>
                    <w:rPr>
                      <w:rFonts w:hint="eastAsia" w:ascii="Times New Roman" w:hAnsi="Times New Roman" w:eastAsia="宋体" w:cs="Times New Roman"/>
                    </w:rPr>
                    <w:t>喷砂、抛丸、打磨</w:t>
                  </w:r>
                </w:p>
              </w:tc>
              <w:tc>
                <w:tcPr>
                  <w:tcW w:w="292" w:type="pct"/>
                  <w:vAlign w:val="center"/>
                </w:tcPr>
                <w:p>
                  <w:pPr>
                    <w:adjustRightInd w:val="0"/>
                    <w:snapToGrid w:val="0"/>
                    <w:spacing w:line="0" w:lineRule="atLeast"/>
                    <w:jc w:val="center"/>
                    <w:rPr>
                      <w:rFonts w:ascii="Times New Roman" w:hAnsi="Times New Roman" w:eastAsia="宋体" w:cs="Times New Roman"/>
                    </w:rPr>
                  </w:pPr>
                  <w:r>
                    <w:rPr>
                      <w:rFonts w:hint="eastAsia" w:ascii="Times New Roman" w:hAnsi="Times New Roman" w:eastAsia="宋体" w:cs="Times New Roman"/>
                    </w:rPr>
                    <w:t>颗粒物</w:t>
                  </w:r>
                </w:p>
              </w:tc>
              <w:tc>
                <w:tcPr>
                  <w:tcW w:w="461" w:type="pct"/>
                  <w:vAlign w:val="center"/>
                </w:tcPr>
                <w:p>
                  <w:pPr>
                    <w:adjustRightInd w:val="0"/>
                    <w:snapToGrid w:val="0"/>
                    <w:spacing w:line="0" w:lineRule="atLeast"/>
                    <w:jc w:val="center"/>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000</w:t>
                  </w:r>
                  <w:r>
                    <w:rPr>
                      <w:rFonts w:hint="eastAsia" w:ascii="Times New Roman" w:hAnsi="Times New Roman" w:eastAsia="宋体" w:cs="Times New Roman"/>
                    </w:rPr>
                    <w:t>h</w:t>
                  </w:r>
                </w:p>
              </w:tc>
              <w:tc>
                <w:tcPr>
                  <w:tcW w:w="541" w:type="pct"/>
                  <w:vAlign w:val="center"/>
                </w:tcPr>
                <w:p>
                  <w:pPr>
                    <w:adjustRightInd w:val="0"/>
                    <w:snapToGrid w:val="0"/>
                    <w:spacing w:line="0" w:lineRule="atLeast"/>
                    <w:jc w:val="center"/>
                    <w:rPr>
                      <w:rFonts w:ascii="Times New Roman" w:hAnsi="Times New Roman" w:eastAsia="宋体" w:cs="Times New Roman"/>
                    </w:rPr>
                  </w:pPr>
                  <w:r>
                    <w:rPr>
                      <w:rFonts w:ascii="Times New Roman" w:hAnsi="Times New Roman" w:eastAsia="宋体" w:cs="Times New Roman"/>
                    </w:rPr>
                    <w:t>0.02</w:t>
                  </w:r>
                </w:p>
              </w:tc>
              <w:tc>
                <w:tcPr>
                  <w:tcW w:w="609" w:type="pct"/>
                  <w:vAlign w:val="center"/>
                </w:tcPr>
                <w:p>
                  <w:pPr>
                    <w:adjustRightInd w:val="0"/>
                    <w:snapToGrid w:val="0"/>
                    <w:spacing w:line="0" w:lineRule="atLeast"/>
                    <w:jc w:val="center"/>
                    <w:rPr>
                      <w:rFonts w:ascii="Times New Roman" w:hAnsi="Times New Roman" w:eastAsia="宋体" w:cs="Times New Roman"/>
                    </w:rPr>
                  </w:pPr>
                  <w:r>
                    <w:rPr>
                      <w:rFonts w:ascii="Times New Roman" w:hAnsi="Times New Roman" w:eastAsia="宋体" w:cs="Times New Roman"/>
                    </w:rPr>
                    <w:t>1.55</w:t>
                  </w:r>
                </w:p>
              </w:tc>
              <w:tc>
                <w:tcPr>
                  <w:tcW w:w="619" w:type="pct"/>
                  <w:vAlign w:val="center"/>
                </w:tcPr>
                <w:p>
                  <w:pPr>
                    <w:adjustRightInd w:val="0"/>
                    <w:snapToGrid w:val="0"/>
                    <w:spacing w:line="0" w:lineRule="atLeast"/>
                    <w:jc w:val="center"/>
                    <w:rPr>
                      <w:rFonts w:ascii="Times New Roman" w:hAnsi="Times New Roman" w:eastAsia="宋体" w:cs="Times New Roman"/>
                    </w:rPr>
                  </w:pPr>
                  <w:r>
                    <w:rPr>
                      <w:rFonts w:ascii="Times New Roman" w:hAnsi="Times New Roman" w:eastAsia="宋体" w:cs="Times New Roman"/>
                    </w:rPr>
                    <w:t>0.02</w:t>
                  </w:r>
                </w:p>
              </w:tc>
              <w:tc>
                <w:tcPr>
                  <w:tcW w:w="484" w:type="pct"/>
                  <w:vAlign w:val="center"/>
                </w:tcPr>
                <w:p>
                  <w:pPr>
                    <w:adjustRightInd w:val="0"/>
                    <w:snapToGrid w:val="0"/>
                    <w:spacing w:line="0" w:lineRule="atLeast"/>
                    <w:jc w:val="center"/>
                    <w:rPr>
                      <w:rFonts w:ascii="Times New Roman" w:hAnsi="Times New Roman" w:eastAsia="宋体" w:cs="Times New Roman"/>
                    </w:rPr>
                  </w:pPr>
                  <w:r>
                    <w:rPr>
                      <w:rFonts w:ascii="Times New Roman" w:hAnsi="Times New Roman" w:eastAsia="宋体" w:cs="Times New Roman"/>
                    </w:rPr>
                    <w:t>0.002</w:t>
                  </w:r>
                </w:p>
              </w:tc>
              <w:tc>
                <w:tcPr>
                  <w:tcW w:w="439" w:type="pct"/>
                  <w:vAlign w:val="center"/>
                </w:tcPr>
                <w:p>
                  <w:pPr>
                    <w:adjustRightInd w:val="0"/>
                    <w:snapToGrid w:val="0"/>
                    <w:spacing w:line="0" w:lineRule="atLeast"/>
                    <w:jc w:val="center"/>
                    <w:rPr>
                      <w:rFonts w:ascii="Times New Roman" w:hAnsi="Times New Roman" w:eastAsia="宋体" w:cs="Times New Roman"/>
                    </w:rPr>
                  </w:pPr>
                  <w:r>
                    <w:rPr>
                      <w:rFonts w:ascii="Times New Roman" w:hAnsi="Times New Roman" w:eastAsia="宋体" w:cs="Times New Roman"/>
                    </w:rPr>
                    <w:t>0.002</w:t>
                  </w:r>
                </w:p>
              </w:tc>
              <w:tc>
                <w:tcPr>
                  <w:tcW w:w="456" w:type="pct"/>
                  <w:vAlign w:val="center"/>
                </w:tcPr>
                <w:p>
                  <w:pPr>
                    <w:adjustRightInd w:val="0"/>
                    <w:snapToGrid w:val="0"/>
                    <w:spacing w:line="0" w:lineRule="atLeast"/>
                    <w:jc w:val="center"/>
                    <w:rPr>
                      <w:rFonts w:ascii="Times New Roman" w:hAnsi="Times New Roman" w:eastAsia="宋体" w:cs="Times New Roman"/>
                    </w:rPr>
                  </w:pPr>
                  <w:r>
                    <w:rPr>
                      <w:rFonts w:ascii="Times New Roman" w:hAnsi="Times New Roman" w:eastAsia="宋体" w:cs="Times New Roman"/>
                    </w:rPr>
                    <w:t>0.147</w:t>
                  </w:r>
                </w:p>
              </w:tc>
              <w:tc>
                <w:tcPr>
                  <w:tcW w:w="541" w:type="pct"/>
                  <w:vAlign w:val="center"/>
                </w:tcPr>
                <w:p>
                  <w:pPr>
                    <w:adjustRightInd w:val="0"/>
                    <w:snapToGrid w:val="0"/>
                    <w:spacing w:line="0" w:lineRule="atLeast"/>
                    <w:jc w:val="center"/>
                    <w:rPr>
                      <w:rFonts w:ascii="Times New Roman" w:hAnsi="Times New Roman" w:eastAsia="宋体" w:cs="Times New Roman"/>
                    </w:rPr>
                  </w:pPr>
                  <w:r>
                    <w:rPr>
                      <w:rFonts w:ascii="Times New Roman" w:hAnsi="Times New Roman" w:eastAsia="宋体" w:cs="Times New Roman"/>
                    </w:rPr>
                    <w:t>0.001</w:t>
                  </w:r>
                </w:p>
              </w:tc>
            </w:tr>
            <w:bookmarkEnd w:id="28"/>
          </w:tbl>
          <w:p>
            <w:pPr>
              <w:pStyle w:val="109"/>
              <w:ind w:firstLine="480" w:firstLineChars="200"/>
              <w:jc w:val="both"/>
              <w:rPr>
                <w:snapToGrid/>
                <w:kern w:val="2"/>
              </w:rPr>
            </w:pPr>
            <w:r>
              <w:rPr>
                <w:rFonts w:hint="eastAsia"/>
              </w:rPr>
              <w:t>（</w:t>
            </w:r>
            <w:r>
              <w:rPr>
                <w:snapToGrid/>
                <w:kern w:val="2"/>
              </w:rPr>
              <w:t>2</w:t>
            </w:r>
            <w:r>
              <w:rPr>
                <w:rFonts w:hint="eastAsia"/>
                <w:snapToGrid/>
                <w:kern w:val="2"/>
              </w:rPr>
              <w:t>）雾状颗粒、有机废气</w:t>
            </w:r>
          </w:p>
          <w:p>
            <w:pPr>
              <w:pStyle w:val="109"/>
              <w:ind w:firstLine="480" w:firstLineChars="200"/>
              <w:jc w:val="both"/>
            </w:pPr>
            <w:r>
              <w:rPr>
                <w:rFonts w:hint="eastAsia"/>
              </w:rPr>
              <w:t>配料间产生的有机废气为配涂料工序；喷漆间产生的有机废气包括喷涂料、喷漆工序；烘干间产生的有机废气包括烘干工序；清洗间产生的有机废气为清理工序。</w:t>
            </w:r>
            <w:r>
              <w:rPr>
                <w:rFonts w:hint="eastAsia"/>
                <w:snapToGrid/>
                <w:kern w:val="2"/>
              </w:rPr>
              <w:t>废气产生环节、污染物种类、排放形式及污染防治设施见表4-</w:t>
            </w:r>
            <w:r>
              <w:rPr>
                <w:snapToGrid/>
                <w:kern w:val="2"/>
              </w:rPr>
              <w:t>3</w:t>
            </w:r>
            <w:r>
              <w:rPr>
                <w:rFonts w:hint="eastAsia"/>
                <w:snapToGrid/>
                <w:kern w:val="2"/>
              </w:rPr>
              <w:t>，废气产生及排放情况见表4-</w:t>
            </w:r>
            <w:r>
              <w:rPr>
                <w:snapToGrid/>
                <w:kern w:val="2"/>
              </w:rPr>
              <w:t>4</w:t>
            </w:r>
            <w:r>
              <w:rPr>
                <w:rFonts w:hint="eastAsia"/>
                <w:snapToGrid/>
                <w:kern w:val="2"/>
              </w:rPr>
              <w:t>，其中</w:t>
            </w:r>
            <w:r>
              <w:rPr>
                <w:rFonts w:hint="eastAsia"/>
                <w:lang w:bidi="zh-CN"/>
              </w:rPr>
              <w:t>估算收集效率为9</w:t>
            </w:r>
            <w:r>
              <w:rPr>
                <w:lang w:bidi="zh-CN"/>
              </w:rPr>
              <w:t>5</w:t>
            </w:r>
            <w:r>
              <w:rPr>
                <w:rFonts w:hint="eastAsia"/>
                <w:lang w:bidi="zh-CN"/>
              </w:rPr>
              <w:t>%，去除率依据</w:t>
            </w:r>
            <w:r>
              <w:rPr>
                <w:rFonts w:hint="eastAsia"/>
              </w:rPr>
              <w:t>行业系数手册确定为颗粒物8</w:t>
            </w:r>
            <w:r>
              <w:t>0</w:t>
            </w:r>
            <w:r>
              <w:rPr>
                <w:rFonts w:hint="eastAsia"/>
              </w:rPr>
              <w:t>%，V</w:t>
            </w:r>
            <w:r>
              <w:t>OC</w:t>
            </w:r>
            <w:r>
              <w:rPr>
                <w:rFonts w:hint="eastAsia"/>
              </w:rPr>
              <w:t>s</w:t>
            </w:r>
            <w:r>
              <w:t>90%</w:t>
            </w:r>
            <w:r>
              <w:rPr>
                <w:rFonts w:hint="eastAsia"/>
              </w:rPr>
              <w:t>，依据《排污许可证申请与核发技术规范 铁路、船舶、航空航天和其他运输设备制造业》（H</w:t>
            </w:r>
            <w:r>
              <w:t>J1124-2020</w:t>
            </w:r>
            <w:r>
              <w:rPr>
                <w:rFonts w:hint="eastAsia"/>
              </w:rPr>
              <w:t>），该环保措施为可行技术</w:t>
            </w:r>
            <w:r>
              <w:rPr>
                <w:rFonts w:hint="eastAsia"/>
                <w:snapToGrid/>
                <w:kern w:val="2"/>
              </w:rPr>
              <w:t>。</w:t>
            </w:r>
          </w:p>
          <w:p>
            <w:pPr>
              <w:pStyle w:val="84"/>
              <w:adjustRightInd w:val="0"/>
              <w:snapToGrid w:val="0"/>
            </w:pPr>
            <w:r>
              <w:rPr>
                <w:rFonts w:hint="eastAsia"/>
              </w:rPr>
              <w:t>表4-</w:t>
            </w:r>
            <w:r>
              <w:t>3</w:t>
            </w:r>
            <w:r>
              <w:rPr>
                <w:rFonts w:hint="eastAsia"/>
              </w:rPr>
              <w:t xml:space="preserve">  废气产生环节、污染物种类、排放形式及污染防治设施一览表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1019"/>
              <w:gridCol w:w="636"/>
              <w:gridCol w:w="1064"/>
              <w:gridCol w:w="741"/>
              <w:gridCol w:w="601"/>
              <w:gridCol w:w="1127"/>
              <w:gridCol w:w="427"/>
              <w:gridCol w:w="42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61" w:type="pct"/>
                  <w:vMerge w:val="restart"/>
                  <w:vAlign w:val="center"/>
                </w:tcPr>
                <w:p>
                  <w:pPr>
                    <w:pStyle w:val="57"/>
                    <w:jc w:val="center"/>
                    <w:rPr>
                      <w:b/>
                      <w:bCs/>
                    </w:rPr>
                  </w:pPr>
                  <w:r>
                    <w:rPr>
                      <w:rFonts w:hint="eastAsia"/>
                      <w:b/>
                      <w:bCs/>
                    </w:rPr>
                    <w:t>废气产污环节</w:t>
                  </w:r>
                </w:p>
              </w:tc>
              <w:tc>
                <w:tcPr>
                  <w:tcW w:w="697" w:type="pct"/>
                  <w:vMerge w:val="restart"/>
                  <w:vAlign w:val="center"/>
                </w:tcPr>
                <w:p>
                  <w:pPr>
                    <w:pStyle w:val="57"/>
                    <w:jc w:val="center"/>
                    <w:rPr>
                      <w:b/>
                      <w:bCs/>
                    </w:rPr>
                  </w:pPr>
                  <w:r>
                    <w:rPr>
                      <w:rFonts w:hint="eastAsia"/>
                      <w:b/>
                      <w:bCs/>
                    </w:rPr>
                    <w:t>污染物种类</w:t>
                  </w:r>
                </w:p>
              </w:tc>
              <w:tc>
                <w:tcPr>
                  <w:tcW w:w="351" w:type="pct"/>
                  <w:vMerge w:val="restart"/>
                  <w:vAlign w:val="center"/>
                </w:tcPr>
                <w:p>
                  <w:pPr>
                    <w:pStyle w:val="57"/>
                    <w:jc w:val="center"/>
                    <w:rPr>
                      <w:b/>
                      <w:bCs/>
                    </w:rPr>
                  </w:pPr>
                  <w:r>
                    <w:rPr>
                      <w:b/>
                      <w:bCs/>
                    </w:rPr>
                    <w:t>排放形式</w:t>
                  </w:r>
                </w:p>
              </w:tc>
              <w:tc>
                <w:tcPr>
                  <w:tcW w:w="2329" w:type="pct"/>
                  <w:gridSpan w:val="5"/>
                  <w:vAlign w:val="center"/>
                </w:tcPr>
                <w:p>
                  <w:pPr>
                    <w:pStyle w:val="57"/>
                    <w:jc w:val="center"/>
                    <w:rPr>
                      <w:b/>
                      <w:bCs/>
                    </w:rPr>
                  </w:pPr>
                  <w:r>
                    <w:rPr>
                      <w:rFonts w:hint="eastAsia"/>
                      <w:b/>
                      <w:bCs/>
                    </w:rPr>
                    <w:t>治理设施</w:t>
                  </w:r>
                </w:p>
              </w:tc>
              <w:tc>
                <w:tcPr>
                  <w:tcW w:w="308" w:type="pct"/>
                  <w:vMerge w:val="restart"/>
                  <w:vAlign w:val="center"/>
                </w:tcPr>
                <w:p>
                  <w:pPr>
                    <w:pStyle w:val="57"/>
                    <w:jc w:val="center"/>
                    <w:rPr>
                      <w:b/>
                      <w:bCs/>
                    </w:rPr>
                  </w:pPr>
                  <w:r>
                    <w:rPr>
                      <w:rFonts w:hint="eastAsia"/>
                      <w:b/>
                      <w:bCs/>
                    </w:rPr>
                    <w:t>排放口类型</w:t>
                  </w:r>
                </w:p>
              </w:tc>
              <w:tc>
                <w:tcPr>
                  <w:tcW w:w="954" w:type="pct"/>
                  <w:vMerge w:val="restart"/>
                  <w:vAlign w:val="center"/>
                </w:tcPr>
                <w:p>
                  <w:pPr>
                    <w:pStyle w:val="57"/>
                    <w:jc w:val="center"/>
                    <w:rPr>
                      <w:b/>
                      <w:bCs/>
                    </w:rPr>
                  </w:pPr>
                  <w:r>
                    <w:rPr>
                      <w:rFonts w:hint="eastAsia"/>
                      <w:b/>
                      <w:bCs/>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61" w:type="pct"/>
                  <w:vMerge w:val="continue"/>
                  <w:vAlign w:val="center"/>
                </w:tcPr>
                <w:p>
                  <w:pPr>
                    <w:pStyle w:val="57"/>
                    <w:jc w:val="center"/>
                    <w:rPr>
                      <w:b/>
                      <w:bCs/>
                    </w:rPr>
                  </w:pPr>
                </w:p>
              </w:tc>
              <w:tc>
                <w:tcPr>
                  <w:tcW w:w="697" w:type="pct"/>
                  <w:vMerge w:val="continue"/>
                  <w:vAlign w:val="center"/>
                </w:tcPr>
                <w:p>
                  <w:pPr>
                    <w:pStyle w:val="57"/>
                    <w:jc w:val="center"/>
                    <w:rPr>
                      <w:b/>
                      <w:bCs/>
                    </w:rPr>
                  </w:pPr>
                </w:p>
              </w:tc>
              <w:tc>
                <w:tcPr>
                  <w:tcW w:w="351" w:type="pct"/>
                  <w:vMerge w:val="continue"/>
                  <w:vAlign w:val="center"/>
                </w:tcPr>
                <w:p>
                  <w:pPr>
                    <w:pStyle w:val="57"/>
                    <w:jc w:val="center"/>
                    <w:rPr>
                      <w:b/>
                      <w:bCs/>
                    </w:rPr>
                  </w:pPr>
                </w:p>
              </w:tc>
              <w:tc>
                <w:tcPr>
                  <w:tcW w:w="725" w:type="pct"/>
                  <w:vAlign w:val="center"/>
                </w:tcPr>
                <w:p>
                  <w:pPr>
                    <w:pStyle w:val="57"/>
                    <w:jc w:val="center"/>
                    <w:rPr>
                      <w:b/>
                      <w:bCs/>
                    </w:rPr>
                  </w:pPr>
                  <w:r>
                    <w:rPr>
                      <w:rFonts w:hint="eastAsia"/>
                      <w:b/>
                      <w:bCs/>
                    </w:rPr>
                    <w:t>名称</w:t>
                  </w:r>
                </w:p>
              </w:tc>
              <w:tc>
                <w:tcPr>
                  <w:tcW w:w="461" w:type="pct"/>
                  <w:vAlign w:val="center"/>
                </w:tcPr>
                <w:p>
                  <w:pPr>
                    <w:pStyle w:val="57"/>
                    <w:jc w:val="center"/>
                    <w:rPr>
                      <w:b/>
                      <w:bCs/>
                    </w:rPr>
                  </w:pPr>
                  <w:r>
                    <w:rPr>
                      <w:rFonts w:hint="eastAsia"/>
                      <w:b/>
                      <w:bCs/>
                    </w:rPr>
                    <w:t>处理能力</w:t>
                  </w:r>
                </w:p>
              </w:tc>
              <w:tc>
                <w:tcPr>
                  <w:tcW w:w="374" w:type="pct"/>
                  <w:vAlign w:val="center"/>
                </w:tcPr>
                <w:p>
                  <w:pPr>
                    <w:pStyle w:val="57"/>
                    <w:jc w:val="center"/>
                    <w:rPr>
                      <w:b/>
                      <w:bCs/>
                    </w:rPr>
                  </w:pPr>
                  <w:r>
                    <w:rPr>
                      <w:rFonts w:hint="eastAsia"/>
                      <w:b/>
                      <w:bCs/>
                    </w:rPr>
                    <w:t>收集效率</w:t>
                  </w:r>
                </w:p>
              </w:tc>
              <w:tc>
                <w:tcPr>
                  <w:tcW w:w="374" w:type="pct"/>
                  <w:vAlign w:val="center"/>
                </w:tcPr>
                <w:p>
                  <w:pPr>
                    <w:pStyle w:val="57"/>
                    <w:jc w:val="center"/>
                    <w:rPr>
                      <w:b/>
                      <w:bCs/>
                    </w:rPr>
                  </w:pPr>
                  <w:r>
                    <w:rPr>
                      <w:rFonts w:hint="eastAsia"/>
                      <w:b/>
                      <w:bCs/>
                    </w:rPr>
                    <w:t>去除率</w:t>
                  </w:r>
                </w:p>
              </w:tc>
              <w:tc>
                <w:tcPr>
                  <w:tcW w:w="395" w:type="pct"/>
                  <w:vAlign w:val="center"/>
                </w:tcPr>
                <w:p>
                  <w:pPr>
                    <w:pStyle w:val="57"/>
                    <w:jc w:val="center"/>
                    <w:rPr>
                      <w:b/>
                      <w:bCs/>
                    </w:rPr>
                  </w:pPr>
                  <w:r>
                    <w:rPr>
                      <w:rFonts w:hint="eastAsia"/>
                      <w:b/>
                      <w:bCs/>
                    </w:rPr>
                    <w:t>是否为可行技术</w:t>
                  </w:r>
                </w:p>
              </w:tc>
              <w:tc>
                <w:tcPr>
                  <w:tcW w:w="308" w:type="pct"/>
                  <w:vMerge w:val="continue"/>
                  <w:vAlign w:val="center"/>
                </w:tcPr>
                <w:p>
                  <w:pPr>
                    <w:pStyle w:val="57"/>
                  </w:pPr>
                </w:p>
              </w:tc>
              <w:tc>
                <w:tcPr>
                  <w:tcW w:w="954" w:type="pct"/>
                  <w:vMerge w:val="continue"/>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61" w:type="pct"/>
                  <w:vAlign w:val="center"/>
                </w:tcPr>
                <w:p>
                  <w:pPr>
                    <w:pStyle w:val="57"/>
                    <w:jc w:val="center"/>
                    <w:rPr>
                      <w:lang w:bidi="zh-CN"/>
                    </w:rPr>
                  </w:pPr>
                  <w:r>
                    <w:rPr>
                      <w:rFonts w:hint="eastAsia"/>
                      <w:lang w:bidi="zh-CN"/>
                    </w:rPr>
                    <w:t>清理</w:t>
                  </w:r>
                </w:p>
              </w:tc>
              <w:tc>
                <w:tcPr>
                  <w:tcW w:w="697" w:type="pct"/>
                  <w:vAlign w:val="center"/>
                </w:tcPr>
                <w:p>
                  <w:pPr>
                    <w:pStyle w:val="57"/>
                    <w:jc w:val="center"/>
                    <w:rPr>
                      <w:b/>
                      <w:bCs/>
                    </w:rPr>
                  </w:pPr>
                  <w:r>
                    <w:rPr>
                      <w:rFonts w:hint="eastAsia"/>
                      <w:lang w:bidi="zh-CN"/>
                    </w:rPr>
                    <w:t>非甲烷总烃</w:t>
                  </w:r>
                </w:p>
              </w:tc>
              <w:tc>
                <w:tcPr>
                  <w:tcW w:w="351" w:type="pct"/>
                  <w:vMerge w:val="restart"/>
                  <w:vAlign w:val="center"/>
                </w:tcPr>
                <w:p>
                  <w:pPr>
                    <w:pStyle w:val="57"/>
                    <w:rPr>
                      <w:b/>
                      <w:bCs/>
                    </w:rPr>
                  </w:pPr>
                  <w:r>
                    <w:rPr>
                      <w:rFonts w:hint="eastAsia"/>
                    </w:rPr>
                    <w:t>有组织、无组织</w:t>
                  </w:r>
                </w:p>
              </w:tc>
              <w:tc>
                <w:tcPr>
                  <w:tcW w:w="725" w:type="pct"/>
                  <w:vMerge w:val="restart"/>
                  <w:vAlign w:val="center"/>
                </w:tcPr>
                <w:p>
                  <w:pPr>
                    <w:pStyle w:val="57"/>
                    <w:rPr>
                      <w:b/>
                      <w:bCs/>
                    </w:rPr>
                  </w:pPr>
                  <w:bookmarkStart w:id="29" w:name="_Hlk69977894"/>
                  <w:r>
                    <w:rPr>
                      <w:rFonts w:hint="eastAsia"/>
                      <w:lang w:bidi="zh-CN"/>
                    </w:rPr>
                    <w:t>管道负压收集+</w:t>
                  </w:r>
                  <w:r>
                    <w:rPr>
                      <w:rFonts w:hint="eastAsia"/>
                    </w:rPr>
                    <w:t>干式过滤器+吸附脱附催化燃烧废气处理装置+</w:t>
                  </w:r>
                  <w:r>
                    <w:t>2#</w:t>
                  </w:r>
                  <w:r>
                    <w:rPr>
                      <w:lang w:bidi="zh-CN"/>
                    </w:rPr>
                    <w:t>17m</w:t>
                  </w:r>
                  <w:r>
                    <w:rPr>
                      <w:rFonts w:hint="eastAsia"/>
                      <w:lang w:bidi="zh-CN"/>
                    </w:rPr>
                    <w:t>排气筒</w:t>
                  </w:r>
                  <w:bookmarkEnd w:id="29"/>
                </w:p>
              </w:tc>
              <w:tc>
                <w:tcPr>
                  <w:tcW w:w="461" w:type="pct"/>
                  <w:vMerge w:val="restart"/>
                  <w:vAlign w:val="center"/>
                </w:tcPr>
                <w:p>
                  <w:pPr>
                    <w:pStyle w:val="57"/>
                    <w:rPr>
                      <w:lang w:bidi="zh-CN"/>
                    </w:rPr>
                  </w:pPr>
                  <w:r>
                    <w:rPr>
                      <w:rFonts w:hint="eastAsia"/>
                      <w:lang w:bidi="zh-CN"/>
                    </w:rPr>
                    <w:t>风量</w:t>
                  </w:r>
                  <w:r>
                    <w:rPr>
                      <w:lang w:bidi="zh-CN"/>
                    </w:rPr>
                    <w:t>20000</w:t>
                  </w:r>
                </w:p>
                <w:p>
                  <w:pPr>
                    <w:pStyle w:val="57"/>
                    <w:rPr>
                      <w:b/>
                      <w:bCs/>
                    </w:rPr>
                  </w:pPr>
                  <w:r>
                    <w:rPr>
                      <w:lang w:bidi="zh-CN"/>
                    </w:rPr>
                    <w:t>m</w:t>
                  </w:r>
                  <w:r>
                    <w:rPr>
                      <w:vertAlign w:val="superscript"/>
                      <w:lang w:bidi="zh-CN"/>
                    </w:rPr>
                    <w:t>3</w:t>
                  </w:r>
                  <w:r>
                    <w:rPr>
                      <w:lang w:bidi="zh-CN"/>
                    </w:rPr>
                    <w:t>/h</w:t>
                  </w:r>
                </w:p>
              </w:tc>
              <w:tc>
                <w:tcPr>
                  <w:tcW w:w="374" w:type="pct"/>
                  <w:vMerge w:val="restart"/>
                  <w:vAlign w:val="center"/>
                </w:tcPr>
                <w:p>
                  <w:pPr>
                    <w:pStyle w:val="57"/>
                    <w:rPr>
                      <w:b/>
                      <w:bCs/>
                    </w:rPr>
                  </w:pPr>
                  <w:r>
                    <w:t>95%</w:t>
                  </w:r>
                </w:p>
              </w:tc>
              <w:tc>
                <w:tcPr>
                  <w:tcW w:w="374" w:type="pct"/>
                  <w:vMerge w:val="restart"/>
                  <w:vAlign w:val="center"/>
                </w:tcPr>
                <w:p>
                  <w:pPr>
                    <w:pStyle w:val="57"/>
                  </w:pPr>
                  <w:r>
                    <w:rPr>
                      <w:rFonts w:hint="eastAsia"/>
                      <w:lang w:bidi="zh-CN"/>
                    </w:rPr>
                    <w:t>颗粒物8</w:t>
                  </w:r>
                  <w:r>
                    <w:rPr>
                      <w:lang w:bidi="zh-CN"/>
                    </w:rPr>
                    <w:t>0</w:t>
                  </w:r>
                  <w:r>
                    <w:rPr>
                      <w:rFonts w:hint="eastAsia"/>
                      <w:lang w:bidi="zh-CN"/>
                    </w:rPr>
                    <w:t>%，V</w:t>
                  </w:r>
                  <w:r>
                    <w:rPr>
                      <w:lang w:bidi="zh-CN"/>
                    </w:rPr>
                    <w:t>OC</w:t>
                  </w:r>
                  <w:r>
                    <w:rPr>
                      <w:rFonts w:hint="eastAsia"/>
                      <w:lang w:bidi="zh-CN"/>
                    </w:rPr>
                    <w:t>s</w:t>
                  </w:r>
                  <w:r>
                    <w:rPr>
                      <w:lang w:bidi="zh-CN"/>
                    </w:rPr>
                    <w:t>90%</w:t>
                  </w:r>
                </w:p>
              </w:tc>
              <w:tc>
                <w:tcPr>
                  <w:tcW w:w="395" w:type="pct"/>
                  <w:vMerge w:val="restart"/>
                  <w:vAlign w:val="center"/>
                </w:tcPr>
                <w:p>
                  <w:pPr>
                    <w:pStyle w:val="57"/>
                    <w:rPr>
                      <w:b/>
                      <w:bCs/>
                    </w:rPr>
                  </w:pPr>
                  <w:r>
                    <w:rPr>
                      <w:rFonts w:hint="eastAsia"/>
                    </w:rPr>
                    <w:t>可行</w:t>
                  </w:r>
                </w:p>
              </w:tc>
              <w:tc>
                <w:tcPr>
                  <w:tcW w:w="308" w:type="pct"/>
                  <w:vMerge w:val="restart"/>
                  <w:vAlign w:val="center"/>
                </w:tcPr>
                <w:p>
                  <w:pPr>
                    <w:pStyle w:val="57"/>
                    <w:rPr>
                      <w:b/>
                      <w:bCs/>
                    </w:rPr>
                  </w:pPr>
                  <w:r>
                    <w:rPr>
                      <w:rFonts w:hint="eastAsia"/>
                    </w:rPr>
                    <w:t>一般排放口</w:t>
                  </w:r>
                </w:p>
              </w:tc>
              <w:tc>
                <w:tcPr>
                  <w:tcW w:w="954" w:type="pct"/>
                  <w:vAlign w:val="center"/>
                </w:tcPr>
                <w:p>
                  <w:pPr>
                    <w:pStyle w:val="57"/>
                    <w:rPr>
                      <w:b/>
                      <w:bCs/>
                    </w:rPr>
                  </w:pPr>
                  <w:r>
                    <w:rPr>
                      <w:rFonts w:hint="eastAsia"/>
                    </w:rPr>
                    <w:t>DB61/T1061、GB37822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61" w:type="pct"/>
                  <w:vMerge w:val="restart"/>
                  <w:vAlign w:val="center"/>
                </w:tcPr>
                <w:p>
                  <w:pPr>
                    <w:pStyle w:val="57"/>
                    <w:jc w:val="center"/>
                    <w:rPr>
                      <w:lang w:bidi="zh-CN"/>
                    </w:rPr>
                  </w:pPr>
                  <w:r>
                    <w:rPr>
                      <w:rFonts w:hint="eastAsia"/>
                      <w:lang w:bidi="zh-CN"/>
                    </w:rPr>
                    <w:t>喷涂料</w:t>
                  </w:r>
                </w:p>
              </w:tc>
              <w:tc>
                <w:tcPr>
                  <w:tcW w:w="697" w:type="pct"/>
                  <w:vAlign w:val="center"/>
                </w:tcPr>
                <w:p>
                  <w:pPr>
                    <w:pStyle w:val="57"/>
                    <w:jc w:val="center"/>
                    <w:rPr>
                      <w:lang w:bidi="zh-CN"/>
                    </w:rPr>
                  </w:pPr>
                  <w:r>
                    <w:rPr>
                      <w:rFonts w:hint="eastAsia"/>
                      <w:lang w:bidi="zh-CN"/>
                    </w:rPr>
                    <w:t>雾状颗粒</w:t>
                  </w:r>
                </w:p>
              </w:tc>
              <w:tc>
                <w:tcPr>
                  <w:tcW w:w="351" w:type="pct"/>
                  <w:vMerge w:val="continue"/>
                  <w:vAlign w:val="center"/>
                </w:tcPr>
                <w:p>
                  <w:pPr>
                    <w:pStyle w:val="57"/>
                  </w:pPr>
                </w:p>
              </w:tc>
              <w:tc>
                <w:tcPr>
                  <w:tcW w:w="725" w:type="pct"/>
                  <w:vMerge w:val="continue"/>
                  <w:vAlign w:val="center"/>
                </w:tcPr>
                <w:p>
                  <w:pPr>
                    <w:pStyle w:val="57"/>
                  </w:pPr>
                </w:p>
              </w:tc>
              <w:tc>
                <w:tcPr>
                  <w:tcW w:w="461" w:type="pct"/>
                  <w:vMerge w:val="continue"/>
                  <w:vAlign w:val="center"/>
                </w:tcPr>
                <w:p>
                  <w:pPr>
                    <w:pStyle w:val="57"/>
                  </w:pPr>
                </w:p>
              </w:tc>
              <w:tc>
                <w:tcPr>
                  <w:tcW w:w="374" w:type="pct"/>
                  <w:vMerge w:val="continue"/>
                  <w:vAlign w:val="center"/>
                </w:tcPr>
                <w:p>
                  <w:pPr>
                    <w:pStyle w:val="57"/>
                  </w:pPr>
                </w:p>
              </w:tc>
              <w:tc>
                <w:tcPr>
                  <w:tcW w:w="374" w:type="pct"/>
                  <w:vMerge w:val="continue"/>
                  <w:vAlign w:val="center"/>
                </w:tcPr>
                <w:p>
                  <w:pPr>
                    <w:pStyle w:val="57"/>
                  </w:pPr>
                </w:p>
              </w:tc>
              <w:tc>
                <w:tcPr>
                  <w:tcW w:w="395" w:type="pct"/>
                  <w:vMerge w:val="continue"/>
                  <w:vAlign w:val="center"/>
                </w:tcPr>
                <w:p>
                  <w:pPr>
                    <w:pStyle w:val="57"/>
                  </w:pPr>
                </w:p>
              </w:tc>
              <w:tc>
                <w:tcPr>
                  <w:tcW w:w="308" w:type="pct"/>
                  <w:vMerge w:val="continue"/>
                  <w:vAlign w:val="center"/>
                </w:tcPr>
                <w:p>
                  <w:pPr>
                    <w:pStyle w:val="57"/>
                  </w:pPr>
                </w:p>
              </w:tc>
              <w:tc>
                <w:tcPr>
                  <w:tcW w:w="954" w:type="pct"/>
                  <w:vAlign w:val="center"/>
                </w:tcPr>
                <w:p>
                  <w:pPr>
                    <w:pStyle w:val="57"/>
                  </w:pPr>
                  <w:r>
                    <w:rPr>
                      <w:rFonts w:hint="eastAsia"/>
                    </w:rPr>
                    <w:t>GB16297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61" w:type="pct"/>
                  <w:vMerge w:val="continue"/>
                  <w:vAlign w:val="center"/>
                </w:tcPr>
                <w:p>
                  <w:pPr>
                    <w:pStyle w:val="57"/>
                    <w:jc w:val="center"/>
                  </w:pPr>
                </w:p>
              </w:tc>
              <w:tc>
                <w:tcPr>
                  <w:tcW w:w="697" w:type="pct"/>
                  <w:vAlign w:val="center"/>
                </w:tcPr>
                <w:p>
                  <w:pPr>
                    <w:pStyle w:val="57"/>
                    <w:jc w:val="center"/>
                    <w:rPr>
                      <w:lang w:bidi="zh-CN"/>
                    </w:rPr>
                  </w:pPr>
                  <w:r>
                    <w:rPr>
                      <w:rFonts w:hint="eastAsia"/>
                      <w:lang w:bidi="zh-CN"/>
                    </w:rPr>
                    <w:t>非甲烷总烃</w:t>
                  </w:r>
                </w:p>
              </w:tc>
              <w:tc>
                <w:tcPr>
                  <w:tcW w:w="351" w:type="pct"/>
                  <w:vMerge w:val="continue"/>
                  <w:vAlign w:val="center"/>
                </w:tcPr>
                <w:p>
                  <w:pPr>
                    <w:pStyle w:val="57"/>
                  </w:pPr>
                </w:p>
              </w:tc>
              <w:tc>
                <w:tcPr>
                  <w:tcW w:w="725" w:type="pct"/>
                  <w:vMerge w:val="continue"/>
                  <w:vAlign w:val="center"/>
                </w:tcPr>
                <w:p>
                  <w:pPr>
                    <w:pStyle w:val="57"/>
                  </w:pPr>
                </w:p>
              </w:tc>
              <w:tc>
                <w:tcPr>
                  <w:tcW w:w="461" w:type="pct"/>
                  <w:vMerge w:val="continue"/>
                  <w:vAlign w:val="center"/>
                </w:tcPr>
                <w:p>
                  <w:pPr>
                    <w:pStyle w:val="57"/>
                  </w:pPr>
                </w:p>
              </w:tc>
              <w:tc>
                <w:tcPr>
                  <w:tcW w:w="374" w:type="pct"/>
                  <w:vMerge w:val="continue"/>
                  <w:vAlign w:val="center"/>
                </w:tcPr>
                <w:p>
                  <w:pPr>
                    <w:pStyle w:val="57"/>
                  </w:pPr>
                </w:p>
              </w:tc>
              <w:tc>
                <w:tcPr>
                  <w:tcW w:w="374" w:type="pct"/>
                  <w:vMerge w:val="continue"/>
                  <w:vAlign w:val="center"/>
                </w:tcPr>
                <w:p>
                  <w:pPr>
                    <w:pStyle w:val="57"/>
                  </w:pPr>
                </w:p>
              </w:tc>
              <w:tc>
                <w:tcPr>
                  <w:tcW w:w="395" w:type="pct"/>
                  <w:vMerge w:val="continue"/>
                  <w:vAlign w:val="center"/>
                </w:tcPr>
                <w:p>
                  <w:pPr>
                    <w:pStyle w:val="57"/>
                  </w:pPr>
                </w:p>
              </w:tc>
              <w:tc>
                <w:tcPr>
                  <w:tcW w:w="308" w:type="pct"/>
                  <w:vMerge w:val="continue"/>
                  <w:vAlign w:val="center"/>
                </w:tcPr>
                <w:p>
                  <w:pPr>
                    <w:pStyle w:val="57"/>
                  </w:pPr>
                </w:p>
              </w:tc>
              <w:tc>
                <w:tcPr>
                  <w:tcW w:w="954" w:type="pct"/>
                  <w:vAlign w:val="center"/>
                </w:tcPr>
                <w:p>
                  <w:pPr>
                    <w:pStyle w:val="57"/>
                  </w:pPr>
                  <w:r>
                    <w:rPr>
                      <w:rFonts w:hint="eastAsia"/>
                    </w:rPr>
                    <w:t>DB61/T1061、GB37822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1" w:type="pct"/>
                  <w:vMerge w:val="restart"/>
                  <w:vAlign w:val="center"/>
                </w:tcPr>
                <w:p>
                  <w:pPr>
                    <w:pStyle w:val="57"/>
                    <w:jc w:val="center"/>
                  </w:pPr>
                  <w:r>
                    <w:rPr>
                      <w:rFonts w:hint="eastAsia"/>
                      <w:lang w:bidi="zh-CN"/>
                    </w:rPr>
                    <w:t>喷漆</w:t>
                  </w:r>
                </w:p>
              </w:tc>
              <w:tc>
                <w:tcPr>
                  <w:tcW w:w="697"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雾状颗粒</w:t>
                  </w:r>
                </w:p>
              </w:tc>
              <w:tc>
                <w:tcPr>
                  <w:tcW w:w="351" w:type="pct"/>
                  <w:vMerge w:val="continue"/>
                  <w:vAlign w:val="center"/>
                </w:tcPr>
                <w:p>
                  <w:pPr>
                    <w:pStyle w:val="57"/>
                  </w:pPr>
                </w:p>
              </w:tc>
              <w:tc>
                <w:tcPr>
                  <w:tcW w:w="725" w:type="pct"/>
                  <w:vMerge w:val="continue"/>
                  <w:vAlign w:val="center"/>
                </w:tcPr>
                <w:p>
                  <w:pPr>
                    <w:pStyle w:val="57"/>
                  </w:pPr>
                </w:p>
              </w:tc>
              <w:tc>
                <w:tcPr>
                  <w:tcW w:w="461" w:type="pct"/>
                  <w:vMerge w:val="continue"/>
                  <w:vAlign w:val="center"/>
                </w:tcPr>
                <w:p>
                  <w:pPr>
                    <w:pStyle w:val="57"/>
                  </w:pPr>
                </w:p>
              </w:tc>
              <w:tc>
                <w:tcPr>
                  <w:tcW w:w="374" w:type="pct"/>
                  <w:vMerge w:val="continue"/>
                  <w:vAlign w:val="center"/>
                </w:tcPr>
                <w:p>
                  <w:pPr>
                    <w:pStyle w:val="57"/>
                  </w:pPr>
                </w:p>
              </w:tc>
              <w:tc>
                <w:tcPr>
                  <w:tcW w:w="374" w:type="pct"/>
                  <w:vMerge w:val="continue"/>
                  <w:vAlign w:val="center"/>
                </w:tcPr>
                <w:p>
                  <w:pPr>
                    <w:pStyle w:val="57"/>
                  </w:pPr>
                </w:p>
              </w:tc>
              <w:tc>
                <w:tcPr>
                  <w:tcW w:w="395" w:type="pct"/>
                  <w:vMerge w:val="continue"/>
                  <w:vAlign w:val="center"/>
                </w:tcPr>
                <w:p>
                  <w:pPr>
                    <w:pStyle w:val="57"/>
                  </w:pPr>
                </w:p>
              </w:tc>
              <w:tc>
                <w:tcPr>
                  <w:tcW w:w="308" w:type="pct"/>
                  <w:vMerge w:val="continue"/>
                  <w:vAlign w:val="center"/>
                </w:tcPr>
                <w:p>
                  <w:pPr>
                    <w:pStyle w:val="57"/>
                  </w:pPr>
                </w:p>
              </w:tc>
              <w:tc>
                <w:tcPr>
                  <w:tcW w:w="954" w:type="pct"/>
                  <w:vAlign w:val="center"/>
                </w:tcPr>
                <w:p>
                  <w:pPr>
                    <w:pStyle w:val="57"/>
                  </w:pPr>
                  <w:r>
                    <w:rPr>
                      <w:rFonts w:hint="eastAsia"/>
                    </w:rPr>
                    <w:t>GB16297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1" w:type="pct"/>
                  <w:vMerge w:val="continue"/>
                  <w:vAlign w:val="center"/>
                </w:tcPr>
                <w:p>
                  <w:pPr>
                    <w:pStyle w:val="57"/>
                    <w:jc w:val="center"/>
                    <w:rPr>
                      <w:lang w:bidi="zh-CN"/>
                    </w:rPr>
                  </w:pPr>
                </w:p>
              </w:tc>
              <w:tc>
                <w:tcPr>
                  <w:tcW w:w="697"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非甲烷总烃</w:t>
                  </w:r>
                </w:p>
              </w:tc>
              <w:tc>
                <w:tcPr>
                  <w:tcW w:w="351" w:type="pct"/>
                  <w:vMerge w:val="continue"/>
                  <w:vAlign w:val="center"/>
                </w:tcPr>
                <w:p>
                  <w:pPr>
                    <w:pStyle w:val="57"/>
                  </w:pPr>
                </w:p>
              </w:tc>
              <w:tc>
                <w:tcPr>
                  <w:tcW w:w="725" w:type="pct"/>
                  <w:vMerge w:val="continue"/>
                  <w:vAlign w:val="center"/>
                </w:tcPr>
                <w:p>
                  <w:pPr>
                    <w:pStyle w:val="57"/>
                    <w:rPr>
                      <w:lang w:bidi="zh-CN"/>
                    </w:rPr>
                  </w:pPr>
                </w:p>
              </w:tc>
              <w:tc>
                <w:tcPr>
                  <w:tcW w:w="461" w:type="pct"/>
                  <w:vMerge w:val="continue"/>
                  <w:vAlign w:val="center"/>
                </w:tcPr>
                <w:p>
                  <w:pPr>
                    <w:pStyle w:val="57"/>
                    <w:rPr>
                      <w:lang w:bidi="zh-CN"/>
                    </w:rPr>
                  </w:pPr>
                </w:p>
              </w:tc>
              <w:tc>
                <w:tcPr>
                  <w:tcW w:w="374" w:type="pct"/>
                  <w:vMerge w:val="continue"/>
                  <w:vAlign w:val="center"/>
                </w:tcPr>
                <w:p>
                  <w:pPr>
                    <w:pStyle w:val="57"/>
                  </w:pPr>
                </w:p>
              </w:tc>
              <w:tc>
                <w:tcPr>
                  <w:tcW w:w="374" w:type="pct"/>
                  <w:vMerge w:val="continue"/>
                  <w:vAlign w:val="center"/>
                </w:tcPr>
                <w:p>
                  <w:pPr>
                    <w:pStyle w:val="57"/>
                    <w:rPr>
                      <w:lang w:bidi="zh-CN"/>
                    </w:rPr>
                  </w:pPr>
                </w:p>
              </w:tc>
              <w:tc>
                <w:tcPr>
                  <w:tcW w:w="395" w:type="pct"/>
                  <w:vMerge w:val="continue"/>
                  <w:vAlign w:val="center"/>
                </w:tcPr>
                <w:p>
                  <w:pPr>
                    <w:pStyle w:val="57"/>
                  </w:pPr>
                </w:p>
              </w:tc>
              <w:tc>
                <w:tcPr>
                  <w:tcW w:w="308" w:type="pct"/>
                  <w:vMerge w:val="continue"/>
                  <w:vAlign w:val="center"/>
                </w:tcPr>
                <w:p>
                  <w:pPr>
                    <w:pStyle w:val="57"/>
                  </w:pPr>
                </w:p>
              </w:tc>
              <w:tc>
                <w:tcPr>
                  <w:tcW w:w="954" w:type="pct"/>
                  <w:vAlign w:val="center"/>
                </w:tcPr>
                <w:p>
                  <w:pPr>
                    <w:pStyle w:val="57"/>
                  </w:pPr>
                  <w:r>
                    <w:rPr>
                      <w:rFonts w:hint="eastAsia"/>
                    </w:rPr>
                    <w:t>DB61/T1061、GB37822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1" w:type="pct"/>
                  <w:vMerge w:val="continue"/>
                  <w:vAlign w:val="center"/>
                </w:tcPr>
                <w:p>
                  <w:pPr>
                    <w:pStyle w:val="57"/>
                    <w:jc w:val="center"/>
                    <w:rPr>
                      <w:lang w:bidi="zh-CN"/>
                    </w:rPr>
                  </w:pPr>
                </w:p>
              </w:tc>
              <w:tc>
                <w:tcPr>
                  <w:tcW w:w="697"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二甲苯</w:t>
                  </w:r>
                </w:p>
              </w:tc>
              <w:tc>
                <w:tcPr>
                  <w:tcW w:w="351" w:type="pct"/>
                  <w:vMerge w:val="continue"/>
                  <w:vAlign w:val="center"/>
                </w:tcPr>
                <w:p>
                  <w:pPr>
                    <w:pStyle w:val="57"/>
                  </w:pPr>
                </w:p>
              </w:tc>
              <w:tc>
                <w:tcPr>
                  <w:tcW w:w="725" w:type="pct"/>
                  <w:vMerge w:val="continue"/>
                  <w:vAlign w:val="center"/>
                </w:tcPr>
                <w:p>
                  <w:pPr>
                    <w:pStyle w:val="57"/>
                    <w:rPr>
                      <w:lang w:bidi="zh-CN"/>
                    </w:rPr>
                  </w:pPr>
                </w:p>
              </w:tc>
              <w:tc>
                <w:tcPr>
                  <w:tcW w:w="461" w:type="pct"/>
                  <w:vMerge w:val="continue"/>
                  <w:vAlign w:val="center"/>
                </w:tcPr>
                <w:p>
                  <w:pPr>
                    <w:pStyle w:val="57"/>
                    <w:rPr>
                      <w:lang w:bidi="zh-CN"/>
                    </w:rPr>
                  </w:pPr>
                </w:p>
              </w:tc>
              <w:tc>
                <w:tcPr>
                  <w:tcW w:w="374" w:type="pct"/>
                  <w:vMerge w:val="continue"/>
                  <w:vAlign w:val="center"/>
                </w:tcPr>
                <w:p>
                  <w:pPr>
                    <w:pStyle w:val="57"/>
                  </w:pPr>
                </w:p>
              </w:tc>
              <w:tc>
                <w:tcPr>
                  <w:tcW w:w="374" w:type="pct"/>
                  <w:vMerge w:val="continue"/>
                  <w:vAlign w:val="center"/>
                </w:tcPr>
                <w:p>
                  <w:pPr>
                    <w:pStyle w:val="57"/>
                    <w:rPr>
                      <w:lang w:bidi="zh-CN"/>
                    </w:rPr>
                  </w:pPr>
                </w:p>
              </w:tc>
              <w:tc>
                <w:tcPr>
                  <w:tcW w:w="395" w:type="pct"/>
                  <w:vMerge w:val="continue"/>
                  <w:vAlign w:val="center"/>
                </w:tcPr>
                <w:p>
                  <w:pPr>
                    <w:pStyle w:val="57"/>
                  </w:pPr>
                </w:p>
              </w:tc>
              <w:tc>
                <w:tcPr>
                  <w:tcW w:w="308" w:type="pct"/>
                  <w:vMerge w:val="continue"/>
                  <w:vAlign w:val="center"/>
                </w:tcPr>
                <w:p>
                  <w:pPr>
                    <w:pStyle w:val="57"/>
                  </w:pPr>
                </w:p>
              </w:tc>
              <w:tc>
                <w:tcPr>
                  <w:tcW w:w="954" w:type="pct"/>
                  <w:vAlign w:val="center"/>
                </w:tcPr>
                <w:p>
                  <w:pPr>
                    <w:pStyle w:val="57"/>
                  </w:pPr>
                  <w:r>
                    <w:rPr>
                      <w:rFonts w:hint="eastAsia"/>
                    </w:rPr>
                    <w:t>DB61/T1061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1" w:type="pct"/>
                  <w:vMerge w:val="restart"/>
                  <w:vAlign w:val="center"/>
                </w:tcPr>
                <w:p>
                  <w:pPr>
                    <w:pStyle w:val="57"/>
                    <w:jc w:val="center"/>
                    <w:rPr>
                      <w:lang w:bidi="zh-CN"/>
                    </w:rPr>
                  </w:pPr>
                  <w:r>
                    <w:rPr>
                      <w:rFonts w:hint="eastAsia"/>
                      <w:lang w:bidi="zh-CN"/>
                    </w:rPr>
                    <w:t>烘干</w:t>
                  </w:r>
                </w:p>
              </w:tc>
              <w:tc>
                <w:tcPr>
                  <w:tcW w:w="697"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非甲烷总烃</w:t>
                  </w:r>
                </w:p>
              </w:tc>
              <w:tc>
                <w:tcPr>
                  <w:tcW w:w="351" w:type="pct"/>
                  <w:vMerge w:val="continue"/>
                  <w:vAlign w:val="center"/>
                </w:tcPr>
                <w:p>
                  <w:pPr>
                    <w:pStyle w:val="57"/>
                  </w:pPr>
                </w:p>
              </w:tc>
              <w:tc>
                <w:tcPr>
                  <w:tcW w:w="725" w:type="pct"/>
                  <w:vMerge w:val="continue"/>
                  <w:vAlign w:val="center"/>
                </w:tcPr>
                <w:p>
                  <w:pPr>
                    <w:pStyle w:val="57"/>
                    <w:rPr>
                      <w:lang w:bidi="zh-CN"/>
                    </w:rPr>
                  </w:pPr>
                </w:p>
              </w:tc>
              <w:tc>
                <w:tcPr>
                  <w:tcW w:w="461" w:type="pct"/>
                  <w:vMerge w:val="continue"/>
                  <w:vAlign w:val="center"/>
                </w:tcPr>
                <w:p>
                  <w:pPr>
                    <w:pStyle w:val="57"/>
                    <w:rPr>
                      <w:lang w:bidi="zh-CN"/>
                    </w:rPr>
                  </w:pPr>
                </w:p>
              </w:tc>
              <w:tc>
                <w:tcPr>
                  <w:tcW w:w="374" w:type="pct"/>
                  <w:vMerge w:val="continue"/>
                  <w:vAlign w:val="center"/>
                </w:tcPr>
                <w:p>
                  <w:pPr>
                    <w:pStyle w:val="57"/>
                  </w:pPr>
                </w:p>
              </w:tc>
              <w:tc>
                <w:tcPr>
                  <w:tcW w:w="374" w:type="pct"/>
                  <w:vMerge w:val="continue"/>
                  <w:vAlign w:val="center"/>
                </w:tcPr>
                <w:p>
                  <w:pPr>
                    <w:pStyle w:val="57"/>
                    <w:rPr>
                      <w:lang w:bidi="zh-CN"/>
                    </w:rPr>
                  </w:pPr>
                </w:p>
              </w:tc>
              <w:tc>
                <w:tcPr>
                  <w:tcW w:w="395" w:type="pct"/>
                  <w:vMerge w:val="continue"/>
                  <w:vAlign w:val="center"/>
                </w:tcPr>
                <w:p>
                  <w:pPr>
                    <w:pStyle w:val="57"/>
                  </w:pPr>
                </w:p>
              </w:tc>
              <w:tc>
                <w:tcPr>
                  <w:tcW w:w="308" w:type="pct"/>
                  <w:vMerge w:val="continue"/>
                  <w:vAlign w:val="center"/>
                </w:tcPr>
                <w:p>
                  <w:pPr>
                    <w:pStyle w:val="57"/>
                  </w:pPr>
                </w:p>
              </w:tc>
              <w:tc>
                <w:tcPr>
                  <w:tcW w:w="954" w:type="pct"/>
                  <w:vAlign w:val="center"/>
                </w:tcPr>
                <w:p>
                  <w:pPr>
                    <w:pStyle w:val="57"/>
                  </w:pPr>
                  <w:r>
                    <w:rPr>
                      <w:rFonts w:hint="eastAsia"/>
                    </w:rPr>
                    <w:t>DB61/T1061、GB37822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1" w:type="pct"/>
                  <w:vMerge w:val="continue"/>
                  <w:vAlign w:val="center"/>
                </w:tcPr>
                <w:p>
                  <w:pPr>
                    <w:pStyle w:val="57"/>
                    <w:rPr>
                      <w:lang w:bidi="zh-CN"/>
                    </w:rPr>
                  </w:pPr>
                </w:p>
              </w:tc>
              <w:tc>
                <w:tcPr>
                  <w:tcW w:w="697"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二甲苯</w:t>
                  </w:r>
                </w:p>
              </w:tc>
              <w:tc>
                <w:tcPr>
                  <w:tcW w:w="351" w:type="pct"/>
                  <w:vMerge w:val="continue"/>
                  <w:vAlign w:val="center"/>
                </w:tcPr>
                <w:p>
                  <w:pPr>
                    <w:pStyle w:val="57"/>
                  </w:pPr>
                </w:p>
              </w:tc>
              <w:tc>
                <w:tcPr>
                  <w:tcW w:w="725" w:type="pct"/>
                  <w:vMerge w:val="continue"/>
                  <w:vAlign w:val="center"/>
                </w:tcPr>
                <w:p>
                  <w:pPr>
                    <w:pStyle w:val="57"/>
                    <w:rPr>
                      <w:lang w:bidi="zh-CN"/>
                    </w:rPr>
                  </w:pPr>
                </w:p>
              </w:tc>
              <w:tc>
                <w:tcPr>
                  <w:tcW w:w="461" w:type="pct"/>
                  <w:vMerge w:val="continue"/>
                  <w:vAlign w:val="center"/>
                </w:tcPr>
                <w:p>
                  <w:pPr>
                    <w:pStyle w:val="57"/>
                    <w:rPr>
                      <w:lang w:bidi="zh-CN"/>
                    </w:rPr>
                  </w:pPr>
                </w:p>
              </w:tc>
              <w:tc>
                <w:tcPr>
                  <w:tcW w:w="374" w:type="pct"/>
                  <w:vMerge w:val="continue"/>
                  <w:vAlign w:val="center"/>
                </w:tcPr>
                <w:p>
                  <w:pPr>
                    <w:pStyle w:val="57"/>
                  </w:pPr>
                </w:p>
              </w:tc>
              <w:tc>
                <w:tcPr>
                  <w:tcW w:w="374" w:type="pct"/>
                  <w:vMerge w:val="continue"/>
                  <w:vAlign w:val="center"/>
                </w:tcPr>
                <w:p>
                  <w:pPr>
                    <w:pStyle w:val="57"/>
                    <w:rPr>
                      <w:lang w:bidi="zh-CN"/>
                    </w:rPr>
                  </w:pPr>
                </w:p>
              </w:tc>
              <w:tc>
                <w:tcPr>
                  <w:tcW w:w="395" w:type="pct"/>
                  <w:vMerge w:val="continue"/>
                  <w:vAlign w:val="center"/>
                </w:tcPr>
                <w:p>
                  <w:pPr>
                    <w:pStyle w:val="57"/>
                  </w:pPr>
                </w:p>
              </w:tc>
              <w:tc>
                <w:tcPr>
                  <w:tcW w:w="308" w:type="pct"/>
                  <w:vMerge w:val="continue"/>
                  <w:vAlign w:val="center"/>
                </w:tcPr>
                <w:p>
                  <w:pPr>
                    <w:pStyle w:val="57"/>
                  </w:pPr>
                </w:p>
              </w:tc>
              <w:tc>
                <w:tcPr>
                  <w:tcW w:w="954" w:type="pct"/>
                  <w:vAlign w:val="center"/>
                </w:tcPr>
                <w:p>
                  <w:pPr>
                    <w:pStyle w:val="57"/>
                  </w:pPr>
                  <w:r>
                    <w:rPr>
                      <w:rFonts w:hint="eastAsia"/>
                    </w:rPr>
                    <w:t>DB61/T1061</w:t>
                  </w:r>
                </w:p>
              </w:tc>
            </w:tr>
          </w:tbl>
          <w:p>
            <w:pPr>
              <w:pStyle w:val="84"/>
              <w:adjustRightInd w:val="0"/>
              <w:snapToGrid w:val="0"/>
              <w:spacing w:before="156" w:beforeLines="50"/>
            </w:pPr>
            <w:r>
              <w:rPr>
                <w:rFonts w:hint="eastAsia"/>
              </w:rPr>
              <w:t>表4-</w:t>
            </w:r>
            <w:r>
              <w:t>4</w:t>
            </w:r>
            <w:r>
              <w:rPr>
                <w:rFonts w:hint="eastAsia"/>
              </w:rPr>
              <w:t xml:space="preserve">  雾状颗粒、有机废气产生情况一览表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226"/>
              <w:gridCol w:w="1329"/>
              <w:gridCol w:w="1390"/>
              <w:gridCol w:w="1418"/>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产污源</w:t>
                  </w:r>
                </w:p>
              </w:tc>
              <w:tc>
                <w:tcPr>
                  <w:tcW w:w="761"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产污时长</w:t>
                  </w:r>
                </w:p>
              </w:tc>
              <w:tc>
                <w:tcPr>
                  <w:tcW w:w="825"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产污种类</w:t>
                  </w:r>
                </w:p>
              </w:tc>
              <w:tc>
                <w:tcPr>
                  <w:tcW w:w="863"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产污量t</w:t>
                  </w:r>
                  <w:r>
                    <w:rPr>
                      <w:rFonts w:ascii="Times New Roman" w:hAnsi="Times New Roman" w:eastAsia="宋体"/>
                      <w:b/>
                      <w:bCs/>
                      <w:sz w:val="18"/>
                      <w:szCs w:val="18"/>
                      <w:lang w:bidi="zh-CN"/>
                    </w:rPr>
                    <w:t>/a</w:t>
                  </w:r>
                </w:p>
              </w:tc>
              <w:tc>
                <w:tcPr>
                  <w:tcW w:w="880"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产污速率kg</w:t>
                  </w:r>
                  <w:r>
                    <w:rPr>
                      <w:rFonts w:ascii="Times New Roman" w:hAnsi="Times New Roman" w:eastAsia="宋体"/>
                      <w:b/>
                      <w:bCs/>
                      <w:sz w:val="18"/>
                      <w:szCs w:val="18"/>
                      <w:lang w:bidi="zh-CN"/>
                    </w:rPr>
                    <w:t>/h</w:t>
                  </w:r>
                </w:p>
              </w:tc>
              <w:tc>
                <w:tcPr>
                  <w:tcW w:w="951"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产污浓度mg</w:t>
                  </w:r>
                  <w:r>
                    <w:rPr>
                      <w:rFonts w:ascii="Times New Roman" w:hAnsi="Times New Roman" w:eastAsia="宋体"/>
                      <w:b/>
                      <w:bCs/>
                      <w:sz w:val="18"/>
                      <w:szCs w:val="18"/>
                      <w:lang w:bidi="zh-CN"/>
                    </w:rPr>
                    <w:t>/m</w:t>
                  </w:r>
                  <w:r>
                    <w:rPr>
                      <w:rFonts w:ascii="Times New Roman" w:hAnsi="Times New Roman" w:eastAsia="宋体"/>
                      <w:b/>
                      <w:bCs/>
                      <w:sz w:val="18"/>
                      <w:szCs w:val="18"/>
                      <w:vertAlign w:val="superscript"/>
                      <w:lang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清理</w:t>
                  </w:r>
                </w:p>
              </w:tc>
              <w:tc>
                <w:tcPr>
                  <w:tcW w:w="761"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2</w:t>
                  </w:r>
                  <w:r>
                    <w:rPr>
                      <w:rFonts w:ascii="Times New Roman" w:hAnsi="Times New Roman" w:eastAsia="宋体"/>
                      <w:sz w:val="18"/>
                      <w:szCs w:val="18"/>
                      <w:lang w:bidi="zh-CN"/>
                    </w:rPr>
                    <w:t>80</w:t>
                  </w:r>
                </w:p>
              </w:tc>
              <w:tc>
                <w:tcPr>
                  <w:tcW w:w="825"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sz w:val="18"/>
                      <w:szCs w:val="18"/>
                      <w:lang w:bidi="zh-CN"/>
                    </w:rPr>
                    <w:t>非甲烷总烃</w:t>
                  </w:r>
                </w:p>
              </w:tc>
              <w:tc>
                <w:tcPr>
                  <w:tcW w:w="863" w:type="pc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0.2</w:t>
                  </w:r>
                </w:p>
              </w:tc>
              <w:tc>
                <w:tcPr>
                  <w:tcW w:w="880" w:type="pct"/>
                  <w:vMerge w:val="restar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0.933</w:t>
                  </w:r>
                </w:p>
              </w:tc>
              <w:tc>
                <w:tcPr>
                  <w:tcW w:w="951" w:type="pct"/>
                  <w:vMerge w:val="restar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46.63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喷防热涂料</w:t>
                  </w:r>
                </w:p>
              </w:tc>
              <w:tc>
                <w:tcPr>
                  <w:tcW w:w="761"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4</w:t>
                  </w:r>
                  <w:r>
                    <w:rPr>
                      <w:rFonts w:ascii="Times New Roman" w:hAnsi="Times New Roman" w:eastAsia="宋体"/>
                      <w:sz w:val="18"/>
                      <w:szCs w:val="18"/>
                      <w:lang w:bidi="zh-CN"/>
                    </w:rPr>
                    <w:t>20</w:t>
                  </w:r>
                </w:p>
              </w:tc>
              <w:tc>
                <w:tcPr>
                  <w:tcW w:w="825"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非甲烷总烃</w:t>
                  </w:r>
                </w:p>
              </w:tc>
              <w:tc>
                <w:tcPr>
                  <w:tcW w:w="86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.561</w:t>
                  </w:r>
                </w:p>
              </w:tc>
              <w:tc>
                <w:tcPr>
                  <w:tcW w:w="880" w:type="pct"/>
                  <w:vMerge w:val="continue"/>
                  <w:vAlign w:val="center"/>
                </w:tcPr>
                <w:p>
                  <w:pPr>
                    <w:snapToGrid w:val="0"/>
                    <w:jc w:val="center"/>
                    <w:rPr>
                      <w:rFonts w:ascii="Times New Roman" w:hAnsi="Times New Roman" w:eastAsia="宋体"/>
                      <w:sz w:val="18"/>
                      <w:szCs w:val="18"/>
                      <w:lang w:bidi="zh-CN"/>
                    </w:rPr>
                  </w:pPr>
                </w:p>
              </w:tc>
              <w:tc>
                <w:tcPr>
                  <w:tcW w:w="951" w:type="pct"/>
                  <w:vMerge w:val="continue"/>
                  <w:vAlign w:val="center"/>
                </w:tcPr>
                <w:p>
                  <w:pPr>
                    <w:snapToGrid w:val="0"/>
                    <w:jc w:val="center"/>
                    <w:rPr>
                      <w:rFonts w:ascii="Times New Roman" w:hAnsi="Times New Roman" w:eastAsia="宋体"/>
                      <w:sz w:val="18"/>
                      <w:szCs w:val="18"/>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涂料烘干</w:t>
                  </w:r>
                </w:p>
              </w:tc>
              <w:tc>
                <w:tcPr>
                  <w:tcW w:w="761" w:type="pc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800</w:t>
                  </w:r>
                </w:p>
              </w:tc>
              <w:tc>
                <w:tcPr>
                  <w:tcW w:w="825"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非甲烷总烃</w:t>
                  </w:r>
                </w:p>
              </w:tc>
              <w:tc>
                <w:tcPr>
                  <w:tcW w:w="86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.240</w:t>
                  </w:r>
                </w:p>
              </w:tc>
              <w:tc>
                <w:tcPr>
                  <w:tcW w:w="880" w:type="pct"/>
                  <w:vMerge w:val="continue"/>
                  <w:vAlign w:val="center"/>
                </w:tcPr>
                <w:p>
                  <w:pPr>
                    <w:snapToGrid w:val="0"/>
                    <w:jc w:val="center"/>
                    <w:rPr>
                      <w:rFonts w:ascii="Times New Roman" w:hAnsi="Times New Roman" w:eastAsia="宋体"/>
                      <w:sz w:val="18"/>
                      <w:szCs w:val="18"/>
                      <w:lang w:bidi="zh-CN"/>
                    </w:rPr>
                  </w:pPr>
                </w:p>
              </w:tc>
              <w:tc>
                <w:tcPr>
                  <w:tcW w:w="951" w:type="pct"/>
                  <w:vMerge w:val="continue"/>
                  <w:vAlign w:val="center"/>
                </w:tcPr>
                <w:p>
                  <w:pPr>
                    <w:snapToGrid w:val="0"/>
                    <w:jc w:val="center"/>
                    <w:rPr>
                      <w:rFonts w:ascii="Times New Roman" w:hAnsi="Times New Roman" w:eastAsia="宋体"/>
                      <w:sz w:val="18"/>
                      <w:szCs w:val="18"/>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喷漆</w:t>
                  </w:r>
                </w:p>
              </w:tc>
              <w:tc>
                <w:tcPr>
                  <w:tcW w:w="761"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9</w:t>
                  </w:r>
                  <w:r>
                    <w:rPr>
                      <w:rFonts w:ascii="Times New Roman" w:hAnsi="Times New Roman" w:eastAsia="宋体"/>
                      <w:sz w:val="18"/>
                      <w:szCs w:val="18"/>
                      <w:lang w:bidi="zh-CN"/>
                    </w:rPr>
                    <w:t>00</w:t>
                  </w:r>
                </w:p>
              </w:tc>
              <w:tc>
                <w:tcPr>
                  <w:tcW w:w="825"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非甲烷总烃</w:t>
                  </w:r>
                </w:p>
              </w:tc>
              <w:tc>
                <w:tcPr>
                  <w:tcW w:w="86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.751</w:t>
                  </w:r>
                </w:p>
              </w:tc>
              <w:tc>
                <w:tcPr>
                  <w:tcW w:w="880" w:type="pct"/>
                  <w:vMerge w:val="continue"/>
                  <w:vAlign w:val="center"/>
                </w:tcPr>
                <w:p>
                  <w:pPr>
                    <w:snapToGrid w:val="0"/>
                    <w:jc w:val="center"/>
                    <w:rPr>
                      <w:rFonts w:ascii="Times New Roman" w:hAnsi="Times New Roman" w:eastAsia="宋体"/>
                      <w:sz w:val="18"/>
                      <w:szCs w:val="18"/>
                      <w:lang w:bidi="zh-CN"/>
                    </w:rPr>
                  </w:pPr>
                </w:p>
              </w:tc>
              <w:tc>
                <w:tcPr>
                  <w:tcW w:w="951" w:type="pct"/>
                  <w:vMerge w:val="continue"/>
                  <w:vAlign w:val="center"/>
                </w:tcPr>
                <w:p>
                  <w:pPr>
                    <w:snapToGrid w:val="0"/>
                    <w:jc w:val="center"/>
                    <w:rPr>
                      <w:rFonts w:ascii="Times New Roman" w:hAnsi="Times New Roman" w:eastAsia="宋体"/>
                      <w:sz w:val="18"/>
                      <w:szCs w:val="18"/>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漆料烘干</w:t>
                  </w:r>
                </w:p>
              </w:tc>
              <w:tc>
                <w:tcPr>
                  <w:tcW w:w="761" w:type="pc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2000</w:t>
                  </w:r>
                </w:p>
              </w:tc>
              <w:tc>
                <w:tcPr>
                  <w:tcW w:w="825"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非甲烷总烃</w:t>
                  </w:r>
                </w:p>
              </w:tc>
              <w:tc>
                <w:tcPr>
                  <w:tcW w:w="86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.336</w:t>
                  </w:r>
                </w:p>
              </w:tc>
              <w:tc>
                <w:tcPr>
                  <w:tcW w:w="880" w:type="pct"/>
                  <w:vMerge w:val="continue"/>
                  <w:vAlign w:val="center"/>
                </w:tcPr>
                <w:p>
                  <w:pPr>
                    <w:snapToGrid w:val="0"/>
                    <w:jc w:val="center"/>
                    <w:rPr>
                      <w:rFonts w:ascii="Times New Roman" w:hAnsi="Times New Roman" w:eastAsia="宋体"/>
                      <w:sz w:val="18"/>
                      <w:szCs w:val="18"/>
                      <w:lang w:bidi="zh-CN"/>
                    </w:rPr>
                  </w:pPr>
                </w:p>
              </w:tc>
              <w:tc>
                <w:tcPr>
                  <w:tcW w:w="951" w:type="pct"/>
                  <w:vMerge w:val="continue"/>
                  <w:vAlign w:val="center"/>
                </w:tcPr>
                <w:p>
                  <w:pPr>
                    <w:snapToGrid w:val="0"/>
                    <w:jc w:val="center"/>
                    <w:rPr>
                      <w:rFonts w:ascii="Times New Roman" w:hAnsi="Times New Roman" w:eastAsia="宋体"/>
                      <w:sz w:val="18"/>
                      <w:szCs w:val="18"/>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喷漆</w:t>
                  </w:r>
                </w:p>
              </w:tc>
              <w:tc>
                <w:tcPr>
                  <w:tcW w:w="761"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9</w:t>
                  </w:r>
                  <w:r>
                    <w:rPr>
                      <w:rFonts w:ascii="Times New Roman" w:hAnsi="Times New Roman" w:eastAsia="宋体"/>
                      <w:sz w:val="18"/>
                      <w:szCs w:val="18"/>
                      <w:lang w:bidi="zh-CN"/>
                    </w:rPr>
                    <w:t>00</w:t>
                  </w:r>
                </w:p>
              </w:tc>
              <w:tc>
                <w:tcPr>
                  <w:tcW w:w="825"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二甲苯</w:t>
                  </w:r>
                </w:p>
              </w:tc>
              <w:tc>
                <w:tcPr>
                  <w:tcW w:w="86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.157</w:t>
                  </w:r>
                </w:p>
              </w:tc>
              <w:tc>
                <w:tcPr>
                  <w:tcW w:w="880" w:type="pct"/>
                  <w:vMerge w:val="restar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0.1</w:t>
                  </w:r>
                </w:p>
              </w:tc>
              <w:tc>
                <w:tcPr>
                  <w:tcW w:w="951" w:type="pct"/>
                  <w:vMerge w:val="restar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漆料烘干</w:t>
                  </w:r>
                </w:p>
              </w:tc>
              <w:tc>
                <w:tcPr>
                  <w:tcW w:w="761" w:type="pc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2000</w:t>
                  </w:r>
                </w:p>
              </w:tc>
              <w:tc>
                <w:tcPr>
                  <w:tcW w:w="825"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二甲苯</w:t>
                  </w:r>
                </w:p>
              </w:tc>
              <w:tc>
                <w:tcPr>
                  <w:tcW w:w="86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.067</w:t>
                  </w:r>
                </w:p>
              </w:tc>
              <w:tc>
                <w:tcPr>
                  <w:tcW w:w="880" w:type="pct"/>
                  <w:vMerge w:val="continue"/>
                  <w:vAlign w:val="center"/>
                </w:tcPr>
                <w:p>
                  <w:pPr>
                    <w:snapToGrid w:val="0"/>
                    <w:jc w:val="center"/>
                    <w:rPr>
                      <w:rFonts w:ascii="Times New Roman" w:hAnsi="Times New Roman" w:eastAsia="宋体"/>
                      <w:sz w:val="18"/>
                      <w:szCs w:val="18"/>
                      <w:lang w:bidi="zh-CN"/>
                    </w:rPr>
                  </w:pPr>
                </w:p>
              </w:tc>
              <w:tc>
                <w:tcPr>
                  <w:tcW w:w="951" w:type="pct"/>
                  <w:vMerge w:val="continue"/>
                  <w:vAlign w:val="center"/>
                </w:tcPr>
                <w:p>
                  <w:pPr>
                    <w:snapToGrid w:val="0"/>
                    <w:jc w:val="center"/>
                    <w:rPr>
                      <w:rFonts w:ascii="Times New Roman" w:hAnsi="Times New Roman" w:eastAsia="宋体"/>
                      <w:sz w:val="18"/>
                      <w:szCs w:val="18"/>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sz w:val="18"/>
                      <w:szCs w:val="18"/>
                      <w:lang w:bidi="zh-CN"/>
                    </w:rPr>
                    <w:t>喷涂料</w:t>
                  </w:r>
                </w:p>
              </w:tc>
              <w:tc>
                <w:tcPr>
                  <w:tcW w:w="761" w:type="pc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420</w:t>
                  </w:r>
                </w:p>
              </w:tc>
              <w:tc>
                <w:tcPr>
                  <w:tcW w:w="825"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sz w:val="18"/>
                      <w:szCs w:val="18"/>
                      <w:lang w:bidi="zh-CN"/>
                    </w:rPr>
                    <w:t>雾状颗粒</w:t>
                  </w:r>
                </w:p>
              </w:tc>
              <w:tc>
                <w:tcPr>
                  <w:tcW w:w="86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.16</w:t>
                  </w:r>
                </w:p>
              </w:tc>
              <w:tc>
                <w:tcPr>
                  <w:tcW w:w="880" w:type="pct"/>
                  <w:vMerge w:val="restar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0.341</w:t>
                  </w:r>
                </w:p>
              </w:tc>
              <w:tc>
                <w:tcPr>
                  <w:tcW w:w="951" w:type="pct"/>
                  <w:vMerge w:val="restar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喷漆</w:t>
                  </w:r>
                </w:p>
              </w:tc>
              <w:tc>
                <w:tcPr>
                  <w:tcW w:w="761" w:type="pc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900</w:t>
                  </w:r>
                </w:p>
              </w:tc>
              <w:tc>
                <w:tcPr>
                  <w:tcW w:w="825"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雾状颗粒</w:t>
                  </w:r>
                </w:p>
              </w:tc>
              <w:tc>
                <w:tcPr>
                  <w:tcW w:w="86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.604</w:t>
                  </w:r>
                </w:p>
              </w:tc>
              <w:tc>
                <w:tcPr>
                  <w:tcW w:w="880" w:type="pct"/>
                  <w:vMerge w:val="continue"/>
                  <w:vAlign w:val="center"/>
                </w:tcPr>
                <w:p>
                  <w:pPr>
                    <w:snapToGrid w:val="0"/>
                    <w:jc w:val="center"/>
                    <w:rPr>
                      <w:rFonts w:ascii="Times New Roman" w:hAnsi="Times New Roman" w:eastAsia="宋体"/>
                      <w:sz w:val="18"/>
                      <w:szCs w:val="18"/>
                      <w:lang w:bidi="zh-CN"/>
                    </w:rPr>
                  </w:pPr>
                </w:p>
              </w:tc>
              <w:tc>
                <w:tcPr>
                  <w:tcW w:w="951" w:type="pct"/>
                  <w:vMerge w:val="continue"/>
                  <w:vAlign w:val="center"/>
                </w:tcPr>
                <w:p>
                  <w:pPr>
                    <w:snapToGrid w:val="0"/>
                    <w:jc w:val="center"/>
                    <w:rPr>
                      <w:rFonts w:ascii="Times New Roman" w:hAnsi="Times New Roman" w:eastAsia="宋体"/>
                      <w:sz w:val="18"/>
                      <w:szCs w:val="18"/>
                      <w:lang w:bidi="zh-CN"/>
                    </w:rPr>
                  </w:pPr>
                </w:p>
              </w:tc>
            </w:tr>
          </w:tbl>
          <w:p>
            <w:pPr>
              <w:pStyle w:val="84"/>
              <w:adjustRightInd w:val="0"/>
              <w:snapToGrid w:val="0"/>
              <w:spacing w:before="156" w:beforeLines="50"/>
            </w:pPr>
            <w:r>
              <w:rPr>
                <w:rFonts w:hint="eastAsia"/>
              </w:rPr>
              <w:t>表4-</w:t>
            </w:r>
            <w:r>
              <w:t>5</w:t>
            </w:r>
            <w:r>
              <w:rPr>
                <w:rFonts w:hint="eastAsia"/>
              </w:rPr>
              <w:t xml:space="preserve">  雾状颗粒、有机废气排放情况一览表</w:t>
            </w:r>
          </w:p>
          <w:tbl>
            <w:tblPr>
              <w:tblStyle w:val="26"/>
              <w:tblW w:w="8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893"/>
              <w:gridCol w:w="806"/>
              <w:gridCol w:w="1084"/>
              <w:gridCol w:w="1084"/>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5"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污染种类</w:t>
                  </w:r>
                </w:p>
              </w:tc>
              <w:tc>
                <w:tcPr>
                  <w:tcW w:w="1175"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排污方式</w:t>
                  </w:r>
                </w:p>
              </w:tc>
              <w:tc>
                <w:tcPr>
                  <w:tcW w:w="500"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排污时长</w:t>
                  </w:r>
                </w:p>
              </w:tc>
              <w:tc>
                <w:tcPr>
                  <w:tcW w:w="673"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有组织排污量t</w:t>
                  </w:r>
                  <w:r>
                    <w:rPr>
                      <w:rFonts w:ascii="Times New Roman" w:hAnsi="Times New Roman" w:eastAsia="宋体"/>
                      <w:b/>
                      <w:bCs/>
                      <w:sz w:val="18"/>
                      <w:szCs w:val="18"/>
                      <w:lang w:bidi="zh-CN"/>
                    </w:rPr>
                    <w:t>/a</w:t>
                  </w:r>
                </w:p>
              </w:tc>
              <w:tc>
                <w:tcPr>
                  <w:tcW w:w="673"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有组织速率kg</w:t>
                  </w:r>
                  <w:r>
                    <w:rPr>
                      <w:rFonts w:ascii="Times New Roman" w:hAnsi="Times New Roman" w:eastAsia="宋体"/>
                      <w:b/>
                      <w:bCs/>
                      <w:sz w:val="18"/>
                      <w:szCs w:val="18"/>
                      <w:lang w:bidi="zh-CN"/>
                    </w:rPr>
                    <w:t>/h</w:t>
                  </w:r>
                </w:p>
              </w:tc>
              <w:tc>
                <w:tcPr>
                  <w:tcW w:w="782"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有组织浓度mg</w:t>
                  </w:r>
                  <w:r>
                    <w:rPr>
                      <w:rFonts w:ascii="Times New Roman" w:hAnsi="Times New Roman" w:eastAsia="宋体"/>
                      <w:b/>
                      <w:bCs/>
                      <w:sz w:val="18"/>
                      <w:szCs w:val="18"/>
                      <w:lang w:bidi="zh-CN"/>
                    </w:rPr>
                    <w:t>/m</w:t>
                  </w:r>
                  <w:r>
                    <w:rPr>
                      <w:rFonts w:ascii="Times New Roman" w:hAnsi="Times New Roman" w:eastAsia="宋体"/>
                      <w:b/>
                      <w:bCs/>
                      <w:sz w:val="18"/>
                      <w:szCs w:val="18"/>
                      <w:vertAlign w:val="superscript"/>
                      <w:lang w:bidi="zh-CN"/>
                    </w:rPr>
                    <w:t>3</w:t>
                  </w:r>
                </w:p>
              </w:tc>
              <w:tc>
                <w:tcPr>
                  <w:tcW w:w="782" w:type="pct"/>
                </w:tcPr>
                <w:p>
                  <w:pPr>
                    <w:snapToGrid w:val="0"/>
                    <w:jc w:val="center"/>
                    <w:rPr>
                      <w:rFonts w:ascii="Times New Roman" w:hAnsi="Times New Roman" w:eastAsia="宋体"/>
                      <w:b/>
                      <w:bCs/>
                      <w:sz w:val="18"/>
                      <w:szCs w:val="18"/>
                      <w:lang w:bidi="zh-CN"/>
                    </w:rPr>
                  </w:pPr>
                  <w:r>
                    <w:rPr>
                      <w:rFonts w:hint="eastAsia" w:ascii="Times New Roman" w:hAnsi="Times New Roman" w:eastAsia="宋体"/>
                      <w:b/>
                      <w:bCs/>
                      <w:sz w:val="18"/>
                      <w:szCs w:val="18"/>
                      <w:lang w:bidi="zh-CN"/>
                    </w:rPr>
                    <w:t>无组织排污量t</w:t>
                  </w:r>
                  <w:r>
                    <w:rPr>
                      <w:rFonts w:ascii="Times New Roman" w:hAnsi="Times New Roman" w:eastAsia="宋体"/>
                      <w:b/>
                      <w:bCs/>
                      <w:sz w:val="18"/>
                      <w:szCs w:val="18"/>
                      <w:lang w:bidi="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5" w:type="pct"/>
                  <w:vMerge w:val="restar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非甲烷总烃</w:t>
                  </w:r>
                </w:p>
              </w:tc>
              <w:tc>
                <w:tcPr>
                  <w:tcW w:w="1175" w:type="pct"/>
                </w:tcPr>
                <w:p>
                  <w:pPr>
                    <w:snapToGrid w:val="0"/>
                    <w:jc w:val="center"/>
                    <w:rPr>
                      <w:rFonts w:ascii="Times New Roman" w:hAnsi="Times New Roman" w:eastAsia="宋体"/>
                      <w:b/>
                      <w:bCs/>
                      <w:sz w:val="18"/>
                      <w:szCs w:val="18"/>
                      <w:lang w:bidi="zh-CN"/>
                    </w:rPr>
                  </w:pPr>
                  <w:r>
                    <w:rPr>
                      <w:rFonts w:hint="eastAsia" w:ascii="Times New Roman" w:hAnsi="Times New Roman" w:eastAsia="宋体"/>
                      <w:sz w:val="18"/>
                      <w:szCs w:val="18"/>
                      <w:lang w:bidi="zh-CN"/>
                    </w:rPr>
                    <w:t>经活性炭吸附装置排入排气筒部分（10%）</w:t>
                  </w:r>
                </w:p>
              </w:tc>
              <w:tc>
                <w:tcPr>
                  <w:tcW w:w="500" w:type="pc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2240</w:t>
                  </w:r>
                  <w:r>
                    <w:rPr>
                      <w:rFonts w:hint="eastAsia" w:ascii="Times New Roman" w:hAnsi="Times New Roman" w:eastAsia="宋体"/>
                      <w:sz w:val="18"/>
                      <w:szCs w:val="18"/>
                      <w:lang w:bidi="zh-CN"/>
                    </w:rPr>
                    <w:t>h</w:t>
                  </w:r>
                </w:p>
              </w:tc>
              <w:tc>
                <w:tcPr>
                  <w:tcW w:w="67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198</w:t>
                  </w:r>
                </w:p>
              </w:tc>
              <w:tc>
                <w:tcPr>
                  <w:tcW w:w="67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0.0</w:t>
                  </w:r>
                  <w:r>
                    <w:rPr>
                      <w:rFonts w:ascii="Times New Roman" w:hAnsi="Times New Roman" w:eastAsia="宋体"/>
                      <w:sz w:val="18"/>
                      <w:szCs w:val="18"/>
                      <w:lang w:bidi="zh-CN"/>
                    </w:rPr>
                    <w:t>89</w:t>
                  </w:r>
                </w:p>
              </w:tc>
              <w:tc>
                <w:tcPr>
                  <w:tcW w:w="782"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4.</w:t>
                  </w:r>
                  <w:r>
                    <w:rPr>
                      <w:rFonts w:ascii="Times New Roman" w:hAnsi="Times New Roman" w:eastAsia="宋体"/>
                      <w:sz w:val="18"/>
                      <w:szCs w:val="18"/>
                      <w:lang w:bidi="zh-CN"/>
                    </w:rPr>
                    <w:t>429</w:t>
                  </w:r>
                </w:p>
              </w:tc>
              <w:tc>
                <w:tcPr>
                  <w:tcW w:w="782" w:type="pct"/>
                  <w:vMerge w:val="restar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5" w:type="pct"/>
                  <w:vMerge w:val="continue"/>
                  <w:vAlign w:val="center"/>
                </w:tcPr>
                <w:p>
                  <w:pPr>
                    <w:snapToGrid w:val="0"/>
                    <w:jc w:val="center"/>
                    <w:rPr>
                      <w:rFonts w:ascii="Times New Roman" w:hAnsi="Times New Roman" w:eastAsia="宋体"/>
                      <w:sz w:val="18"/>
                      <w:szCs w:val="18"/>
                      <w:lang w:bidi="zh-CN"/>
                    </w:rPr>
                  </w:pPr>
                </w:p>
              </w:tc>
              <w:tc>
                <w:tcPr>
                  <w:tcW w:w="1175"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sz w:val="18"/>
                      <w:szCs w:val="18"/>
                      <w:lang w:bidi="zh-CN"/>
                    </w:rPr>
                    <w:t>经吸附脱附（吸附效率9</w:t>
                  </w:r>
                  <w:r>
                    <w:rPr>
                      <w:rFonts w:ascii="Times New Roman" w:hAnsi="Times New Roman" w:eastAsia="宋体"/>
                      <w:sz w:val="18"/>
                      <w:szCs w:val="18"/>
                      <w:lang w:bidi="zh-CN"/>
                    </w:rPr>
                    <w:t>0</w:t>
                  </w:r>
                  <w:r>
                    <w:rPr>
                      <w:rFonts w:hint="eastAsia" w:ascii="Times New Roman" w:hAnsi="Times New Roman" w:eastAsia="宋体"/>
                      <w:sz w:val="18"/>
                      <w:szCs w:val="18"/>
                      <w:lang w:bidi="zh-CN"/>
                    </w:rPr>
                    <w:t>%）+催化燃烧（效率</w:t>
                  </w:r>
                  <w:r>
                    <w:rPr>
                      <w:rFonts w:ascii="Times New Roman" w:hAnsi="Times New Roman" w:eastAsia="宋体"/>
                      <w:sz w:val="18"/>
                      <w:szCs w:val="18"/>
                      <w:lang w:bidi="zh-CN"/>
                    </w:rPr>
                    <w:t>98</w:t>
                  </w:r>
                  <w:r>
                    <w:rPr>
                      <w:rFonts w:hint="eastAsia" w:ascii="Times New Roman" w:hAnsi="Times New Roman" w:eastAsia="宋体"/>
                      <w:sz w:val="18"/>
                      <w:szCs w:val="18"/>
                      <w:lang w:bidi="zh-CN"/>
                    </w:rPr>
                    <w:t>%）排入排气筒部分</w:t>
                  </w:r>
                </w:p>
              </w:tc>
              <w:tc>
                <w:tcPr>
                  <w:tcW w:w="500"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9</w:t>
                  </w:r>
                  <w:r>
                    <w:rPr>
                      <w:rFonts w:ascii="Times New Roman" w:hAnsi="Times New Roman" w:eastAsia="宋体"/>
                      <w:sz w:val="18"/>
                      <w:szCs w:val="18"/>
                      <w:lang w:bidi="zh-CN"/>
                    </w:rPr>
                    <w:t>6</w:t>
                  </w:r>
                  <w:r>
                    <w:rPr>
                      <w:rFonts w:hint="eastAsia" w:ascii="Times New Roman" w:hAnsi="Times New Roman" w:eastAsia="宋体"/>
                      <w:sz w:val="18"/>
                      <w:szCs w:val="18"/>
                      <w:lang w:bidi="zh-CN"/>
                    </w:rPr>
                    <w:t>h</w:t>
                  </w:r>
                </w:p>
              </w:tc>
              <w:tc>
                <w:tcPr>
                  <w:tcW w:w="67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036</w:t>
                  </w:r>
                </w:p>
              </w:tc>
              <w:tc>
                <w:tcPr>
                  <w:tcW w:w="67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0.3</w:t>
                  </w:r>
                  <w:r>
                    <w:rPr>
                      <w:rFonts w:ascii="Times New Roman" w:hAnsi="Times New Roman" w:eastAsia="宋体"/>
                      <w:sz w:val="18"/>
                      <w:szCs w:val="18"/>
                      <w:lang w:bidi="zh-CN"/>
                    </w:rPr>
                    <w:t>72</w:t>
                  </w:r>
                </w:p>
              </w:tc>
              <w:tc>
                <w:tcPr>
                  <w:tcW w:w="782"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1</w:t>
                  </w:r>
                  <w:r>
                    <w:rPr>
                      <w:rFonts w:ascii="Times New Roman" w:hAnsi="Times New Roman" w:eastAsia="宋体"/>
                      <w:sz w:val="18"/>
                      <w:szCs w:val="18"/>
                      <w:lang w:bidi="zh-CN"/>
                    </w:rPr>
                    <w:t>8.6</w:t>
                  </w:r>
                </w:p>
              </w:tc>
              <w:tc>
                <w:tcPr>
                  <w:tcW w:w="782" w:type="pct"/>
                  <w:vMerge w:val="continue"/>
                  <w:vAlign w:val="center"/>
                </w:tcPr>
                <w:p>
                  <w:pPr>
                    <w:snapToGrid w:val="0"/>
                    <w:jc w:val="center"/>
                    <w:rPr>
                      <w:rFonts w:ascii="Times New Roman" w:hAnsi="Times New Roman" w:eastAsia="宋体"/>
                      <w:sz w:val="18"/>
                      <w:szCs w:val="18"/>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5" w:type="pct"/>
                  <w:vMerge w:val="restar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二甲苯</w:t>
                  </w:r>
                </w:p>
              </w:tc>
              <w:tc>
                <w:tcPr>
                  <w:tcW w:w="1175" w:type="pct"/>
                </w:tcPr>
                <w:p>
                  <w:pPr>
                    <w:snapToGrid w:val="0"/>
                    <w:jc w:val="center"/>
                    <w:rPr>
                      <w:rFonts w:ascii="Times New Roman" w:hAnsi="Times New Roman" w:eastAsia="宋体"/>
                      <w:b/>
                      <w:bCs/>
                      <w:sz w:val="18"/>
                      <w:szCs w:val="18"/>
                      <w:lang w:bidi="zh-CN"/>
                    </w:rPr>
                  </w:pPr>
                  <w:r>
                    <w:rPr>
                      <w:rFonts w:hint="eastAsia" w:ascii="Times New Roman" w:hAnsi="Times New Roman" w:eastAsia="宋体"/>
                      <w:sz w:val="18"/>
                      <w:szCs w:val="18"/>
                      <w:lang w:bidi="zh-CN"/>
                    </w:rPr>
                    <w:t>经活性炭吸附装置排入排气筒部分（10%）</w:t>
                  </w:r>
                </w:p>
              </w:tc>
              <w:tc>
                <w:tcPr>
                  <w:tcW w:w="500" w:type="pct"/>
                  <w:vAlign w:val="center"/>
                </w:tcPr>
                <w:p>
                  <w:pPr>
                    <w:snapToGrid w:val="0"/>
                    <w:jc w:val="center"/>
                    <w:rPr>
                      <w:rFonts w:ascii="Times New Roman" w:hAnsi="Times New Roman" w:eastAsia="宋体"/>
                      <w:b/>
                      <w:bCs/>
                      <w:sz w:val="18"/>
                      <w:szCs w:val="18"/>
                      <w:lang w:bidi="zh-CN"/>
                    </w:rPr>
                  </w:pPr>
                  <w:r>
                    <w:rPr>
                      <w:rFonts w:ascii="Times New Roman" w:hAnsi="Times New Roman" w:eastAsia="宋体"/>
                      <w:sz w:val="18"/>
                      <w:szCs w:val="18"/>
                      <w:lang w:bidi="zh-CN"/>
                    </w:rPr>
                    <w:t>2240</w:t>
                  </w:r>
                  <w:r>
                    <w:rPr>
                      <w:rFonts w:hint="eastAsia" w:ascii="Times New Roman" w:hAnsi="Times New Roman" w:eastAsia="宋体"/>
                      <w:sz w:val="18"/>
                      <w:szCs w:val="18"/>
                      <w:lang w:bidi="zh-CN"/>
                    </w:rPr>
                    <w:t>h</w:t>
                  </w:r>
                </w:p>
              </w:tc>
              <w:tc>
                <w:tcPr>
                  <w:tcW w:w="67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0.021</w:t>
                  </w:r>
                </w:p>
              </w:tc>
              <w:tc>
                <w:tcPr>
                  <w:tcW w:w="67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0.01</w:t>
                  </w:r>
                </w:p>
              </w:tc>
              <w:tc>
                <w:tcPr>
                  <w:tcW w:w="782"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0.4</w:t>
                  </w:r>
                  <w:r>
                    <w:rPr>
                      <w:rFonts w:ascii="Times New Roman" w:hAnsi="Times New Roman" w:eastAsia="宋体"/>
                      <w:sz w:val="18"/>
                      <w:szCs w:val="18"/>
                      <w:lang w:bidi="zh-CN"/>
                    </w:rPr>
                    <w:t>8</w:t>
                  </w:r>
                </w:p>
              </w:tc>
              <w:tc>
                <w:tcPr>
                  <w:tcW w:w="782" w:type="pct"/>
                  <w:vMerge w:val="restart"/>
                  <w:vAlign w:val="center"/>
                </w:tcPr>
                <w:p>
                  <w:pPr>
                    <w:snapToGrid w:val="0"/>
                    <w:jc w:val="center"/>
                    <w:rPr>
                      <w:rFonts w:ascii="Times New Roman" w:hAnsi="Times New Roman" w:eastAsia="宋体"/>
                      <w:sz w:val="18"/>
                      <w:szCs w:val="18"/>
                      <w:lang w:bidi="zh-CN"/>
                    </w:rPr>
                  </w:pPr>
                  <w:r>
                    <w:rPr>
                      <w:rFonts w:ascii="Times New Roman" w:hAnsi="Times New Roman" w:eastAsia="宋体"/>
                      <w:sz w:val="18"/>
                      <w:szCs w:val="18"/>
                      <w:lang w:bidi="zh-CN"/>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5" w:type="pct"/>
                  <w:vMerge w:val="continue"/>
                  <w:vAlign w:val="center"/>
                </w:tcPr>
                <w:p>
                  <w:pPr>
                    <w:snapToGrid w:val="0"/>
                    <w:jc w:val="center"/>
                    <w:rPr>
                      <w:rFonts w:ascii="Times New Roman" w:hAnsi="Times New Roman" w:eastAsia="宋体"/>
                      <w:sz w:val="18"/>
                      <w:szCs w:val="18"/>
                      <w:lang w:bidi="zh-CN"/>
                    </w:rPr>
                  </w:pPr>
                </w:p>
              </w:tc>
              <w:tc>
                <w:tcPr>
                  <w:tcW w:w="1175"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sz w:val="18"/>
                      <w:szCs w:val="18"/>
                      <w:lang w:bidi="zh-CN"/>
                    </w:rPr>
                    <w:t>经吸附脱附（吸附效率9</w:t>
                  </w:r>
                  <w:r>
                    <w:rPr>
                      <w:rFonts w:ascii="Times New Roman" w:hAnsi="Times New Roman" w:eastAsia="宋体"/>
                      <w:sz w:val="18"/>
                      <w:szCs w:val="18"/>
                      <w:lang w:bidi="zh-CN"/>
                    </w:rPr>
                    <w:t>0</w:t>
                  </w:r>
                  <w:r>
                    <w:rPr>
                      <w:rFonts w:hint="eastAsia" w:ascii="Times New Roman" w:hAnsi="Times New Roman" w:eastAsia="宋体"/>
                      <w:sz w:val="18"/>
                      <w:szCs w:val="18"/>
                      <w:lang w:bidi="zh-CN"/>
                    </w:rPr>
                    <w:t>%）+催化燃烧（效率</w:t>
                  </w:r>
                  <w:r>
                    <w:rPr>
                      <w:rFonts w:ascii="Times New Roman" w:hAnsi="Times New Roman" w:eastAsia="宋体"/>
                      <w:sz w:val="18"/>
                      <w:szCs w:val="18"/>
                      <w:lang w:bidi="zh-CN"/>
                    </w:rPr>
                    <w:t>98</w:t>
                  </w:r>
                  <w:r>
                    <w:rPr>
                      <w:rFonts w:hint="eastAsia" w:ascii="Times New Roman" w:hAnsi="Times New Roman" w:eastAsia="宋体"/>
                      <w:sz w:val="18"/>
                      <w:szCs w:val="18"/>
                      <w:lang w:bidi="zh-CN"/>
                    </w:rPr>
                    <w:t>%）排入排气筒部分</w:t>
                  </w:r>
                </w:p>
              </w:tc>
              <w:tc>
                <w:tcPr>
                  <w:tcW w:w="500" w:type="pct"/>
                  <w:vAlign w:val="center"/>
                </w:tcPr>
                <w:p>
                  <w:pPr>
                    <w:snapToGrid w:val="0"/>
                    <w:jc w:val="center"/>
                    <w:rPr>
                      <w:rFonts w:ascii="Times New Roman" w:hAnsi="Times New Roman" w:eastAsia="宋体"/>
                      <w:b/>
                      <w:bCs/>
                      <w:sz w:val="18"/>
                      <w:szCs w:val="18"/>
                      <w:lang w:bidi="zh-CN"/>
                    </w:rPr>
                  </w:pPr>
                  <w:r>
                    <w:rPr>
                      <w:rFonts w:hint="eastAsia" w:ascii="Times New Roman" w:hAnsi="Times New Roman" w:eastAsia="宋体"/>
                      <w:sz w:val="18"/>
                      <w:szCs w:val="18"/>
                      <w:lang w:bidi="zh-CN"/>
                    </w:rPr>
                    <w:t>9</w:t>
                  </w:r>
                  <w:r>
                    <w:rPr>
                      <w:rFonts w:ascii="Times New Roman" w:hAnsi="Times New Roman" w:eastAsia="宋体"/>
                      <w:sz w:val="18"/>
                      <w:szCs w:val="18"/>
                      <w:lang w:bidi="zh-CN"/>
                    </w:rPr>
                    <w:t>6</w:t>
                  </w:r>
                  <w:r>
                    <w:rPr>
                      <w:rFonts w:hint="eastAsia" w:ascii="Times New Roman" w:hAnsi="Times New Roman" w:eastAsia="宋体"/>
                      <w:sz w:val="18"/>
                      <w:szCs w:val="18"/>
                      <w:lang w:bidi="zh-CN"/>
                    </w:rPr>
                    <w:t>h</w:t>
                  </w:r>
                </w:p>
              </w:tc>
              <w:tc>
                <w:tcPr>
                  <w:tcW w:w="67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0.004</w:t>
                  </w:r>
                </w:p>
              </w:tc>
              <w:tc>
                <w:tcPr>
                  <w:tcW w:w="67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0.04</w:t>
                  </w:r>
                </w:p>
              </w:tc>
              <w:tc>
                <w:tcPr>
                  <w:tcW w:w="782"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2</w:t>
                  </w:r>
                </w:p>
              </w:tc>
              <w:tc>
                <w:tcPr>
                  <w:tcW w:w="782" w:type="pct"/>
                  <w:vMerge w:val="continue"/>
                  <w:vAlign w:val="center"/>
                </w:tcPr>
                <w:p>
                  <w:pPr>
                    <w:snapToGrid w:val="0"/>
                    <w:jc w:val="center"/>
                    <w:rPr>
                      <w:rFonts w:ascii="Times New Roman" w:hAnsi="Times New Roman" w:eastAsia="宋体"/>
                      <w:sz w:val="18"/>
                      <w:szCs w:val="18"/>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5"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雾状颗粒</w:t>
                  </w:r>
                </w:p>
              </w:tc>
              <w:tc>
                <w:tcPr>
                  <w:tcW w:w="1175"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干式过滤器</w:t>
                  </w:r>
                </w:p>
              </w:tc>
              <w:tc>
                <w:tcPr>
                  <w:tcW w:w="500"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2</w:t>
                  </w:r>
                  <w:r>
                    <w:rPr>
                      <w:rFonts w:ascii="Times New Roman" w:hAnsi="Times New Roman" w:eastAsia="宋体"/>
                      <w:sz w:val="18"/>
                      <w:szCs w:val="18"/>
                      <w:lang w:bidi="zh-CN"/>
                    </w:rPr>
                    <w:t>240</w:t>
                  </w:r>
                  <w:r>
                    <w:rPr>
                      <w:rFonts w:hint="eastAsia" w:ascii="Times New Roman" w:hAnsi="Times New Roman" w:eastAsia="宋体"/>
                      <w:sz w:val="18"/>
                      <w:szCs w:val="18"/>
                      <w:lang w:bidi="zh-CN"/>
                    </w:rPr>
                    <w:t>h</w:t>
                  </w:r>
                </w:p>
              </w:tc>
              <w:tc>
                <w:tcPr>
                  <w:tcW w:w="67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.15</w:t>
                  </w:r>
                </w:p>
              </w:tc>
              <w:tc>
                <w:tcPr>
                  <w:tcW w:w="673"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.06</w:t>
                  </w:r>
                </w:p>
              </w:tc>
              <w:tc>
                <w:tcPr>
                  <w:tcW w:w="782"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3</w:t>
                  </w:r>
                  <w:r>
                    <w:rPr>
                      <w:rFonts w:ascii="Times New Roman" w:hAnsi="Times New Roman" w:eastAsia="宋体"/>
                      <w:sz w:val="18"/>
                      <w:szCs w:val="18"/>
                      <w:lang w:bidi="zh-CN"/>
                    </w:rPr>
                    <w:t>.24</w:t>
                  </w:r>
                </w:p>
              </w:tc>
              <w:tc>
                <w:tcPr>
                  <w:tcW w:w="782" w:type="pct"/>
                  <w:vAlign w:val="center"/>
                </w:tcPr>
                <w:p>
                  <w:pPr>
                    <w:snapToGrid w:val="0"/>
                    <w:jc w:val="center"/>
                    <w:rPr>
                      <w:rFonts w:ascii="Times New Roman" w:hAnsi="Times New Roman" w:eastAsia="宋体"/>
                      <w:sz w:val="18"/>
                      <w:szCs w:val="18"/>
                      <w:lang w:bidi="zh-CN"/>
                    </w:rPr>
                  </w:pPr>
                  <w:r>
                    <w:rPr>
                      <w:rFonts w:hint="eastAsia" w:ascii="Times New Roman" w:hAnsi="Times New Roman" w:eastAsia="宋体"/>
                      <w:sz w:val="18"/>
                      <w:szCs w:val="18"/>
                      <w:lang w:bidi="zh-CN"/>
                    </w:rPr>
                    <w:t>0</w:t>
                  </w:r>
                  <w:r>
                    <w:rPr>
                      <w:rFonts w:ascii="Times New Roman" w:hAnsi="Times New Roman" w:eastAsia="宋体"/>
                      <w:sz w:val="18"/>
                      <w:szCs w:val="18"/>
                      <w:lang w:bidi="zh-CN"/>
                    </w:rPr>
                    <w:t>.04</w:t>
                  </w:r>
                </w:p>
              </w:tc>
            </w:tr>
          </w:tbl>
          <w:p>
            <w:pPr>
              <w:spacing w:line="360" w:lineRule="auto"/>
              <w:ind w:firstLine="482" w:firstLineChars="200"/>
              <w:rPr>
                <w:rFonts w:ascii="Times New Roman" w:hAnsi="Times New Roman" w:eastAsia="宋体"/>
                <w:sz w:val="24"/>
              </w:rPr>
            </w:pPr>
            <w:r>
              <w:rPr>
                <w:rFonts w:hint="eastAsia" w:ascii="Times New Roman" w:hAnsi="Times New Roman" w:eastAsia="宋体"/>
                <w:b/>
                <w:sz w:val="24"/>
              </w:rPr>
              <w:t>源强</w:t>
            </w:r>
            <w:r>
              <w:rPr>
                <w:rFonts w:hint="eastAsia" w:ascii="Times New Roman" w:hAnsi="Times New Roman" w:eastAsia="宋体"/>
                <w:b/>
                <w:sz w:val="24"/>
                <w:lang w:bidi="zh-CN"/>
              </w:rPr>
              <w:t>核算过程：</w:t>
            </w:r>
            <w:r>
              <w:rPr>
                <w:rFonts w:ascii="Times New Roman" w:hAnsi="Times New Roman" w:eastAsia="宋体"/>
                <w:sz w:val="24"/>
              </w:rPr>
              <w:t>根据建设单位提供</w:t>
            </w:r>
            <w:r>
              <w:rPr>
                <w:rFonts w:hint="eastAsia" w:ascii="Times New Roman" w:hAnsi="Times New Roman" w:eastAsia="宋体"/>
                <w:sz w:val="24"/>
              </w:rPr>
              <w:t>喷漆</w:t>
            </w:r>
            <w:r>
              <w:rPr>
                <w:rFonts w:ascii="Times New Roman" w:hAnsi="Times New Roman" w:eastAsia="宋体"/>
                <w:sz w:val="24"/>
              </w:rPr>
              <w:t>资料</w:t>
            </w:r>
            <w:r>
              <w:rPr>
                <w:rFonts w:hint="eastAsia" w:ascii="Times New Roman" w:hAnsi="Times New Roman" w:eastAsia="宋体"/>
                <w:sz w:val="24"/>
              </w:rPr>
              <w:t>可知，项目喷漆效率为</w:t>
            </w:r>
            <w:r>
              <w:rPr>
                <w:rFonts w:ascii="Times New Roman" w:hAnsi="Times New Roman" w:eastAsia="宋体"/>
                <w:sz w:val="24"/>
              </w:rPr>
              <w:t>65%</w:t>
            </w:r>
            <w:r>
              <w:rPr>
                <w:rFonts w:hint="eastAsia" w:ascii="Times New Roman" w:hAnsi="Times New Roman" w:eastAsia="宋体"/>
                <w:sz w:val="24"/>
              </w:rPr>
              <w:t>，</w:t>
            </w:r>
            <w:r>
              <w:rPr>
                <w:rFonts w:ascii="Times New Roman" w:hAnsi="Times New Roman" w:eastAsia="宋体"/>
                <w:sz w:val="24"/>
              </w:rPr>
              <w:t>即有65%</w:t>
            </w:r>
            <w:r>
              <w:rPr>
                <w:rFonts w:hint="eastAsia" w:ascii="Times New Roman" w:hAnsi="Times New Roman" w:eastAsia="宋体"/>
                <w:sz w:val="24"/>
              </w:rPr>
              <w:t>形成漆膜</w:t>
            </w:r>
            <w:r>
              <w:rPr>
                <w:rFonts w:ascii="Times New Roman" w:hAnsi="Times New Roman" w:eastAsia="宋体"/>
                <w:sz w:val="24"/>
              </w:rPr>
              <w:t>，其余35%</w:t>
            </w:r>
            <w:r>
              <w:rPr>
                <w:rFonts w:hint="eastAsia" w:ascii="Times New Roman" w:hAnsi="Times New Roman" w:eastAsia="宋体"/>
                <w:sz w:val="24"/>
              </w:rPr>
              <w:t>为漆渣、漆雾、挥发物的形式</w:t>
            </w:r>
            <w:r>
              <w:rPr>
                <w:rFonts w:ascii="Times New Roman" w:hAnsi="Times New Roman" w:eastAsia="宋体"/>
                <w:sz w:val="24"/>
              </w:rPr>
              <w:t>。</w:t>
            </w:r>
            <w:r>
              <w:rPr>
                <w:rFonts w:hint="eastAsia" w:ascii="Times New Roman" w:hAnsi="Times New Roman" w:eastAsia="宋体"/>
                <w:sz w:val="24"/>
              </w:rPr>
              <w:t>根据涂料厂家提供的成分比例、质检报告等可知，项目清洗、喷涂、烘干过程污染物核算见表</w:t>
            </w:r>
            <w:r>
              <w:rPr>
                <w:rFonts w:ascii="Times New Roman" w:hAnsi="Times New Roman" w:eastAsia="宋体"/>
                <w:sz w:val="24"/>
              </w:rPr>
              <w:t>4-6</w:t>
            </w:r>
            <w:r>
              <w:rPr>
                <w:rFonts w:hint="eastAsia" w:ascii="Times New Roman" w:hAnsi="Times New Roman" w:eastAsia="宋体"/>
                <w:sz w:val="24"/>
              </w:rPr>
              <w:t>。</w:t>
            </w:r>
          </w:p>
          <w:p>
            <w:pPr>
              <w:adjustRightInd w:val="0"/>
              <w:snapToGrid w:val="0"/>
              <w:jc w:val="center"/>
              <w:rPr>
                <w:rFonts w:ascii="Times New Roman" w:hAnsi="Times New Roman" w:eastAsia="宋体"/>
                <w:b/>
                <w:bCs/>
                <w:sz w:val="24"/>
                <w:lang w:bidi="zh-CN"/>
              </w:rPr>
            </w:pPr>
            <w:r>
              <w:rPr>
                <w:rFonts w:hint="eastAsia" w:ascii="Times New Roman" w:hAnsi="Times New Roman" w:eastAsia="宋体"/>
                <w:b/>
                <w:bCs/>
                <w:sz w:val="24"/>
              </w:rPr>
              <w:t>表</w:t>
            </w:r>
            <w:r>
              <w:rPr>
                <w:rFonts w:ascii="Times New Roman" w:hAnsi="Times New Roman" w:eastAsia="宋体"/>
                <w:b/>
                <w:bCs/>
                <w:sz w:val="24"/>
              </w:rPr>
              <w:t>4-6</w:t>
            </w:r>
            <w:r>
              <w:rPr>
                <w:rFonts w:ascii="Times New Roman" w:hAnsi="Times New Roman" w:eastAsia="宋体"/>
                <w:b/>
                <w:bCs/>
                <w:sz w:val="24"/>
                <w:lang w:bidi="zh-CN"/>
              </w:rPr>
              <w:t xml:space="preserve">  </w:t>
            </w:r>
            <w:r>
              <w:rPr>
                <w:rFonts w:hint="eastAsia" w:ascii="Times New Roman" w:hAnsi="Times New Roman" w:eastAsia="宋体"/>
                <w:b/>
                <w:bCs/>
                <w:sz w:val="24"/>
                <w:lang w:bidi="zh-CN"/>
              </w:rPr>
              <w:t>喷漆、烘干过程污染物核算表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1099"/>
              <w:gridCol w:w="881"/>
              <w:gridCol w:w="1136"/>
              <w:gridCol w:w="851"/>
              <w:gridCol w:w="1849"/>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62" w:type="pct"/>
                  <w:vAlign w:val="center"/>
                </w:tcPr>
                <w:p>
                  <w:pPr>
                    <w:snapToGrid w:val="0"/>
                    <w:jc w:val="center"/>
                    <w:rPr>
                      <w:rFonts w:ascii="Times New Roman" w:hAnsi="Times New Roman" w:eastAsia="宋体"/>
                      <w:b/>
                      <w:bCs/>
                      <w:lang w:bidi="zh-CN"/>
                    </w:rPr>
                  </w:pPr>
                  <w:r>
                    <w:rPr>
                      <w:rFonts w:hint="eastAsia" w:ascii="Times New Roman" w:hAnsi="Times New Roman" w:eastAsia="宋体"/>
                      <w:b/>
                      <w:bCs/>
                      <w:lang w:bidi="zh-CN"/>
                    </w:rPr>
                    <w:t>产污源头</w:t>
                  </w:r>
                </w:p>
              </w:tc>
              <w:tc>
                <w:tcPr>
                  <w:tcW w:w="682" w:type="pct"/>
                  <w:vAlign w:val="center"/>
                </w:tcPr>
                <w:p>
                  <w:pPr>
                    <w:snapToGrid w:val="0"/>
                    <w:jc w:val="center"/>
                    <w:rPr>
                      <w:rFonts w:ascii="Times New Roman" w:hAnsi="Times New Roman" w:eastAsia="宋体"/>
                      <w:b/>
                      <w:bCs/>
                      <w:lang w:bidi="zh-CN"/>
                    </w:rPr>
                  </w:pPr>
                  <w:r>
                    <w:rPr>
                      <w:rFonts w:hint="eastAsia" w:ascii="Times New Roman" w:hAnsi="Times New Roman" w:eastAsia="宋体"/>
                      <w:b/>
                      <w:bCs/>
                      <w:lang w:bidi="zh-CN"/>
                    </w:rPr>
                    <w:t>用量</w:t>
                  </w:r>
                </w:p>
                <w:p>
                  <w:pPr>
                    <w:snapToGrid w:val="0"/>
                    <w:jc w:val="center"/>
                    <w:rPr>
                      <w:rFonts w:ascii="Times New Roman" w:hAnsi="Times New Roman" w:eastAsia="宋体"/>
                      <w:b/>
                      <w:bCs/>
                      <w:lang w:bidi="zh-CN"/>
                    </w:rPr>
                  </w:pPr>
                  <w:r>
                    <w:rPr>
                      <w:rFonts w:hint="eastAsia" w:ascii="Times New Roman" w:hAnsi="Times New Roman" w:eastAsia="宋体"/>
                      <w:b/>
                      <w:bCs/>
                      <w:lang w:bidi="zh-CN"/>
                    </w:rPr>
                    <w:t>t</w:t>
                  </w:r>
                  <w:r>
                    <w:rPr>
                      <w:rFonts w:ascii="Times New Roman" w:hAnsi="Times New Roman" w:eastAsia="宋体"/>
                      <w:b/>
                      <w:bCs/>
                      <w:lang w:bidi="zh-CN"/>
                    </w:rPr>
                    <w:t>/a</w:t>
                  </w:r>
                </w:p>
              </w:tc>
              <w:tc>
                <w:tcPr>
                  <w:tcW w:w="547" w:type="pct"/>
                  <w:vAlign w:val="center"/>
                </w:tcPr>
                <w:p>
                  <w:pPr>
                    <w:snapToGrid w:val="0"/>
                    <w:jc w:val="center"/>
                    <w:rPr>
                      <w:rFonts w:ascii="Times New Roman" w:hAnsi="Times New Roman" w:eastAsia="宋体"/>
                      <w:b/>
                      <w:bCs/>
                      <w:lang w:bidi="zh-CN"/>
                    </w:rPr>
                  </w:pPr>
                  <w:r>
                    <w:rPr>
                      <w:rFonts w:hint="eastAsia" w:ascii="Times New Roman" w:hAnsi="Times New Roman" w:eastAsia="宋体"/>
                      <w:b/>
                      <w:bCs/>
                      <w:lang w:bidi="zh-CN"/>
                    </w:rPr>
                    <w:t>密度g</w:t>
                  </w:r>
                  <w:r>
                    <w:rPr>
                      <w:rFonts w:ascii="Times New Roman" w:hAnsi="Times New Roman" w:eastAsia="宋体"/>
                      <w:b/>
                      <w:bCs/>
                      <w:lang w:bidi="zh-CN"/>
                    </w:rPr>
                    <w:t>/</w:t>
                  </w:r>
                  <w:r>
                    <w:rPr>
                      <w:rFonts w:hint="eastAsia" w:ascii="Times New Roman" w:hAnsi="Times New Roman" w:eastAsia="宋体"/>
                      <w:b/>
                      <w:bCs/>
                      <w:lang w:bidi="zh-CN"/>
                    </w:rPr>
                    <w:t>cm</w:t>
                  </w:r>
                  <w:r>
                    <w:rPr>
                      <w:rFonts w:ascii="Times New Roman" w:hAnsi="Times New Roman" w:eastAsia="宋体"/>
                      <w:b/>
                      <w:bCs/>
                      <w:vertAlign w:val="superscript"/>
                      <w:lang w:bidi="zh-CN"/>
                    </w:rPr>
                    <w:t>3</w:t>
                  </w:r>
                </w:p>
              </w:tc>
              <w:tc>
                <w:tcPr>
                  <w:tcW w:w="705" w:type="pct"/>
                  <w:vAlign w:val="center"/>
                </w:tcPr>
                <w:p>
                  <w:pPr>
                    <w:snapToGrid w:val="0"/>
                    <w:jc w:val="center"/>
                    <w:rPr>
                      <w:rFonts w:ascii="Times New Roman" w:hAnsi="Times New Roman" w:eastAsia="宋体"/>
                      <w:b/>
                      <w:bCs/>
                      <w:lang w:bidi="zh-CN"/>
                    </w:rPr>
                  </w:pPr>
                  <w:r>
                    <w:rPr>
                      <w:rFonts w:hint="eastAsia" w:ascii="Times New Roman" w:hAnsi="Times New Roman" w:eastAsia="宋体"/>
                      <w:b/>
                      <w:bCs/>
                      <w:lang w:bidi="zh-CN"/>
                    </w:rPr>
                    <w:t>产污因子</w:t>
                  </w:r>
                </w:p>
              </w:tc>
              <w:tc>
                <w:tcPr>
                  <w:tcW w:w="528" w:type="pct"/>
                  <w:vAlign w:val="center"/>
                </w:tcPr>
                <w:p>
                  <w:pPr>
                    <w:snapToGrid w:val="0"/>
                    <w:jc w:val="center"/>
                    <w:rPr>
                      <w:rFonts w:ascii="Times New Roman" w:hAnsi="Times New Roman" w:eastAsia="宋体"/>
                      <w:b/>
                      <w:bCs/>
                      <w:lang w:bidi="zh-CN"/>
                    </w:rPr>
                  </w:pPr>
                  <w:r>
                    <w:rPr>
                      <w:rFonts w:hint="eastAsia" w:ascii="Times New Roman" w:hAnsi="Times New Roman" w:eastAsia="宋体"/>
                      <w:b/>
                      <w:bCs/>
                      <w:lang w:bidi="zh-CN"/>
                    </w:rPr>
                    <w:t>产污计算系数</w:t>
                  </w:r>
                </w:p>
              </w:tc>
              <w:tc>
                <w:tcPr>
                  <w:tcW w:w="1147" w:type="pct"/>
                  <w:vAlign w:val="center"/>
                </w:tcPr>
                <w:p>
                  <w:pPr>
                    <w:snapToGrid w:val="0"/>
                    <w:jc w:val="center"/>
                    <w:rPr>
                      <w:rFonts w:ascii="Times New Roman" w:hAnsi="Times New Roman" w:eastAsia="宋体"/>
                      <w:b/>
                      <w:bCs/>
                      <w:lang w:bidi="zh-CN"/>
                    </w:rPr>
                  </w:pPr>
                  <w:r>
                    <w:rPr>
                      <w:rFonts w:hint="eastAsia" w:ascii="Times New Roman" w:hAnsi="Times New Roman" w:eastAsia="宋体"/>
                      <w:b/>
                      <w:bCs/>
                      <w:lang w:bidi="zh-CN"/>
                    </w:rPr>
                    <w:t>产污系数来源</w:t>
                  </w:r>
                </w:p>
              </w:tc>
              <w:tc>
                <w:tcPr>
                  <w:tcW w:w="428" w:type="pct"/>
                  <w:vAlign w:val="center"/>
                </w:tcPr>
                <w:p>
                  <w:pPr>
                    <w:snapToGrid w:val="0"/>
                    <w:jc w:val="center"/>
                    <w:rPr>
                      <w:rFonts w:ascii="Times New Roman" w:hAnsi="Times New Roman" w:eastAsia="宋体"/>
                      <w:b/>
                      <w:bCs/>
                      <w:lang w:bidi="zh-CN"/>
                    </w:rPr>
                  </w:pPr>
                  <w:r>
                    <w:rPr>
                      <w:rFonts w:hint="eastAsia" w:ascii="Times New Roman" w:hAnsi="Times New Roman" w:eastAsia="宋体"/>
                      <w:b/>
                      <w:bCs/>
                      <w:lang w:bidi="zh-CN"/>
                    </w:rPr>
                    <w:t>产污量t</w:t>
                  </w:r>
                  <w:r>
                    <w:rPr>
                      <w:rFonts w:ascii="Times New Roman" w:hAnsi="Times New Roman" w:eastAsia="宋体"/>
                      <w:b/>
                      <w:bCs/>
                      <w:lang w:bidi="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62" w:type="pct"/>
                  <w:vAlign w:val="center"/>
                </w:tcPr>
                <w:p>
                  <w:pPr>
                    <w:snapToGrid w:val="0"/>
                    <w:jc w:val="center"/>
                    <w:rPr>
                      <w:rFonts w:ascii="Times New Roman" w:hAnsi="Times New Roman" w:eastAsia="宋体"/>
                      <w:b/>
                      <w:bCs/>
                      <w:lang w:bidi="zh-CN"/>
                    </w:rPr>
                  </w:pPr>
                  <w:r>
                    <w:rPr>
                      <w:rFonts w:hint="eastAsia" w:ascii="Times New Roman" w:hAnsi="Times New Roman" w:eastAsia="宋体" w:cs="Times New Roman"/>
                      <w:kern w:val="0"/>
                    </w:rPr>
                    <w:t>清洗剂</w:t>
                  </w:r>
                </w:p>
              </w:tc>
              <w:tc>
                <w:tcPr>
                  <w:tcW w:w="682"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0</w:t>
                  </w:r>
                  <w:r>
                    <w:rPr>
                      <w:rFonts w:ascii="Times New Roman" w:hAnsi="Times New Roman" w:eastAsia="宋体"/>
                      <w:lang w:bidi="zh-CN"/>
                    </w:rPr>
                    <w:t>.2</w:t>
                  </w:r>
                </w:p>
              </w:tc>
              <w:tc>
                <w:tcPr>
                  <w:tcW w:w="547" w:type="pct"/>
                  <w:vAlign w:val="center"/>
                </w:tcPr>
                <w:p>
                  <w:pPr>
                    <w:snapToGrid w:val="0"/>
                    <w:jc w:val="center"/>
                    <w:rPr>
                      <w:rFonts w:ascii="Times New Roman" w:hAnsi="Times New Roman" w:eastAsia="宋体"/>
                      <w:lang w:bidi="zh-CN"/>
                    </w:rPr>
                  </w:pPr>
                  <w:r>
                    <w:rPr>
                      <w:rFonts w:ascii="Times New Roman" w:hAnsi="Times New Roman" w:eastAsia="宋体"/>
                      <w:lang w:bidi="zh-CN"/>
                    </w:rPr>
                    <w:t>0.95</w:t>
                  </w:r>
                </w:p>
              </w:tc>
              <w:tc>
                <w:tcPr>
                  <w:tcW w:w="705" w:type="pct"/>
                  <w:vAlign w:val="center"/>
                </w:tcPr>
                <w:p>
                  <w:pPr>
                    <w:snapToGrid w:val="0"/>
                    <w:jc w:val="center"/>
                    <w:rPr>
                      <w:rFonts w:ascii="Times New Roman" w:hAnsi="Times New Roman" w:eastAsia="宋体"/>
                      <w:b/>
                      <w:bCs/>
                      <w:lang w:bidi="zh-CN"/>
                    </w:rPr>
                  </w:pPr>
                  <w:r>
                    <w:rPr>
                      <w:rFonts w:hint="eastAsia" w:ascii="Times New Roman" w:hAnsi="Times New Roman" w:eastAsia="宋体"/>
                      <w:lang w:bidi="zh-CN"/>
                    </w:rPr>
                    <w:t>非甲烷总烃</w:t>
                  </w:r>
                </w:p>
              </w:tc>
              <w:tc>
                <w:tcPr>
                  <w:tcW w:w="528" w:type="pct"/>
                  <w:vAlign w:val="center"/>
                </w:tcPr>
                <w:p>
                  <w:pPr>
                    <w:snapToGrid w:val="0"/>
                    <w:jc w:val="center"/>
                    <w:rPr>
                      <w:rFonts w:ascii="Times New Roman" w:hAnsi="Times New Roman" w:eastAsia="宋体"/>
                      <w:b/>
                      <w:bCs/>
                      <w:lang w:bidi="zh-CN"/>
                    </w:rPr>
                  </w:pPr>
                  <w:r>
                    <w:rPr>
                      <w:rFonts w:hint="eastAsia" w:ascii="Times New Roman" w:hAnsi="Times New Roman" w:eastAsia="宋体"/>
                      <w:b/>
                      <w:bCs/>
                      <w:lang w:bidi="zh-CN"/>
                    </w:rPr>
                    <w:t>/</w:t>
                  </w:r>
                </w:p>
              </w:tc>
              <w:tc>
                <w:tcPr>
                  <w:tcW w:w="1147" w:type="pct"/>
                  <w:vAlign w:val="center"/>
                </w:tcPr>
                <w:p>
                  <w:pPr>
                    <w:snapToGrid w:val="0"/>
                    <w:rPr>
                      <w:rFonts w:ascii="Times New Roman" w:hAnsi="Times New Roman" w:eastAsia="宋体"/>
                      <w:b/>
                      <w:bCs/>
                      <w:lang w:bidi="zh-CN"/>
                    </w:rPr>
                  </w:pPr>
                  <w:r>
                    <w:rPr>
                      <w:rFonts w:hint="eastAsia" w:ascii="Times New Roman" w:hAnsi="Times New Roman" w:eastAsia="宋体"/>
                    </w:rPr>
                    <w:t>根据成分比例计算，按全挥发计算</w:t>
                  </w:r>
                </w:p>
              </w:tc>
              <w:tc>
                <w:tcPr>
                  <w:tcW w:w="428" w:type="pct"/>
                  <w:vAlign w:val="center"/>
                </w:tcPr>
                <w:p>
                  <w:pPr>
                    <w:snapToGrid w:val="0"/>
                    <w:jc w:val="center"/>
                    <w:rPr>
                      <w:rFonts w:ascii="Times New Roman" w:hAnsi="Times New Roman" w:eastAsia="宋体"/>
                    </w:rPr>
                  </w:pPr>
                  <w:r>
                    <w:rPr>
                      <w:rFonts w:hint="eastAsia" w:ascii="Times New Roman" w:hAnsi="Times New Roman" w:eastAsia="宋体"/>
                    </w:rPr>
                    <w:t>0</w:t>
                  </w:r>
                  <w:r>
                    <w:rPr>
                      <w:rFonts w:ascii="Times New Roman" w:hAnsi="Times New Roman" w:eastAsia="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62" w:type="pct"/>
                  <w:vAlign w:val="center"/>
                </w:tcPr>
                <w:p>
                  <w:pPr>
                    <w:snapToGrid w:val="0"/>
                    <w:jc w:val="center"/>
                    <w:rPr>
                      <w:rFonts w:ascii="Times New Roman" w:hAnsi="Times New Roman" w:eastAsia="宋体"/>
                      <w:b/>
                      <w:bCs/>
                      <w:lang w:bidi="zh-CN"/>
                    </w:rPr>
                  </w:pPr>
                  <w:r>
                    <w:rPr>
                      <w:rFonts w:hint="eastAsia" w:ascii="Times New Roman" w:hAnsi="Times New Roman" w:eastAsia="宋体" w:cs="Times New Roman"/>
                      <w:kern w:val="0"/>
                    </w:rPr>
                    <w:t>防热涂料（含稀释剂、固化剂）</w:t>
                  </w:r>
                </w:p>
              </w:tc>
              <w:tc>
                <w:tcPr>
                  <w:tcW w:w="682" w:type="pct"/>
                  <w:vAlign w:val="center"/>
                </w:tcPr>
                <w:p>
                  <w:pPr>
                    <w:snapToGrid w:val="0"/>
                    <w:jc w:val="center"/>
                    <w:rPr>
                      <w:rFonts w:ascii="Times New Roman" w:hAnsi="Times New Roman" w:eastAsia="宋体"/>
                      <w:lang w:bidi="zh-CN"/>
                    </w:rPr>
                  </w:pPr>
                  <w:r>
                    <w:rPr>
                      <w:rFonts w:ascii="Times New Roman" w:hAnsi="Times New Roman" w:eastAsia="宋体"/>
                      <w:lang w:bidi="zh-CN"/>
                    </w:rPr>
                    <w:t>3.294</w:t>
                  </w:r>
                </w:p>
              </w:tc>
              <w:tc>
                <w:tcPr>
                  <w:tcW w:w="547" w:type="pct"/>
                  <w:vAlign w:val="center"/>
                </w:tcPr>
                <w:p>
                  <w:pPr>
                    <w:snapToGrid w:val="0"/>
                    <w:jc w:val="center"/>
                    <w:rPr>
                      <w:rFonts w:ascii="Times New Roman" w:hAnsi="Times New Roman" w:eastAsia="宋体"/>
                      <w:lang w:bidi="zh-CN"/>
                    </w:rPr>
                  </w:pPr>
                  <w:r>
                    <w:rPr>
                      <w:rFonts w:ascii="Times New Roman" w:hAnsi="Times New Roman" w:eastAsia="宋体"/>
                      <w:lang w:bidi="zh-CN"/>
                    </w:rPr>
                    <w:t>1.3</w:t>
                  </w:r>
                </w:p>
              </w:tc>
              <w:tc>
                <w:tcPr>
                  <w:tcW w:w="705"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非甲烷总烃</w:t>
                  </w:r>
                </w:p>
              </w:tc>
              <w:tc>
                <w:tcPr>
                  <w:tcW w:w="528" w:type="pct"/>
                  <w:vAlign w:val="center"/>
                </w:tcPr>
                <w:p>
                  <w:pPr>
                    <w:snapToGrid w:val="0"/>
                    <w:jc w:val="center"/>
                    <w:rPr>
                      <w:rFonts w:ascii="Times New Roman" w:hAnsi="Times New Roman" w:eastAsia="宋体"/>
                    </w:rPr>
                  </w:pPr>
                  <w:r>
                    <w:rPr>
                      <w:rFonts w:ascii="Times New Roman" w:hAnsi="Times New Roman" w:eastAsia="宋体"/>
                    </w:rPr>
                    <w:t>346g/L</w:t>
                  </w:r>
                </w:p>
              </w:tc>
              <w:tc>
                <w:tcPr>
                  <w:tcW w:w="1147" w:type="pct"/>
                  <w:vAlign w:val="center"/>
                </w:tcPr>
                <w:p>
                  <w:pPr>
                    <w:snapToGrid w:val="0"/>
                    <w:jc w:val="center"/>
                    <w:rPr>
                      <w:rFonts w:ascii="Times New Roman" w:hAnsi="Times New Roman" w:eastAsia="宋体"/>
                    </w:rPr>
                  </w:pPr>
                  <w:r>
                    <w:rPr>
                      <w:rFonts w:hint="eastAsia"/>
                    </w:rPr>
                    <w:t>附件6：质检报告</w:t>
                  </w:r>
                </w:p>
              </w:tc>
              <w:tc>
                <w:tcPr>
                  <w:tcW w:w="428" w:type="pct"/>
                  <w:vAlign w:val="center"/>
                </w:tcPr>
                <w:p>
                  <w:pPr>
                    <w:snapToGrid w:val="0"/>
                    <w:jc w:val="center"/>
                    <w:rPr>
                      <w:rFonts w:ascii="Times New Roman" w:hAnsi="Times New Roman" w:eastAsia="宋体"/>
                      <w:lang w:bidi="zh-CN"/>
                    </w:rPr>
                  </w:pPr>
                  <w:r>
                    <w:rPr>
                      <w:rFonts w:ascii="Times New Roman" w:hAnsi="Times New Roman" w:eastAsia="宋体"/>
                      <w:lang w:bidi="zh-CN"/>
                    </w:rPr>
                    <w:t>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62" w:type="pct"/>
                  <w:vMerge w:val="restart"/>
                  <w:vAlign w:val="center"/>
                </w:tcPr>
                <w:p>
                  <w:pPr>
                    <w:snapToGrid w:val="0"/>
                    <w:jc w:val="center"/>
                    <w:rPr>
                      <w:rFonts w:ascii="Times New Roman" w:hAnsi="Times New Roman" w:eastAsia="宋体" w:cs="Times New Roman"/>
                      <w:kern w:val="0"/>
                    </w:rPr>
                  </w:pPr>
                  <w:r>
                    <w:rPr>
                      <w:rFonts w:hint="eastAsia" w:ascii="Times New Roman" w:hAnsi="Times New Roman" w:eastAsia="宋体" w:cs="Times New Roman"/>
                      <w:kern w:val="0"/>
                    </w:rPr>
                    <w:t>油性面漆（含稀释剂、固化剂）</w:t>
                  </w:r>
                </w:p>
              </w:tc>
              <w:tc>
                <w:tcPr>
                  <w:tcW w:w="682" w:type="pct"/>
                  <w:vMerge w:val="restar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0</w:t>
                  </w:r>
                  <w:r>
                    <w:rPr>
                      <w:rFonts w:ascii="Times New Roman" w:hAnsi="Times New Roman" w:eastAsia="宋体"/>
                      <w:lang w:bidi="zh-CN"/>
                    </w:rPr>
                    <w:t>.46</w:t>
                  </w:r>
                </w:p>
              </w:tc>
              <w:tc>
                <w:tcPr>
                  <w:tcW w:w="547" w:type="pct"/>
                  <w:vMerge w:val="restar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1</w:t>
                  </w:r>
                  <w:r>
                    <w:rPr>
                      <w:rFonts w:ascii="Times New Roman" w:hAnsi="Times New Roman" w:eastAsia="宋体"/>
                      <w:lang w:bidi="zh-CN"/>
                    </w:rPr>
                    <w:t>.1</w:t>
                  </w:r>
                </w:p>
              </w:tc>
              <w:tc>
                <w:tcPr>
                  <w:tcW w:w="705"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非甲烷总烃</w:t>
                  </w:r>
                </w:p>
              </w:tc>
              <w:tc>
                <w:tcPr>
                  <w:tcW w:w="528" w:type="pct"/>
                  <w:vMerge w:val="restart"/>
                  <w:vAlign w:val="center"/>
                </w:tcPr>
                <w:p>
                  <w:pPr>
                    <w:snapToGrid w:val="0"/>
                    <w:jc w:val="center"/>
                    <w:rPr>
                      <w:rFonts w:ascii="Times New Roman" w:hAnsi="Times New Roman" w:eastAsia="宋体"/>
                    </w:rPr>
                  </w:pPr>
                  <w:r>
                    <w:rPr>
                      <w:rFonts w:ascii="Times New Roman" w:hAnsi="Times New Roman" w:eastAsia="宋体"/>
                    </w:rPr>
                    <w:t>332</w:t>
                  </w:r>
                  <w:r>
                    <w:rPr>
                      <w:rFonts w:hint="eastAsia" w:ascii="Times New Roman" w:hAnsi="Times New Roman" w:eastAsia="宋体"/>
                    </w:rPr>
                    <w:t>g</w:t>
                  </w:r>
                  <w:r>
                    <w:rPr>
                      <w:rFonts w:ascii="Times New Roman" w:hAnsi="Times New Roman" w:eastAsia="宋体"/>
                    </w:rPr>
                    <w:t>/L</w:t>
                  </w:r>
                </w:p>
              </w:tc>
              <w:tc>
                <w:tcPr>
                  <w:tcW w:w="1147" w:type="pct"/>
                  <w:vMerge w:val="restart"/>
                  <w:vAlign w:val="center"/>
                </w:tcPr>
                <w:p>
                  <w:pPr>
                    <w:snapToGrid w:val="0"/>
                    <w:jc w:val="center"/>
                    <w:rPr>
                      <w:rFonts w:ascii="Times New Roman" w:hAnsi="Times New Roman" w:eastAsia="宋体"/>
                    </w:rPr>
                  </w:pPr>
                  <w:r>
                    <w:rPr>
                      <w:rFonts w:hint="eastAsia"/>
                    </w:rPr>
                    <w:t>附件8：质检报告</w:t>
                  </w:r>
                </w:p>
                <w:p>
                  <w:pPr>
                    <w:snapToGrid w:val="0"/>
                    <w:jc w:val="center"/>
                    <w:rPr>
                      <w:rFonts w:ascii="Times New Roman" w:hAnsi="Times New Roman" w:eastAsia="宋体"/>
                    </w:rPr>
                  </w:pPr>
                  <w:r>
                    <w:rPr>
                      <w:rFonts w:hint="eastAsia"/>
                    </w:rPr>
                    <w:t>附件8：质检报告</w:t>
                  </w:r>
                </w:p>
              </w:tc>
              <w:tc>
                <w:tcPr>
                  <w:tcW w:w="428" w:type="pct"/>
                  <w:vAlign w:val="center"/>
                </w:tcPr>
                <w:p>
                  <w:pPr>
                    <w:snapToGrid w:val="0"/>
                    <w:jc w:val="center"/>
                    <w:rPr>
                      <w:rFonts w:ascii="Times New Roman" w:hAnsi="Times New Roman" w:eastAsia="宋体"/>
                      <w:lang w:bidi="zh-CN"/>
                    </w:rPr>
                  </w:pPr>
                  <w:r>
                    <w:rPr>
                      <w:rFonts w:ascii="Times New Roman" w:hAnsi="Times New Roman" w:eastAsia="宋体"/>
                      <w:lang w:bidi="zh-CN"/>
                    </w:rPr>
                    <w:t>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62" w:type="pct"/>
                  <w:vMerge w:val="continue"/>
                  <w:vAlign w:val="center"/>
                </w:tcPr>
                <w:p>
                  <w:pPr>
                    <w:snapToGrid w:val="0"/>
                    <w:jc w:val="center"/>
                    <w:rPr>
                      <w:rFonts w:ascii="Times New Roman" w:hAnsi="Times New Roman" w:eastAsia="宋体" w:cs="Times New Roman"/>
                      <w:kern w:val="0"/>
                    </w:rPr>
                  </w:pPr>
                </w:p>
              </w:tc>
              <w:tc>
                <w:tcPr>
                  <w:tcW w:w="682" w:type="pct"/>
                  <w:vMerge w:val="continue"/>
                  <w:vAlign w:val="center"/>
                </w:tcPr>
                <w:p>
                  <w:pPr>
                    <w:snapToGrid w:val="0"/>
                    <w:jc w:val="center"/>
                    <w:rPr>
                      <w:rFonts w:ascii="Times New Roman" w:hAnsi="Times New Roman" w:eastAsia="宋体"/>
                      <w:lang w:bidi="zh-CN"/>
                    </w:rPr>
                  </w:pPr>
                </w:p>
              </w:tc>
              <w:tc>
                <w:tcPr>
                  <w:tcW w:w="547" w:type="pct"/>
                  <w:vMerge w:val="continue"/>
                </w:tcPr>
                <w:p>
                  <w:pPr>
                    <w:snapToGrid w:val="0"/>
                    <w:jc w:val="center"/>
                    <w:rPr>
                      <w:rFonts w:ascii="Times New Roman" w:hAnsi="Times New Roman" w:eastAsia="宋体"/>
                      <w:lang w:bidi="zh-CN"/>
                    </w:rPr>
                  </w:pPr>
                </w:p>
              </w:tc>
              <w:tc>
                <w:tcPr>
                  <w:tcW w:w="705"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二甲苯</w:t>
                  </w:r>
                </w:p>
              </w:tc>
              <w:tc>
                <w:tcPr>
                  <w:tcW w:w="528" w:type="pct"/>
                  <w:vMerge w:val="continue"/>
                  <w:vAlign w:val="center"/>
                </w:tcPr>
                <w:p>
                  <w:pPr>
                    <w:snapToGrid w:val="0"/>
                    <w:jc w:val="center"/>
                    <w:rPr>
                      <w:rFonts w:ascii="Times New Roman" w:hAnsi="Times New Roman" w:eastAsia="宋体"/>
                    </w:rPr>
                  </w:pPr>
                </w:p>
              </w:tc>
              <w:tc>
                <w:tcPr>
                  <w:tcW w:w="1147" w:type="pct"/>
                  <w:vMerge w:val="continue"/>
                  <w:vAlign w:val="center"/>
                </w:tcPr>
                <w:p>
                  <w:pPr>
                    <w:snapToGrid w:val="0"/>
                    <w:jc w:val="center"/>
                    <w:rPr>
                      <w:rFonts w:ascii="Times New Roman" w:hAnsi="Times New Roman" w:eastAsia="宋体"/>
                    </w:rPr>
                  </w:pPr>
                </w:p>
              </w:tc>
              <w:tc>
                <w:tcPr>
                  <w:tcW w:w="428" w:type="pct"/>
                  <w:vAlign w:val="center"/>
                </w:tcPr>
                <w:p>
                  <w:pPr>
                    <w:snapToGrid w:val="0"/>
                    <w:jc w:val="center"/>
                    <w:rPr>
                      <w:rFonts w:ascii="Times New Roman" w:hAnsi="Times New Roman" w:eastAsia="宋体"/>
                      <w:lang w:bidi="zh-CN"/>
                    </w:rPr>
                  </w:pPr>
                  <w:r>
                    <w:rPr>
                      <w:rFonts w:ascii="Times New Roman" w:hAnsi="Times New Roman" w:eastAsia="宋体"/>
                      <w:lang w:bidi="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62" w:type="pct"/>
                  <w:vMerge w:val="restart"/>
                  <w:vAlign w:val="center"/>
                </w:tcPr>
                <w:p>
                  <w:pPr>
                    <w:snapToGrid w:val="0"/>
                    <w:jc w:val="center"/>
                    <w:rPr>
                      <w:rFonts w:ascii="Times New Roman" w:hAnsi="Times New Roman" w:eastAsia="宋体" w:cs="Times New Roman"/>
                      <w:kern w:val="0"/>
                    </w:rPr>
                  </w:pPr>
                  <w:r>
                    <w:rPr>
                      <w:rFonts w:hint="eastAsia" w:ascii="Times New Roman" w:hAnsi="Times New Roman" w:eastAsia="宋体" w:cs="Times New Roman"/>
                      <w:kern w:val="0"/>
                    </w:rPr>
                    <w:t>油性底漆（含固化剂）</w:t>
                  </w:r>
                </w:p>
              </w:tc>
              <w:tc>
                <w:tcPr>
                  <w:tcW w:w="682" w:type="pct"/>
                  <w:vMerge w:val="restar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0</w:t>
                  </w:r>
                  <w:r>
                    <w:rPr>
                      <w:rFonts w:ascii="Times New Roman" w:hAnsi="Times New Roman" w:eastAsia="宋体"/>
                      <w:lang w:bidi="zh-CN"/>
                    </w:rPr>
                    <w:t>.9</w:t>
                  </w:r>
                </w:p>
              </w:tc>
              <w:tc>
                <w:tcPr>
                  <w:tcW w:w="547" w:type="pct"/>
                  <w:vMerge w:val="restar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1</w:t>
                  </w:r>
                  <w:r>
                    <w:rPr>
                      <w:rFonts w:ascii="Times New Roman" w:hAnsi="Times New Roman" w:eastAsia="宋体"/>
                      <w:lang w:bidi="zh-CN"/>
                    </w:rPr>
                    <w:t>.2</w:t>
                  </w:r>
                </w:p>
              </w:tc>
              <w:tc>
                <w:tcPr>
                  <w:tcW w:w="705"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非甲烷总烃</w:t>
                  </w:r>
                </w:p>
              </w:tc>
              <w:tc>
                <w:tcPr>
                  <w:tcW w:w="528" w:type="pct"/>
                  <w:vMerge w:val="restart"/>
                  <w:vAlign w:val="center"/>
                </w:tcPr>
                <w:p>
                  <w:pPr>
                    <w:snapToGrid w:val="0"/>
                    <w:jc w:val="center"/>
                    <w:rPr>
                      <w:rFonts w:ascii="Times New Roman" w:hAnsi="Times New Roman" w:eastAsia="宋体"/>
                    </w:rPr>
                  </w:pPr>
                  <w:r>
                    <w:rPr>
                      <w:rFonts w:ascii="Times New Roman" w:hAnsi="Times New Roman" w:eastAsia="宋体"/>
                    </w:rPr>
                    <w:t>321g/L</w:t>
                  </w:r>
                </w:p>
              </w:tc>
              <w:tc>
                <w:tcPr>
                  <w:tcW w:w="1147" w:type="pct"/>
                  <w:vMerge w:val="restart"/>
                  <w:vAlign w:val="center"/>
                </w:tcPr>
                <w:p>
                  <w:pPr>
                    <w:snapToGrid w:val="0"/>
                    <w:jc w:val="center"/>
                    <w:rPr>
                      <w:rFonts w:ascii="Times New Roman" w:hAnsi="Times New Roman" w:eastAsia="宋体"/>
                    </w:rPr>
                  </w:pPr>
                  <w:r>
                    <w:rPr>
                      <w:rFonts w:hint="eastAsia"/>
                    </w:rPr>
                    <w:t>附件9：质检报告，其中二甲苯根据成分比例计算（</w:t>
                  </w:r>
                  <w:r>
                    <w:t>280</w:t>
                  </w:r>
                  <w:r>
                    <w:rPr>
                      <w:rFonts w:hint="eastAsia"/>
                    </w:rPr>
                    <w:t>g</w:t>
                  </w:r>
                  <w:r>
                    <w:t>/L</w:t>
                  </w:r>
                  <w:r>
                    <w:rPr>
                      <w:rFonts w:hint="eastAsia"/>
                    </w:rPr>
                    <w:t>）</w:t>
                  </w:r>
                </w:p>
              </w:tc>
              <w:tc>
                <w:tcPr>
                  <w:tcW w:w="428" w:type="pct"/>
                  <w:vAlign w:val="center"/>
                </w:tcPr>
                <w:p>
                  <w:pPr>
                    <w:snapToGrid w:val="0"/>
                    <w:jc w:val="center"/>
                    <w:rPr>
                      <w:rFonts w:ascii="Times New Roman" w:hAnsi="Times New Roman" w:eastAsia="宋体"/>
                      <w:lang w:bidi="zh-CN"/>
                    </w:rPr>
                  </w:pPr>
                  <w:r>
                    <w:rPr>
                      <w:rFonts w:ascii="Times New Roman" w:hAnsi="Times New Roman" w:eastAsia="宋体"/>
                      <w:lang w:bidi="zh-CN"/>
                    </w:rPr>
                    <w:t>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62" w:type="pct"/>
                  <w:vMerge w:val="continue"/>
                  <w:vAlign w:val="center"/>
                </w:tcPr>
                <w:p>
                  <w:pPr>
                    <w:snapToGrid w:val="0"/>
                    <w:jc w:val="center"/>
                    <w:rPr>
                      <w:rFonts w:ascii="Times New Roman" w:hAnsi="Times New Roman" w:eastAsia="宋体" w:cs="Times New Roman"/>
                      <w:kern w:val="0"/>
                    </w:rPr>
                  </w:pPr>
                </w:p>
              </w:tc>
              <w:tc>
                <w:tcPr>
                  <w:tcW w:w="682" w:type="pct"/>
                  <w:vMerge w:val="continue"/>
                  <w:vAlign w:val="center"/>
                </w:tcPr>
                <w:p>
                  <w:pPr>
                    <w:snapToGrid w:val="0"/>
                    <w:jc w:val="center"/>
                    <w:rPr>
                      <w:rFonts w:ascii="Times New Roman" w:hAnsi="Times New Roman" w:eastAsia="宋体"/>
                      <w:lang w:bidi="zh-CN"/>
                    </w:rPr>
                  </w:pPr>
                </w:p>
              </w:tc>
              <w:tc>
                <w:tcPr>
                  <w:tcW w:w="547" w:type="pct"/>
                  <w:vMerge w:val="continue"/>
                </w:tcPr>
                <w:p>
                  <w:pPr>
                    <w:snapToGrid w:val="0"/>
                    <w:jc w:val="center"/>
                    <w:rPr>
                      <w:rFonts w:ascii="Times New Roman" w:hAnsi="Times New Roman" w:eastAsia="宋体"/>
                      <w:lang w:bidi="zh-CN"/>
                    </w:rPr>
                  </w:pPr>
                </w:p>
              </w:tc>
              <w:tc>
                <w:tcPr>
                  <w:tcW w:w="705"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二甲苯</w:t>
                  </w:r>
                </w:p>
              </w:tc>
              <w:tc>
                <w:tcPr>
                  <w:tcW w:w="528" w:type="pct"/>
                  <w:vMerge w:val="continue"/>
                  <w:vAlign w:val="center"/>
                </w:tcPr>
                <w:p>
                  <w:pPr>
                    <w:snapToGrid w:val="0"/>
                    <w:jc w:val="center"/>
                    <w:rPr>
                      <w:rFonts w:ascii="Times New Roman" w:hAnsi="Times New Roman" w:eastAsia="宋体"/>
                    </w:rPr>
                  </w:pPr>
                </w:p>
              </w:tc>
              <w:tc>
                <w:tcPr>
                  <w:tcW w:w="1147" w:type="pct"/>
                  <w:vMerge w:val="continue"/>
                  <w:vAlign w:val="center"/>
                </w:tcPr>
                <w:p>
                  <w:pPr>
                    <w:snapToGrid w:val="0"/>
                    <w:jc w:val="center"/>
                    <w:rPr>
                      <w:rFonts w:ascii="Times New Roman" w:hAnsi="Times New Roman" w:eastAsia="宋体"/>
                    </w:rPr>
                  </w:pPr>
                </w:p>
              </w:tc>
              <w:tc>
                <w:tcPr>
                  <w:tcW w:w="428" w:type="pct"/>
                  <w:vAlign w:val="center"/>
                </w:tcPr>
                <w:p>
                  <w:pPr>
                    <w:snapToGrid w:val="0"/>
                    <w:jc w:val="center"/>
                    <w:rPr>
                      <w:rFonts w:ascii="Times New Roman" w:hAnsi="Times New Roman" w:eastAsia="宋体"/>
                      <w:lang w:bidi="zh-CN"/>
                    </w:rPr>
                  </w:pPr>
                  <w:r>
                    <w:rPr>
                      <w:rFonts w:ascii="Times New Roman" w:hAnsi="Times New Roman" w:eastAsia="宋体"/>
                      <w:lang w:bidi="zh-CN"/>
                    </w:rPr>
                    <w:t>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62" w:type="pct"/>
                  <w:vAlign w:val="center"/>
                </w:tcPr>
                <w:p>
                  <w:pPr>
                    <w:snapToGrid w:val="0"/>
                    <w:jc w:val="center"/>
                    <w:rPr>
                      <w:rFonts w:ascii="Times New Roman" w:hAnsi="Times New Roman" w:eastAsia="宋体"/>
                    </w:rPr>
                  </w:pPr>
                  <w:r>
                    <w:rPr>
                      <w:rFonts w:hint="eastAsia" w:ascii="Times New Roman" w:hAnsi="Times New Roman" w:eastAsia="宋体"/>
                    </w:rPr>
                    <w:t>水性漆</w:t>
                  </w:r>
                </w:p>
              </w:tc>
              <w:tc>
                <w:tcPr>
                  <w:tcW w:w="682"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6</w:t>
                  </w:r>
                  <w:r>
                    <w:rPr>
                      <w:rFonts w:ascii="Times New Roman" w:hAnsi="Times New Roman" w:eastAsia="宋体"/>
                      <w:lang w:bidi="zh-CN"/>
                    </w:rPr>
                    <w:t>.5</w:t>
                  </w:r>
                </w:p>
              </w:tc>
              <w:tc>
                <w:tcPr>
                  <w:tcW w:w="547"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1</w:t>
                  </w:r>
                  <w:r>
                    <w:rPr>
                      <w:rFonts w:ascii="Times New Roman" w:hAnsi="Times New Roman" w:eastAsia="宋体"/>
                      <w:lang w:bidi="zh-CN"/>
                    </w:rPr>
                    <w:t>.005</w:t>
                  </w:r>
                </w:p>
              </w:tc>
              <w:tc>
                <w:tcPr>
                  <w:tcW w:w="705"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非甲烷总烃</w:t>
                  </w:r>
                </w:p>
              </w:tc>
              <w:tc>
                <w:tcPr>
                  <w:tcW w:w="528" w:type="pct"/>
                  <w:vAlign w:val="center"/>
                </w:tcPr>
                <w:p>
                  <w:pPr>
                    <w:snapToGrid w:val="0"/>
                    <w:jc w:val="center"/>
                    <w:rPr>
                      <w:rFonts w:ascii="Times New Roman" w:hAnsi="Times New Roman" w:eastAsia="宋体"/>
                      <w:lang w:bidi="zh-CN"/>
                    </w:rPr>
                  </w:pPr>
                  <w:r>
                    <w:rPr>
                      <w:rFonts w:ascii="Times New Roman" w:hAnsi="Times New Roman" w:eastAsia="宋体"/>
                    </w:rPr>
                    <w:t>144g/L</w:t>
                  </w:r>
                </w:p>
              </w:tc>
              <w:tc>
                <w:tcPr>
                  <w:tcW w:w="1147" w:type="pct"/>
                  <w:vAlign w:val="center"/>
                </w:tcPr>
                <w:p>
                  <w:pPr>
                    <w:snapToGrid w:val="0"/>
                    <w:jc w:val="center"/>
                    <w:rPr>
                      <w:rFonts w:ascii="Times New Roman" w:hAnsi="Times New Roman" w:eastAsia="宋体"/>
                      <w:lang w:bidi="zh-CN"/>
                    </w:rPr>
                  </w:pPr>
                  <w:r>
                    <w:rPr>
                      <w:rFonts w:hint="eastAsia"/>
                    </w:rPr>
                    <w:t>附件7：质检报告</w:t>
                  </w:r>
                </w:p>
              </w:tc>
              <w:tc>
                <w:tcPr>
                  <w:tcW w:w="428" w:type="pct"/>
                  <w:vAlign w:val="center"/>
                </w:tcPr>
                <w:p>
                  <w:pPr>
                    <w:snapToGrid w:val="0"/>
                    <w:jc w:val="center"/>
                    <w:rPr>
                      <w:rFonts w:ascii="Times New Roman" w:hAnsi="Times New Roman" w:eastAsia="宋体"/>
                      <w:lang w:bidi="zh-CN"/>
                    </w:rPr>
                  </w:pPr>
                  <w:r>
                    <w:rPr>
                      <w:rFonts w:ascii="Times New Roman" w:hAnsi="Times New Roman" w:eastAsia="宋体"/>
                      <w:lang w:bidi="zh-CN"/>
                    </w:rPr>
                    <w:t>0.931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2" w:type="pct"/>
                  <w:gridSpan w:val="6"/>
                </w:tcPr>
                <w:p>
                  <w:pPr>
                    <w:snapToGrid w:val="0"/>
                    <w:jc w:val="center"/>
                    <w:rPr>
                      <w:rFonts w:ascii="Times New Roman" w:hAnsi="Times New Roman" w:eastAsia="宋体"/>
                      <w:b/>
                      <w:bCs/>
                      <w:lang w:bidi="zh-CN"/>
                    </w:rPr>
                  </w:pPr>
                  <w:r>
                    <w:rPr>
                      <w:rFonts w:hint="eastAsia" w:ascii="Times New Roman" w:hAnsi="Times New Roman" w:eastAsia="宋体"/>
                      <w:b/>
                      <w:bCs/>
                      <w:lang w:bidi="zh-CN"/>
                    </w:rPr>
                    <w:t>挥发性有机废气产生量合计</w:t>
                  </w:r>
                </w:p>
              </w:tc>
              <w:tc>
                <w:tcPr>
                  <w:tcW w:w="428" w:type="pct"/>
                  <w:vAlign w:val="center"/>
                </w:tcPr>
                <w:p>
                  <w:pPr>
                    <w:snapToGrid w:val="0"/>
                    <w:jc w:val="center"/>
                    <w:rPr>
                      <w:rFonts w:ascii="Times New Roman" w:hAnsi="Times New Roman" w:eastAsia="宋体"/>
                      <w:b/>
                      <w:bCs/>
                      <w:lang w:bidi="zh-CN"/>
                    </w:rPr>
                  </w:pPr>
                  <w:r>
                    <w:rPr>
                      <w:rFonts w:ascii="Times New Roman" w:hAnsi="Times New Roman" w:eastAsia="宋体"/>
                      <w:b/>
                      <w:bCs/>
                      <w:lang w:bidi="zh-CN"/>
                    </w:rPr>
                    <w:t>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jc w:val="center"/>
                    <w:rPr>
                      <w:rFonts w:ascii="Times New Roman" w:hAnsi="Times New Roman" w:eastAsia="宋体"/>
                    </w:rPr>
                  </w:pPr>
                  <w:r>
                    <w:rPr>
                      <w:rFonts w:hint="eastAsia" w:ascii="Times New Roman" w:hAnsi="Times New Roman" w:eastAsia="宋体"/>
                    </w:rPr>
                    <w:t>涂料</w:t>
                  </w:r>
                </w:p>
              </w:tc>
              <w:tc>
                <w:tcPr>
                  <w:tcW w:w="682"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除清洗剂外共计</w:t>
                  </w:r>
                  <w:r>
                    <w:rPr>
                      <w:rFonts w:ascii="Times New Roman" w:hAnsi="Times New Roman" w:eastAsia="宋体"/>
                      <w:lang w:bidi="zh-CN"/>
                    </w:rPr>
                    <w:t>11.154t/a</w:t>
                  </w:r>
                </w:p>
              </w:tc>
              <w:tc>
                <w:tcPr>
                  <w:tcW w:w="547"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w:t>
                  </w:r>
                </w:p>
              </w:tc>
              <w:tc>
                <w:tcPr>
                  <w:tcW w:w="705" w:type="pct"/>
                  <w:vAlign w:val="center"/>
                </w:tcPr>
                <w:p>
                  <w:pPr>
                    <w:snapToGrid w:val="0"/>
                    <w:jc w:val="center"/>
                    <w:rPr>
                      <w:rFonts w:ascii="Times New Roman" w:hAnsi="Times New Roman" w:eastAsia="宋体"/>
                      <w:lang w:bidi="zh-CN"/>
                    </w:rPr>
                  </w:pPr>
                  <w:r>
                    <w:rPr>
                      <w:rFonts w:hint="eastAsia" w:ascii="Times New Roman" w:hAnsi="Times New Roman" w:eastAsia="宋体"/>
                      <w:lang w:bidi="zh-CN"/>
                    </w:rPr>
                    <w:t>雾状颗粒</w:t>
                  </w:r>
                </w:p>
              </w:tc>
              <w:tc>
                <w:tcPr>
                  <w:tcW w:w="1675" w:type="pct"/>
                  <w:gridSpan w:val="2"/>
                  <w:vAlign w:val="center"/>
                </w:tcPr>
                <w:p>
                  <w:pPr>
                    <w:snapToGrid w:val="0"/>
                    <w:rPr>
                      <w:rFonts w:ascii="Times New Roman" w:hAnsi="Times New Roman" w:eastAsia="宋体"/>
                    </w:rPr>
                  </w:pPr>
                  <w:r>
                    <w:rPr>
                      <w:rFonts w:hint="eastAsia" w:ascii="Times New Roman" w:hAnsi="Times New Roman" w:eastAsia="宋体"/>
                    </w:rPr>
                    <w:t>通过物料衡算计算</w:t>
                  </w:r>
                </w:p>
              </w:tc>
              <w:tc>
                <w:tcPr>
                  <w:tcW w:w="428" w:type="pct"/>
                  <w:vAlign w:val="center"/>
                </w:tcPr>
                <w:p>
                  <w:pPr>
                    <w:snapToGrid w:val="0"/>
                    <w:jc w:val="center"/>
                    <w:rPr>
                      <w:rFonts w:ascii="Times New Roman" w:hAnsi="Times New Roman" w:eastAsia="宋体"/>
                      <w:lang w:bidi="zh-CN"/>
                    </w:rPr>
                  </w:pPr>
                  <w:r>
                    <w:rPr>
                      <w:rFonts w:ascii="Times New Roman" w:hAnsi="Times New Roman" w:eastAsia="宋体"/>
                      <w:lang w:bidi="zh-CN"/>
                    </w:rPr>
                    <w:t>0.764</w:t>
                  </w:r>
                </w:p>
              </w:tc>
            </w:tr>
          </w:tbl>
          <w:p>
            <w:pPr>
              <w:tabs>
                <w:tab w:val="left" w:pos="0"/>
              </w:tabs>
              <w:spacing w:line="360" w:lineRule="auto"/>
              <w:ind w:firstLine="480" w:firstLineChars="200"/>
              <w:rPr>
                <w:rFonts w:ascii="Times New Roman" w:hAnsi="Times New Roman" w:eastAsia="宋体"/>
                <w:sz w:val="24"/>
              </w:rPr>
            </w:pPr>
            <w:r>
              <w:rPr>
                <w:rFonts w:ascii="Times New Roman" w:hAnsi="Times New Roman" w:eastAsia="宋体"/>
                <w:sz w:val="24"/>
              </w:rPr>
              <w:t>项目喷漆间正常工作时呈负压状态，根据《喷漆工序有机废气源强的估算比较》（梁栋，长沙有色冶金设计研究院有限公司），非甲烷总烃的产</w:t>
            </w:r>
            <w:r>
              <w:rPr>
                <w:rFonts w:hint="eastAsia" w:ascii="Times New Roman" w:hAnsi="Times New Roman" w:eastAsia="宋体"/>
                <w:sz w:val="24"/>
              </w:rPr>
              <w:t>生比例</w:t>
            </w:r>
            <w:r>
              <w:rPr>
                <w:rFonts w:ascii="Times New Roman" w:hAnsi="Times New Roman" w:eastAsia="宋体"/>
                <w:sz w:val="24"/>
              </w:rPr>
              <w:t>情况大致为：喷漆过程70%，</w:t>
            </w:r>
            <w:r>
              <w:rPr>
                <w:rFonts w:hint="eastAsia" w:ascii="Times New Roman" w:hAnsi="Times New Roman" w:eastAsia="宋体"/>
                <w:sz w:val="24"/>
              </w:rPr>
              <w:t>烘干</w:t>
            </w:r>
            <w:r>
              <w:rPr>
                <w:rFonts w:ascii="Times New Roman" w:hAnsi="Times New Roman" w:eastAsia="宋体"/>
                <w:sz w:val="24"/>
              </w:rPr>
              <w:t>过程30%。喷漆与烘干</w:t>
            </w:r>
            <w:r>
              <w:rPr>
                <w:rFonts w:hint="eastAsia" w:ascii="Times New Roman" w:hAnsi="Times New Roman" w:eastAsia="宋体"/>
                <w:sz w:val="24"/>
              </w:rPr>
              <w:t>产生的漆雾、有机废气通过干式过滤器+吸附</w:t>
            </w:r>
            <w:r>
              <w:rPr>
                <w:rFonts w:ascii="Times New Roman" w:hAnsi="Times New Roman" w:eastAsia="宋体"/>
                <w:sz w:val="24"/>
              </w:rPr>
              <w:t>脱附催化燃烧废气处理装置</w:t>
            </w:r>
            <w:r>
              <w:rPr>
                <w:rFonts w:hint="eastAsia" w:ascii="Times New Roman" w:hAnsi="Times New Roman" w:eastAsia="宋体"/>
                <w:sz w:val="24"/>
              </w:rPr>
              <w:t>处理由</w:t>
            </w:r>
            <w:r>
              <w:rPr>
                <w:rFonts w:ascii="Times New Roman" w:hAnsi="Times New Roman" w:eastAsia="宋体"/>
                <w:sz w:val="24"/>
              </w:rPr>
              <w:t>2#17m</w:t>
            </w:r>
            <w:r>
              <w:rPr>
                <w:rFonts w:hint="eastAsia" w:ascii="Times New Roman" w:hAnsi="Times New Roman" w:eastAsia="宋体"/>
                <w:sz w:val="24"/>
              </w:rPr>
              <w:t>排气筒排放。</w:t>
            </w:r>
          </w:p>
          <w:p>
            <w:pPr>
              <w:tabs>
                <w:tab w:val="left" w:pos="0"/>
              </w:tabs>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活性炭的选择：水分含量≤10%，抗压强度&gt;1.0MPa，</w:t>
            </w:r>
            <w:r>
              <w:rPr>
                <w:rFonts w:ascii="Times New Roman" w:hAnsi="Times New Roman" w:eastAsia="宋体" w:cs="Times New Roman"/>
                <w:sz w:val="24"/>
              </w:rPr>
              <w:t>碘吸附值800mg/g</w:t>
            </w:r>
            <w:r>
              <w:rPr>
                <w:rFonts w:hint="eastAsia" w:ascii="Times New Roman" w:hAnsi="Times New Roman" w:eastAsia="宋体" w:cs="Times New Roman"/>
                <w:sz w:val="24"/>
              </w:rPr>
              <w:t>，四氯化碳吸附率&gt;30%、着火点≥400℃，比表面积≥750m</w:t>
            </w:r>
            <w:r>
              <w:rPr>
                <w:rFonts w:hint="eastAsia" w:ascii="Times New Roman" w:hAnsi="Times New Roman" w:eastAsia="宋体" w:cs="Times New Roman"/>
                <w:sz w:val="24"/>
                <w:vertAlign w:val="superscript"/>
              </w:rPr>
              <w:t>2</w:t>
            </w:r>
            <w:r>
              <w:rPr>
                <w:rFonts w:hint="eastAsia" w:ascii="Times New Roman" w:hAnsi="Times New Roman" w:eastAsia="宋体" w:cs="Times New Roman"/>
                <w:sz w:val="24"/>
              </w:rPr>
              <w:t>/g。吸附温度：进入吸附装置的废气温度宜低于40℃。</w:t>
            </w:r>
          </w:p>
          <w:p>
            <w:pPr>
              <w:pStyle w:val="71"/>
              <w:rPr>
                <w:color w:val="auto"/>
              </w:rPr>
            </w:pPr>
            <w:r>
              <w:rPr>
                <w:rFonts w:hint="eastAsia"/>
                <w:color w:val="auto"/>
              </w:rPr>
              <w:t>表</w:t>
            </w:r>
            <w:r>
              <w:rPr>
                <w:color w:val="auto"/>
              </w:rPr>
              <w:t xml:space="preserve">4-7  </w:t>
            </w:r>
            <w:r>
              <w:rPr>
                <w:rFonts w:hint="eastAsia"/>
                <w:color w:val="auto"/>
              </w:rPr>
              <w:t>本</w:t>
            </w:r>
            <w:r>
              <w:rPr>
                <w:color w:val="auto"/>
              </w:rPr>
              <w:t>项目废气排放</w:t>
            </w:r>
            <w:r>
              <w:rPr>
                <w:rFonts w:hint="eastAsia"/>
                <w:color w:val="auto"/>
              </w:rPr>
              <w:t>基本</w:t>
            </w:r>
            <w:r>
              <w:rPr>
                <w:color w:val="auto"/>
              </w:rPr>
              <w:t>情况一览表</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854"/>
              <w:gridCol w:w="709"/>
              <w:gridCol w:w="852"/>
              <w:gridCol w:w="628"/>
              <w:gridCol w:w="583"/>
              <w:gridCol w:w="691"/>
              <w:gridCol w:w="741"/>
              <w:gridCol w:w="823"/>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4" w:type="pct"/>
                  <w:vMerge w:val="restart"/>
                  <w:vAlign w:val="center"/>
                </w:tcPr>
                <w:p>
                  <w:pPr>
                    <w:adjustRightInd w:val="0"/>
                    <w:snapToGrid w:val="0"/>
                    <w:spacing w:line="0" w:lineRule="atLeast"/>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污染物</w:t>
                  </w:r>
                </w:p>
              </w:tc>
              <w:tc>
                <w:tcPr>
                  <w:tcW w:w="530" w:type="pct"/>
                  <w:vMerge w:val="restart"/>
                  <w:vAlign w:val="center"/>
                </w:tcPr>
                <w:p>
                  <w:pPr>
                    <w:adjustRightInd w:val="0"/>
                    <w:snapToGrid w:val="0"/>
                    <w:spacing w:line="0" w:lineRule="atLeast"/>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处理措施</w:t>
                  </w:r>
                </w:p>
              </w:tc>
              <w:tc>
                <w:tcPr>
                  <w:tcW w:w="3595" w:type="pct"/>
                  <w:gridSpan w:val="8"/>
                  <w:vAlign w:val="center"/>
                </w:tcPr>
                <w:p>
                  <w:pPr>
                    <w:adjustRightInd w:val="0"/>
                    <w:snapToGrid w:val="0"/>
                    <w:spacing w:line="0" w:lineRule="atLeast"/>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排放口基本情况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4" w:type="pct"/>
                  <w:vMerge w:val="continue"/>
                  <w:vAlign w:val="center"/>
                </w:tcPr>
                <w:p>
                  <w:pPr>
                    <w:adjustRightInd w:val="0"/>
                    <w:snapToGrid w:val="0"/>
                    <w:spacing w:line="0" w:lineRule="atLeast"/>
                    <w:jc w:val="center"/>
                    <w:rPr>
                      <w:rFonts w:ascii="Times New Roman" w:hAnsi="Times New Roman" w:eastAsia="宋体" w:cs="Times New Roman"/>
                      <w:b/>
                      <w:bCs/>
                      <w:sz w:val="18"/>
                      <w:szCs w:val="18"/>
                    </w:rPr>
                  </w:pPr>
                </w:p>
              </w:tc>
              <w:tc>
                <w:tcPr>
                  <w:tcW w:w="530" w:type="pct"/>
                  <w:vMerge w:val="continue"/>
                  <w:vAlign w:val="center"/>
                </w:tcPr>
                <w:p>
                  <w:pPr>
                    <w:adjustRightInd w:val="0"/>
                    <w:snapToGrid w:val="0"/>
                    <w:spacing w:line="0" w:lineRule="atLeast"/>
                    <w:jc w:val="center"/>
                    <w:rPr>
                      <w:rFonts w:ascii="Times New Roman" w:hAnsi="Times New Roman" w:eastAsia="宋体" w:cs="Times New Roman"/>
                      <w:b/>
                      <w:bCs/>
                      <w:sz w:val="18"/>
                      <w:szCs w:val="18"/>
                    </w:rPr>
                  </w:pPr>
                </w:p>
              </w:tc>
              <w:tc>
                <w:tcPr>
                  <w:tcW w:w="440" w:type="pct"/>
                  <w:vAlign w:val="center"/>
                </w:tcPr>
                <w:p>
                  <w:pPr>
                    <w:adjustRightInd w:val="0"/>
                    <w:snapToGrid w:val="0"/>
                    <w:spacing w:line="0" w:lineRule="atLeast"/>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名称</w:t>
                  </w:r>
                </w:p>
              </w:tc>
              <w:tc>
                <w:tcPr>
                  <w:tcW w:w="529" w:type="pct"/>
                  <w:vAlign w:val="center"/>
                </w:tcPr>
                <w:p>
                  <w:pPr>
                    <w:pStyle w:val="76"/>
                    <w:adjustRightInd w:val="0"/>
                    <w:snapToGrid w:val="0"/>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排放口编号</w:t>
                  </w:r>
                </w:p>
              </w:tc>
              <w:tc>
                <w:tcPr>
                  <w:tcW w:w="390" w:type="pct"/>
                  <w:vAlign w:val="center"/>
                </w:tcPr>
                <w:p>
                  <w:pPr>
                    <w:adjustRightInd w:val="0"/>
                    <w:snapToGrid w:val="0"/>
                    <w:spacing w:line="0" w:lineRule="atLeast"/>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高度</w:t>
                  </w:r>
                </w:p>
              </w:tc>
              <w:tc>
                <w:tcPr>
                  <w:tcW w:w="362" w:type="pct"/>
                  <w:vAlign w:val="center"/>
                </w:tcPr>
                <w:p>
                  <w:pPr>
                    <w:adjustRightInd w:val="0"/>
                    <w:snapToGrid w:val="0"/>
                    <w:spacing w:line="0" w:lineRule="atLeast"/>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内径</w:t>
                  </w:r>
                </w:p>
              </w:tc>
              <w:tc>
                <w:tcPr>
                  <w:tcW w:w="429" w:type="pct"/>
                  <w:vAlign w:val="center"/>
                </w:tcPr>
                <w:p>
                  <w:pPr>
                    <w:adjustRightInd w:val="0"/>
                    <w:snapToGrid w:val="0"/>
                    <w:spacing w:line="0" w:lineRule="atLeast"/>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温度</w:t>
                  </w:r>
                </w:p>
              </w:tc>
              <w:tc>
                <w:tcPr>
                  <w:tcW w:w="460" w:type="pct"/>
                  <w:vAlign w:val="center"/>
                </w:tcPr>
                <w:p>
                  <w:pPr>
                    <w:adjustRightInd w:val="0"/>
                    <w:snapToGrid w:val="0"/>
                    <w:spacing w:line="0" w:lineRule="atLeast"/>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材质</w:t>
                  </w:r>
                </w:p>
              </w:tc>
              <w:tc>
                <w:tcPr>
                  <w:tcW w:w="985" w:type="pct"/>
                  <w:gridSpan w:val="2"/>
                  <w:vAlign w:val="center"/>
                </w:tcPr>
                <w:p>
                  <w:pPr>
                    <w:adjustRightInd w:val="0"/>
                    <w:snapToGrid w:val="0"/>
                    <w:spacing w:line="0" w:lineRule="atLeast"/>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地理坐标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4" w:type="pct"/>
                  <w:vAlign w:val="center"/>
                </w:tcPr>
                <w:p>
                  <w:pPr>
                    <w:adjustRightInd w:val="0"/>
                    <w:snapToGrid w:val="0"/>
                    <w:spacing w:line="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喷砂、抛丸、打磨粉尘（颗粒物）</w:t>
                  </w:r>
                </w:p>
              </w:tc>
              <w:tc>
                <w:tcPr>
                  <w:tcW w:w="530" w:type="pct"/>
                  <w:vAlign w:val="center"/>
                </w:tcPr>
                <w:p>
                  <w:pPr>
                    <w:adjustRightInd w:val="0"/>
                    <w:snapToGrid w:val="0"/>
                    <w:spacing w:line="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脉冲除尘器</w:t>
                  </w:r>
                </w:p>
              </w:tc>
              <w:tc>
                <w:tcPr>
                  <w:tcW w:w="440" w:type="pct"/>
                  <w:vAlign w:val="center"/>
                </w:tcPr>
                <w:p>
                  <w:pPr>
                    <w:adjustRightInd w:val="0"/>
                    <w:snapToGrid w:val="0"/>
                    <w:spacing w:line="0" w:lineRule="atLeast"/>
                    <w:jc w:val="center"/>
                    <w:rPr>
                      <w:rFonts w:ascii="Times New Roman" w:hAnsi="Times New Roman" w:eastAsia="宋体" w:cs="Times New Roman"/>
                      <w:b/>
                      <w:bCs/>
                      <w:sz w:val="18"/>
                      <w:szCs w:val="18"/>
                    </w:rPr>
                  </w:pPr>
                  <w:r>
                    <w:rPr>
                      <w:rFonts w:ascii="Times New Roman" w:hAnsi="Times New Roman" w:eastAsia="宋体"/>
                      <w:sz w:val="18"/>
                      <w:szCs w:val="18"/>
                      <w:lang w:bidi="zh-CN"/>
                    </w:rPr>
                    <w:t>17</w:t>
                  </w:r>
                  <w:r>
                    <w:rPr>
                      <w:rFonts w:hint="eastAsia" w:ascii="Times New Roman" w:hAnsi="Times New Roman" w:eastAsia="宋体"/>
                      <w:sz w:val="18"/>
                      <w:szCs w:val="18"/>
                      <w:lang w:bidi="zh-CN"/>
                    </w:rPr>
                    <w:t>m排气筒</w:t>
                  </w:r>
                </w:p>
              </w:tc>
              <w:tc>
                <w:tcPr>
                  <w:tcW w:w="529" w:type="pct"/>
                  <w:vAlign w:val="center"/>
                </w:tcPr>
                <w:p>
                  <w:pPr>
                    <w:pStyle w:val="76"/>
                    <w:adjustRightInd w:val="0"/>
                    <w:snapToGrid w:val="0"/>
                    <w:rPr>
                      <w:rFonts w:hint="default" w:ascii="Times New Roman" w:hAnsi="Times New Roman" w:eastAsia="宋体"/>
                      <w:kern w:val="2"/>
                      <w:sz w:val="18"/>
                      <w:szCs w:val="18"/>
                      <w:lang w:bidi="zh-CN"/>
                    </w:rPr>
                  </w:pPr>
                  <w:r>
                    <w:rPr>
                      <w:rFonts w:ascii="Times New Roman" w:hAnsi="Times New Roman" w:eastAsia="宋体"/>
                      <w:sz w:val="18"/>
                      <w:szCs w:val="18"/>
                      <w:lang w:bidi="zh-CN"/>
                    </w:rPr>
                    <w:t>DA0</w:t>
                  </w:r>
                  <w:r>
                    <w:rPr>
                      <w:rFonts w:hint="default" w:ascii="Times New Roman" w:hAnsi="Times New Roman" w:eastAsia="宋体"/>
                      <w:sz w:val="18"/>
                      <w:szCs w:val="18"/>
                      <w:lang w:bidi="zh-CN"/>
                    </w:rPr>
                    <w:t>01</w:t>
                  </w:r>
                </w:p>
              </w:tc>
              <w:tc>
                <w:tcPr>
                  <w:tcW w:w="390" w:type="pct"/>
                  <w:vAlign w:val="center"/>
                </w:tcPr>
                <w:p>
                  <w:pPr>
                    <w:adjustRightInd w:val="0"/>
                    <w:snapToGrid w:val="0"/>
                    <w:spacing w:line="0" w:lineRule="atLeast"/>
                    <w:jc w:val="center"/>
                    <w:rPr>
                      <w:rFonts w:ascii="Times New Roman" w:hAnsi="Times New Roman" w:eastAsia="宋体" w:cs="Times New Roman"/>
                      <w:b/>
                      <w:bCs/>
                      <w:sz w:val="18"/>
                      <w:szCs w:val="18"/>
                    </w:rPr>
                  </w:pPr>
                  <w:r>
                    <w:rPr>
                      <w:rFonts w:ascii="Times New Roman" w:hAnsi="Times New Roman" w:eastAsia="宋体"/>
                      <w:sz w:val="18"/>
                      <w:szCs w:val="18"/>
                      <w:lang w:bidi="zh-CN"/>
                    </w:rPr>
                    <w:t>17m</w:t>
                  </w:r>
                </w:p>
              </w:tc>
              <w:tc>
                <w:tcPr>
                  <w:tcW w:w="362" w:type="pct"/>
                  <w:vAlign w:val="center"/>
                </w:tcPr>
                <w:p>
                  <w:pPr>
                    <w:adjustRightInd w:val="0"/>
                    <w:snapToGrid w:val="0"/>
                    <w:spacing w:line="0" w:lineRule="atLeast"/>
                    <w:jc w:val="center"/>
                    <w:rPr>
                      <w:rFonts w:ascii="Times New Roman" w:hAnsi="Times New Roman" w:eastAsia="宋体" w:cs="Times New Roman"/>
                      <w:b/>
                      <w:bCs/>
                      <w:sz w:val="18"/>
                      <w:szCs w:val="18"/>
                    </w:rPr>
                  </w:pPr>
                  <w:r>
                    <w:rPr>
                      <w:rFonts w:ascii="Times New Roman" w:hAnsi="Times New Roman" w:eastAsia="宋体"/>
                      <w:sz w:val="18"/>
                      <w:szCs w:val="18"/>
                      <w:lang w:bidi="zh-CN"/>
                    </w:rPr>
                    <w:t>0.4</w:t>
                  </w:r>
                  <w:r>
                    <w:rPr>
                      <w:rFonts w:hint="eastAsia" w:ascii="Times New Roman" w:hAnsi="Times New Roman" w:eastAsia="宋体"/>
                      <w:sz w:val="18"/>
                      <w:szCs w:val="18"/>
                      <w:lang w:bidi="zh-CN"/>
                    </w:rPr>
                    <w:t>m</w:t>
                  </w:r>
                </w:p>
              </w:tc>
              <w:tc>
                <w:tcPr>
                  <w:tcW w:w="429" w:type="pct"/>
                  <w:vAlign w:val="center"/>
                </w:tcPr>
                <w:p>
                  <w:pPr>
                    <w:adjustRightInd w:val="0"/>
                    <w:snapToGrid w:val="0"/>
                    <w:spacing w:line="0" w:lineRule="atLeast"/>
                    <w:jc w:val="center"/>
                    <w:rPr>
                      <w:rFonts w:ascii="Times New Roman" w:hAnsi="Times New Roman" w:eastAsia="宋体" w:cs="Times New Roman"/>
                      <w:b/>
                      <w:bCs/>
                      <w:sz w:val="18"/>
                      <w:szCs w:val="18"/>
                    </w:rPr>
                  </w:pPr>
                  <w:r>
                    <w:rPr>
                      <w:rFonts w:hint="eastAsia" w:ascii="Times New Roman" w:hAnsi="Times New Roman" w:eastAsia="宋体"/>
                      <w:sz w:val="18"/>
                      <w:szCs w:val="18"/>
                      <w:lang w:bidi="zh-CN"/>
                    </w:rPr>
                    <w:t>2</w:t>
                  </w:r>
                  <w:r>
                    <w:rPr>
                      <w:rFonts w:ascii="Times New Roman" w:hAnsi="Times New Roman" w:eastAsia="宋体"/>
                      <w:sz w:val="18"/>
                      <w:szCs w:val="18"/>
                      <w:lang w:bidi="zh-CN"/>
                    </w:rPr>
                    <w:t>0</w:t>
                  </w:r>
                  <w:r>
                    <w:rPr>
                      <w:rFonts w:hint="eastAsia" w:ascii="Times New Roman" w:hAnsi="Times New Roman" w:eastAsia="宋体"/>
                      <w:sz w:val="18"/>
                      <w:szCs w:val="18"/>
                      <w:lang w:bidi="zh-CN"/>
                    </w:rPr>
                    <w:t>℃</w:t>
                  </w:r>
                </w:p>
              </w:tc>
              <w:tc>
                <w:tcPr>
                  <w:tcW w:w="460" w:type="pct"/>
                  <w:vAlign w:val="center"/>
                </w:tcPr>
                <w:p>
                  <w:pPr>
                    <w:adjustRightInd w:val="0"/>
                    <w:snapToGrid w:val="0"/>
                    <w:spacing w:line="0" w:lineRule="atLeast"/>
                    <w:jc w:val="center"/>
                    <w:rPr>
                      <w:rFonts w:ascii="Times New Roman" w:hAnsi="Times New Roman" w:eastAsia="宋体" w:cs="Times New Roman"/>
                      <w:b/>
                      <w:bCs/>
                      <w:sz w:val="18"/>
                      <w:szCs w:val="18"/>
                    </w:rPr>
                  </w:pPr>
                  <w:r>
                    <w:rPr>
                      <w:rFonts w:hint="eastAsia" w:ascii="Times New Roman" w:hAnsi="Times New Roman" w:eastAsia="宋体"/>
                      <w:sz w:val="18"/>
                      <w:szCs w:val="18"/>
                      <w:lang w:bidi="zh-CN"/>
                    </w:rPr>
                    <w:t>管材</w:t>
                  </w:r>
                </w:p>
              </w:tc>
              <w:tc>
                <w:tcPr>
                  <w:tcW w:w="511" w:type="pct"/>
                  <w:vAlign w:val="center"/>
                </w:tcPr>
                <w:p>
                  <w:pPr>
                    <w:adjustRightInd w:val="0"/>
                    <w:snapToGrid w:val="0"/>
                    <w:spacing w:line="0" w:lineRule="atLeast"/>
                    <w:jc w:val="center"/>
                    <w:rPr>
                      <w:rFonts w:ascii="Times New Roman" w:hAnsi="Times New Roman" w:eastAsia="宋体"/>
                      <w:sz w:val="18"/>
                      <w:szCs w:val="18"/>
                      <w:lang w:bidi="zh-CN"/>
                    </w:rPr>
                  </w:pPr>
                  <w:r>
                    <w:rPr>
                      <w:rFonts w:ascii="Times New Roman" w:hAnsi="Times New Roman" w:eastAsia="宋体"/>
                      <w:sz w:val="18"/>
                      <w:szCs w:val="18"/>
                      <w:lang w:bidi="zh-CN"/>
                    </w:rPr>
                    <w:t>E109.27</w:t>
                  </w:r>
                </w:p>
                <w:p>
                  <w:pPr>
                    <w:adjustRightInd w:val="0"/>
                    <w:snapToGrid w:val="0"/>
                    <w:spacing w:line="0" w:lineRule="atLeast"/>
                    <w:jc w:val="center"/>
                    <w:rPr>
                      <w:rFonts w:ascii="Times New Roman" w:hAnsi="Times New Roman" w:eastAsia="宋体"/>
                      <w:sz w:val="18"/>
                      <w:szCs w:val="18"/>
                      <w:lang w:bidi="zh-CN"/>
                    </w:rPr>
                  </w:pPr>
                  <w:r>
                    <w:rPr>
                      <w:rFonts w:ascii="Times New Roman" w:hAnsi="Times New Roman" w:eastAsia="宋体"/>
                      <w:sz w:val="18"/>
                      <w:szCs w:val="18"/>
                      <w:lang w:bidi="zh-CN"/>
                    </w:rPr>
                    <w:t>1181</w:t>
                  </w:r>
                  <w:r>
                    <w:rPr>
                      <w:rFonts w:hint="eastAsia" w:ascii="Times New Roman" w:hAnsi="Times New Roman" w:eastAsia="宋体"/>
                      <w:sz w:val="18"/>
                      <w:szCs w:val="18"/>
                      <w:lang w:bidi="zh-CN"/>
                    </w:rPr>
                    <w:t>°</w:t>
                  </w:r>
                </w:p>
              </w:tc>
              <w:tc>
                <w:tcPr>
                  <w:tcW w:w="474" w:type="pct"/>
                  <w:vAlign w:val="center"/>
                </w:tcPr>
                <w:p>
                  <w:pPr>
                    <w:adjustRightInd w:val="0"/>
                    <w:snapToGrid w:val="0"/>
                    <w:spacing w:line="0" w:lineRule="atLeast"/>
                    <w:jc w:val="center"/>
                    <w:rPr>
                      <w:rFonts w:ascii="Times New Roman" w:hAnsi="Times New Roman" w:eastAsia="宋体"/>
                      <w:sz w:val="18"/>
                      <w:szCs w:val="18"/>
                      <w:lang w:bidi="zh-CN"/>
                    </w:rPr>
                  </w:pPr>
                  <w:r>
                    <w:rPr>
                      <w:rFonts w:ascii="Times New Roman" w:hAnsi="Times New Roman" w:eastAsia="宋体"/>
                      <w:sz w:val="18"/>
                      <w:szCs w:val="18"/>
                      <w:lang w:bidi="zh-CN"/>
                    </w:rPr>
                    <w:t>N34.19</w:t>
                  </w:r>
                </w:p>
                <w:p>
                  <w:pPr>
                    <w:adjustRightInd w:val="0"/>
                    <w:snapToGrid w:val="0"/>
                    <w:spacing w:line="0" w:lineRule="atLeast"/>
                    <w:jc w:val="center"/>
                    <w:rPr>
                      <w:rFonts w:ascii="Times New Roman" w:hAnsi="Times New Roman" w:eastAsia="宋体"/>
                      <w:sz w:val="18"/>
                      <w:szCs w:val="18"/>
                      <w:lang w:bidi="zh-CN"/>
                    </w:rPr>
                  </w:pPr>
                  <w:r>
                    <w:rPr>
                      <w:rFonts w:ascii="Times New Roman" w:hAnsi="Times New Roman" w:eastAsia="宋体"/>
                      <w:sz w:val="18"/>
                      <w:szCs w:val="18"/>
                      <w:lang w:bidi="zh-CN"/>
                    </w:rPr>
                    <w:t>9859</w:t>
                  </w:r>
                  <w:r>
                    <w:rPr>
                      <w:rFonts w:hint="eastAsia" w:ascii="Times New Roman" w:hAnsi="Times New Roman" w:eastAsia="宋体"/>
                      <w:sz w:val="18"/>
                      <w:szCs w:val="18"/>
                      <w:lang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74" w:type="pct"/>
                  <w:vAlign w:val="center"/>
                </w:tcPr>
                <w:p>
                  <w:pPr>
                    <w:adjustRightInd w:val="0"/>
                    <w:snapToGrid w:val="0"/>
                    <w:spacing w:line="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清理、配料、喷涂、烘干废气（雾状颗粒、非甲烷总烃、二甲苯）</w:t>
                  </w:r>
                </w:p>
              </w:tc>
              <w:tc>
                <w:tcPr>
                  <w:tcW w:w="530" w:type="pct"/>
                  <w:vAlign w:val="center"/>
                </w:tcPr>
                <w:p>
                  <w:pPr>
                    <w:adjustRightInd w:val="0"/>
                    <w:snapToGrid w:val="0"/>
                    <w:spacing w:line="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干式过滤器+吸附脱附催化燃烧废气处理装置</w:t>
                  </w:r>
                </w:p>
              </w:tc>
              <w:tc>
                <w:tcPr>
                  <w:tcW w:w="440" w:type="pct"/>
                  <w:vAlign w:val="center"/>
                </w:tcPr>
                <w:p>
                  <w:pPr>
                    <w:adjustRightInd w:val="0"/>
                    <w:snapToGrid w:val="0"/>
                    <w:spacing w:line="0" w:lineRule="atLeast"/>
                    <w:jc w:val="center"/>
                    <w:rPr>
                      <w:rFonts w:ascii="Times New Roman" w:hAnsi="Times New Roman" w:eastAsia="宋体"/>
                      <w:sz w:val="18"/>
                      <w:szCs w:val="18"/>
                      <w:lang w:bidi="zh-CN"/>
                    </w:rPr>
                  </w:pPr>
                  <w:r>
                    <w:rPr>
                      <w:rFonts w:ascii="Times New Roman" w:hAnsi="Times New Roman" w:eastAsia="宋体"/>
                      <w:sz w:val="18"/>
                      <w:szCs w:val="18"/>
                      <w:lang w:bidi="zh-CN"/>
                    </w:rPr>
                    <w:t>17</w:t>
                  </w:r>
                  <w:r>
                    <w:rPr>
                      <w:rFonts w:hint="eastAsia" w:ascii="Times New Roman" w:hAnsi="Times New Roman" w:eastAsia="宋体"/>
                      <w:sz w:val="18"/>
                      <w:szCs w:val="18"/>
                      <w:lang w:bidi="zh-CN"/>
                    </w:rPr>
                    <w:t>m排气筒</w:t>
                  </w:r>
                </w:p>
              </w:tc>
              <w:tc>
                <w:tcPr>
                  <w:tcW w:w="529" w:type="pct"/>
                  <w:vAlign w:val="center"/>
                </w:tcPr>
                <w:p>
                  <w:pPr>
                    <w:pStyle w:val="76"/>
                    <w:adjustRightInd w:val="0"/>
                    <w:snapToGrid w:val="0"/>
                    <w:rPr>
                      <w:rFonts w:hint="default" w:ascii="Times New Roman" w:hAnsi="Times New Roman" w:eastAsia="宋体"/>
                      <w:sz w:val="18"/>
                      <w:szCs w:val="18"/>
                      <w:lang w:bidi="zh-CN"/>
                    </w:rPr>
                  </w:pPr>
                  <w:r>
                    <w:rPr>
                      <w:rFonts w:ascii="Times New Roman" w:hAnsi="Times New Roman" w:eastAsia="宋体"/>
                      <w:sz w:val="18"/>
                      <w:szCs w:val="18"/>
                      <w:lang w:bidi="zh-CN"/>
                    </w:rPr>
                    <w:t>DA0</w:t>
                  </w:r>
                  <w:r>
                    <w:rPr>
                      <w:rFonts w:hint="default" w:ascii="Times New Roman" w:hAnsi="Times New Roman" w:eastAsia="宋体"/>
                      <w:sz w:val="18"/>
                      <w:szCs w:val="18"/>
                      <w:lang w:bidi="zh-CN"/>
                    </w:rPr>
                    <w:t>02</w:t>
                  </w:r>
                </w:p>
              </w:tc>
              <w:tc>
                <w:tcPr>
                  <w:tcW w:w="390" w:type="pct"/>
                  <w:vAlign w:val="center"/>
                </w:tcPr>
                <w:p>
                  <w:pPr>
                    <w:adjustRightInd w:val="0"/>
                    <w:snapToGrid w:val="0"/>
                    <w:spacing w:line="0" w:lineRule="atLeast"/>
                    <w:jc w:val="center"/>
                    <w:rPr>
                      <w:rFonts w:ascii="Times New Roman" w:hAnsi="Times New Roman" w:eastAsia="宋体"/>
                      <w:sz w:val="18"/>
                      <w:szCs w:val="18"/>
                      <w:lang w:bidi="zh-CN"/>
                    </w:rPr>
                  </w:pPr>
                  <w:r>
                    <w:rPr>
                      <w:rFonts w:ascii="Times New Roman" w:hAnsi="Times New Roman" w:eastAsia="宋体"/>
                      <w:sz w:val="18"/>
                      <w:szCs w:val="18"/>
                      <w:lang w:bidi="zh-CN"/>
                    </w:rPr>
                    <w:t>17m</w:t>
                  </w:r>
                </w:p>
              </w:tc>
              <w:tc>
                <w:tcPr>
                  <w:tcW w:w="362" w:type="pct"/>
                  <w:vAlign w:val="center"/>
                </w:tcPr>
                <w:p>
                  <w:pPr>
                    <w:adjustRightInd w:val="0"/>
                    <w:snapToGrid w:val="0"/>
                    <w:spacing w:line="0" w:lineRule="atLeast"/>
                    <w:jc w:val="center"/>
                    <w:rPr>
                      <w:rFonts w:ascii="Times New Roman" w:hAnsi="Times New Roman" w:eastAsia="宋体"/>
                      <w:sz w:val="18"/>
                      <w:szCs w:val="18"/>
                      <w:lang w:bidi="zh-CN"/>
                    </w:rPr>
                  </w:pPr>
                  <w:r>
                    <w:rPr>
                      <w:rFonts w:ascii="Times New Roman" w:hAnsi="Times New Roman" w:eastAsia="宋体"/>
                      <w:sz w:val="18"/>
                      <w:szCs w:val="18"/>
                      <w:lang w:bidi="zh-CN"/>
                    </w:rPr>
                    <w:t>0.6</w:t>
                  </w:r>
                  <w:r>
                    <w:rPr>
                      <w:rFonts w:hint="eastAsia" w:ascii="Times New Roman" w:hAnsi="Times New Roman" w:eastAsia="宋体"/>
                      <w:sz w:val="18"/>
                      <w:szCs w:val="18"/>
                      <w:lang w:bidi="zh-CN"/>
                    </w:rPr>
                    <w:t>m</w:t>
                  </w:r>
                </w:p>
              </w:tc>
              <w:tc>
                <w:tcPr>
                  <w:tcW w:w="429" w:type="pct"/>
                  <w:vAlign w:val="center"/>
                </w:tcPr>
                <w:p>
                  <w:pPr>
                    <w:adjustRightInd w:val="0"/>
                    <w:snapToGrid w:val="0"/>
                    <w:spacing w:line="0" w:lineRule="atLeast"/>
                    <w:jc w:val="center"/>
                    <w:rPr>
                      <w:rFonts w:ascii="Times New Roman" w:hAnsi="Times New Roman" w:eastAsia="宋体"/>
                      <w:sz w:val="18"/>
                      <w:szCs w:val="18"/>
                      <w:lang w:bidi="zh-CN"/>
                    </w:rPr>
                  </w:pPr>
                  <w:r>
                    <w:rPr>
                      <w:rFonts w:hint="eastAsia" w:ascii="Times New Roman" w:hAnsi="Times New Roman" w:eastAsia="宋体"/>
                      <w:sz w:val="18"/>
                      <w:szCs w:val="18"/>
                      <w:lang w:bidi="zh-CN"/>
                    </w:rPr>
                    <w:t>2</w:t>
                  </w:r>
                  <w:r>
                    <w:rPr>
                      <w:rFonts w:ascii="Times New Roman" w:hAnsi="Times New Roman" w:eastAsia="宋体"/>
                      <w:sz w:val="18"/>
                      <w:szCs w:val="18"/>
                      <w:lang w:bidi="zh-CN"/>
                    </w:rPr>
                    <w:t>0</w:t>
                  </w:r>
                  <w:r>
                    <w:rPr>
                      <w:rFonts w:hint="eastAsia" w:ascii="Times New Roman" w:hAnsi="Times New Roman" w:eastAsia="宋体"/>
                      <w:sz w:val="18"/>
                      <w:szCs w:val="18"/>
                      <w:lang w:bidi="zh-CN"/>
                    </w:rPr>
                    <w:t>℃</w:t>
                  </w:r>
                </w:p>
              </w:tc>
              <w:tc>
                <w:tcPr>
                  <w:tcW w:w="460" w:type="pct"/>
                  <w:vAlign w:val="center"/>
                </w:tcPr>
                <w:p>
                  <w:pPr>
                    <w:adjustRightInd w:val="0"/>
                    <w:snapToGrid w:val="0"/>
                    <w:spacing w:line="0" w:lineRule="atLeast"/>
                    <w:jc w:val="center"/>
                    <w:rPr>
                      <w:rFonts w:ascii="Times New Roman" w:hAnsi="Times New Roman" w:eastAsia="宋体"/>
                      <w:sz w:val="18"/>
                      <w:szCs w:val="18"/>
                      <w:lang w:bidi="zh-CN"/>
                    </w:rPr>
                  </w:pPr>
                  <w:r>
                    <w:rPr>
                      <w:rFonts w:hint="eastAsia" w:ascii="Times New Roman" w:hAnsi="Times New Roman" w:eastAsia="宋体"/>
                      <w:sz w:val="18"/>
                      <w:szCs w:val="18"/>
                      <w:lang w:bidi="zh-CN"/>
                    </w:rPr>
                    <w:t>管材</w:t>
                  </w:r>
                </w:p>
              </w:tc>
              <w:tc>
                <w:tcPr>
                  <w:tcW w:w="511" w:type="pct"/>
                  <w:vAlign w:val="center"/>
                </w:tcPr>
                <w:p>
                  <w:pPr>
                    <w:adjustRightInd w:val="0"/>
                    <w:snapToGrid w:val="0"/>
                    <w:spacing w:line="0" w:lineRule="atLeast"/>
                    <w:jc w:val="center"/>
                    <w:rPr>
                      <w:rFonts w:ascii="Times New Roman" w:hAnsi="Times New Roman" w:eastAsia="宋体"/>
                      <w:sz w:val="18"/>
                      <w:szCs w:val="18"/>
                      <w:lang w:bidi="zh-CN"/>
                    </w:rPr>
                  </w:pPr>
                  <w:r>
                    <w:rPr>
                      <w:rFonts w:ascii="Times New Roman" w:hAnsi="Times New Roman" w:eastAsia="宋体"/>
                      <w:sz w:val="18"/>
                      <w:szCs w:val="18"/>
                      <w:lang w:bidi="zh-CN"/>
                    </w:rPr>
                    <w:t>E109.27</w:t>
                  </w:r>
                </w:p>
                <w:p>
                  <w:pPr>
                    <w:adjustRightInd w:val="0"/>
                    <w:snapToGrid w:val="0"/>
                    <w:spacing w:line="0" w:lineRule="atLeast"/>
                    <w:jc w:val="center"/>
                    <w:rPr>
                      <w:rFonts w:ascii="Times New Roman" w:hAnsi="Times New Roman" w:eastAsia="宋体"/>
                      <w:sz w:val="18"/>
                      <w:szCs w:val="18"/>
                      <w:lang w:bidi="zh-CN"/>
                    </w:rPr>
                  </w:pPr>
                  <w:r>
                    <w:rPr>
                      <w:rFonts w:ascii="Times New Roman" w:hAnsi="Times New Roman" w:eastAsia="宋体"/>
                      <w:sz w:val="18"/>
                      <w:szCs w:val="18"/>
                      <w:lang w:bidi="zh-CN"/>
                    </w:rPr>
                    <w:t>1313</w:t>
                  </w:r>
                  <w:r>
                    <w:rPr>
                      <w:rFonts w:hint="eastAsia" w:ascii="Times New Roman" w:hAnsi="Times New Roman" w:eastAsia="宋体"/>
                      <w:sz w:val="18"/>
                      <w:szCs w:val="18"/>
                      <w:lang w:bidi="zh-CN"/>
                    </w:rPr>
                    <w:t>°</w:t>
                  </w:r>
                </w:p>
              </w:tc>
              <w:tc>
                <w:tcPr>
                  <w:tcW w:w="474" w:type="pct"/>
                  <w:vAlign w:val="center"/>
                </w:tcPr>
                <w:p>
                  <w:pPr>
                    <w:adjustRightInd w:val="0"/>
                    <w:snapToGrid w:val="0"/>
                    <w:spacing w:line="0" w:lineRule="atLeast"/>
                    <w:jc w:val="center"/>
                    <w:rPr>
                      <w:rFonts w:ascii="Times New Roman" w:hAnsi="Times New Roman" w:eastAsia="宋体"/>
                      <w:sz w:val="18"/>
                      <w:szCs w:val="18"/>
                      <w:lang w:bidi="zh-CN"/>
                    </w:rPr>
                  </w:pPr>
                  <w:r>
                    <w:rPr>
                      <w:rFonts w:ascii="Times New Roman" w:hAnsi="Times New Roman" w:eastAsia="宋体"/>
                      <w:sz w:val="18"/>
                      <w:szCs w:val="18"/>
                      <w:lang w:bidi="zh-CN"/>
                    </w:rPr>
                    <w:t>N34.19</w:t>
                  </w:r>
                </w:p>
                <w:p>
                  <w:pPr>
                    <w:adjustRightInd w:val="0"/>
                    <w:snapToGrid w:val="0"/>
                    <w:spacing w:line="0" w:lineRule="atLeast"/>
                    <w:jc w:val="center"/>
                    <w:rPr>
                      <w:rFonts w:ascii="Times New Roman" w:hAnsi="Times New Roman" w:eastAsia="宋体"/>
                      <w:sz w:val="18"/>
                      <w:szCs w:val="18"/>
                      <w:lang w:bidi="zh-CN"/>
                    </w:rPr>
                  </w:pPr>
                  <w:r>
                    <w:rPr>
                      <w:rFonts w:ascii="Times New Roman" w:hAnsi="Times New Roman" w:eastAsia="宋体"/>
                      <w:sz w:val="18"/>
                      <w:szCs w:val="18"/>
                      <w:lang w:bidi="zh-CN"/>
                    </w:rPr>
                    <w:t>9825</w:t>
                  </w:r>
                  <w:r>
                    <w:rPr>
                      <w:rFonts w:hint="eastAsia" w:ascii="Times New Roman" w:hAnsi="Times New Roman" w:eastAsia="宋体"/>
                      <w:sz w:val="18"/>
                      <w:szCs w:val="18"/>
                      <w:lang w:bidi="zh-CN"/>
                    </w:rPr>
                    <w:t>°</w:t>
                  </w:r>
                </w:p>
              </w:tc>
            </w:tr>
          </w:tbl>
          <w:p>
            <w:pPr>
              <w:adjustRightInd w:val="0"/>
              <w:snapToGrid w:val="0"/>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有机废气处理设施可行性分析：</w:t>
            </w:r>
          </w:p>
          <w:p>
            <w:pPr>
              <w:adjustRightInd w:val="0"/>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项目</w:t>
            </w:r>
            <w:r>
              <w:rPr>
                <w:rFonts w:hint="eastAsia" w:ascii="Times New Roman" w:hAnsi="Times New Roman" w:eastAsia="宋体" w:cs="Times New Roman"/>
                <w:sz w:val="24"/>
                <w:szCs w:val="24"/>
              </w:rPr>
              <w:t>清理、配料、喷涂、烘干废气采用干式过滤器+吸附脱附催化燃烧废气处理装置处理有组织排放，其中干式过滤器采用纸盒</w:t>
            </w:r>
            <w:r>
              <w:rPr>
                <w:rFonts w:ascii="Times New Roman" w:hAnsi="Times New Roman" w:eastAsia="宋体" w:cs="Times New Roman"/>
                <w:sz w:val="24"/>
                <w:szCs w:val="24"/>
              </w:rPr>
              <w:t>过滤系统</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具有高效、容量大、运行费用低、阻燃等特点</w:t>
            </w:r>
            <w:r>
              <w:rPr>
                <w:rFonts w:hint="eastAsia" w:ascii="Times New Roman" w:hAnsi="Times New Roman" w:eastAsia="宋体" w:cs="Times New Roman"/>
                <w:sz w:val="24"/>
                <w:szCs w:val="24"/>
              </w:rPr>
              <w:t>。</w:t>
            </w:r>
            <w:r>
              <w:rPr>
                <w:rFonts w:hint="eastAsia" w:ascii="Times New Roman" w:hAnsi="Times New Roman" w:eastAsia="宋体"/>
                <w:sz w:val="24"/>
                <w:szCs w:val="24"/>
              </w:rPr>
              <w:t>根据</w:t>
            </w:r>
            <w:r>
              <w:rPr>
                <w:rFonts w:hint="eastAsia" w:ascii="Times New Roman" w:hAnsi="Times New Roman" w:eastAsia="宋体" w:cs="Times New Roman"/>
                <w:sz w:val="24"/>
                <w:szCs w:val="24"/>
              </w:rPr>
              <w:t>《关于印发</w:t>
            </w:r>
            <w:r>
              <w:rPr>
                <w:rFonts w:ascii="Times New Roman" w:hAnsi="Times New Roman" w:eastAsia="宋体" w:cs="Times New Roman"/>
                <w:sz w:val="24"/>
                <w:szCs w:val="24"/>
              </w:rPr>
              <w:t>&lt;</w:t>
            </w:r>
            <w:r>
              <w:rPr>
                <w:rFonts w:hint="eastAsia" w:ascii="Times New Roman" w:hAnsi="Times New Roman" w:eastAsia="宋体" w:cs="Times New Roman"/>
                <w:sz w:val="24"/>
                <w:szCs w:val="24"/>
              </w:rPr>
              <w:t>重污染天气重点行业应急减排措施制定技术指南（</w:t>
            </w:r>
            <w:r>
              <w:rPr>
                <w:rFonts w:ascii="Times New Roman" w:hAnsi="Times New Roman" w:eastAsia="宋体" w:cs="Times New Roman"/>
                <w:sz w:val="24"/>
                <w:szCs w:val="24"/>
              </w:rPr>
              <w:t>2020</w:t>
            </w:r>
            <w:r>
              <w:rPr>
                <w:rFonts w:hint="eastAsia" w:ascii="Times New Roman" w:hAnsi="Times New Roman" w:eastAsia="宋体" w:cs="Times New Roman"/>
                <w:sz w:val="24"/>
                <w:szCs w:val="24"/>
              </w:rPr>
              <w:t>年修订版）</w:t>
            </w:r>
            <w:r>
              <w:rPr>
                <w:rFonts w:ascii="Times New Roman" w:hAnsi="Times New Roman" w:eastAsia="宋体" w:cs="Times New Roman"/>
                <w:sz w:val="24"/>
                <w:szCs w:val="24"/>
              </w:rPr>
              <w:t>&gt;</w:t>
            </w:r>
            <w:r>
              <w:rPr>
                <w:rFonts w:hint="eastAsia" w:ascii="Times New Roman" w:hAnsi="Times New Roman" w:eastAsia="宋体" w:cs="Times New Roman"/>
                <w:sz w:val="24"/>
                <w:szCs w:val="24"/>
              </w:rPr>
              <w:t>的函》（环办大气函</w:t>
            </w:r>
            <w:r>
              <w:rPr>
                <w:rFonts w:ascii="Times New Roman" w:hAnsi="Times New Roman" w:eastAsia="宋体" w:cs="Times New Roman"/>
                <w:sz w:val="24"/>
                <w:szCs w:val="24"/>
              </w:rPr>
              <w:t>[2020]340</w:t>
            </w:r>
            <w:r>
              <w:rPr>
                <w:rFonts w:hint="eastAsia" w:ascii="Times New Roman" w:hAnsi="Times New Roman" w:eastAsia="宋体" w:cs="Times New Roman"/>
                <w:sz w:val="24"/>
                <w:szCs w:val="24"/>
              </w:rPr>
              <w:t>号）中三十九、工业涂装，环保绩效</w:t>
            </w:r>
            <w:r>
              <w:rPr>
                <w:rFonts w:ascii="Times New Roman" w:hAnsi="Times New Roman" w:eastAsia="宋体" w:cs="Times New Roman"/>
                <w:sz w:val="24"/>
                <w:szCs w:val="24"/>
              </w:rPr>
              <w:t>B</w:t>
            </w:r>
            <w:r>
              <w:rPr>
                <w:rFonts w:hint="eastAsia" w:ascii="Times New Roman" w:hAnsi="Times New Roman" w:eastAsia="宋体" w:cs="Times New Roman"/>
                <w:sz w:val="24"/>
                <w:szCs w:val="24"/>
              </w:rPr>
              <w:t>级指标中要求：在连续一年的监测数据中，车间或生产设施排气简排放的NMHC为30-40mg/m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w:t>
            </w:r>
            <w:r>
              <w:rPr>
                <w:rFonts w:hint="eastAsia" w:ascii="Times New Roman" w:hAnsi="Times New Roman" w:eastAsia="宋体"/>
                <w:sz w:val="24"/>
                <w:szCs w:val="24"/>
              </w:rPr>
              <w:t>同时要求</w:t>
            </w:r>
            <w:r>
              <w:rPr>
                <w:rFonts w:hint="eastAsia" w:ascii="Times New Roman" w:hAnsi="Times New Roman" w:eastAsia="宋体" w:cs="Times New Roman"/>
                <w:sz w:val="24"/>
                <w:szCs w:val="24"/>
              </w:rPr>
              <w:t>使用高固体分涂料时，调漆、喷漆、流平、烘干、清洗等工序含VOCs废气采用吸附浓缩+燃烧、燃烧等治理技术，处理效率≥90%。本项目吸附脱附催化燃烧废气处理装置中活性炭吸附箱4组，装填厚度5层，4级活性炭吸附效率≥9</w:t>
            </w:r>
            <w:r>
              <w:rPr>
                <w:rFonts w:ascii="Times New Roman" w:hAnsi="Times New Roman" w:eastAsia="宋体" w:cs="Times New Roman"/>
                <w:sz w:val="24"/>
                <w:szCs w:val="24"/>
              </w:rPr>
              <w:t>0</w:t>
            </w:r>
            <w:r>
              <w:rPr>
                <w:rFonts w:hint="eastAsia" w:ascii="Times New Roman" w:hAnsi="Times New Roman" w:eastAsia="宋体" w:cs="Times New Roman"/>
                <w:sz w:val="24"/>
                <w:szCs w:val="24"/>
              </w:rPr>
              <w:t>%，当活性炭吸附饱和后再用热空气脱附使活性炭得到再生，脱附出浓缩的有机物被送往催化燃烧床进行催化燃烧，有机物被氧化成CO</w:t>
            </w:r>
            <w:r>
              <w:rPr>
                <w:rFonts w:hint="eastAsia" w:ascii="Times New Roman" w:hAnsi="Times New Roman" w:eastAsia="宋体" w:cs="Times New Roman"/>
                <w:sz w:val="24"/>
                <w:szCs w:val="24"/>
                <w:vertAlign w:val="subscript"/>
              </w:rPr>
              <w:t>2</w:t>
            </w:r>
            <w:r>
              <w:rPr>
                <w:rFonts w:hint="eastAsia" w:ascii="Times New Roman" w:hAnsi="Times New Roman" w:eastAsia="宋体" w:cs="Times New Roman"/>
                <w:sz w:val="24"/>
                <w:szCs w:val="24"/>
              </w:rPr>
              <w:t>、H</w:t>
            </w:r>
            <w:r>
              <w:rPr>
                <w:rFonts w:hint="eastAsia" w:ascii="Times New Roman" w:hAnsi="Times New Roman" w:eastAsia="宋体" w:cs="Times New Roman"/>
                <w:sz w:val="24"/>
                <w:szCs w:val="24"/>
                <w:vertAlign w:val="subscript"/>
              </w:rPr>
              <w:t>2</w:t>
            </w:r>
            <w:r>
              <w:rPr>
                <w:rFonts w:hint="eastAsia" w:ascii="Times New Roman" w:hAnsi="Times New Roman" w:eastAsia="宋体" w:cs="Times New Roman"/>
                <w:sz w:val="24"/>
                <w:szCs w:val="24"/>
              </w:rPr>
              <w:t>O和V</w:t>
            </w:r>
            <w:r>
              <w:rPr>
                <w:rFonts w:ascii="Times New Roman" w:hAnsi="Times New Roman" w:eastAsia="宋体" w:cs="Times New Roman"/>
                <w:sz w:val="24"/>
                <w:szCs w:val="24"/>
              </w:rPr>
              <w:t>OC</w:t>
            </w:r>
            <w:r>
              <w:rPr>
                <w:rFonts w:hint="eastAsia" w:ascii="Times New Roman" w:hAnsi="Times New Roman" w:eastAsia="宋体" w:cs="Times New Roman"/>
                <w:sz w:val="24"/>
                <w:szCs w:val="24"/>
              </w:rPr>
              <w:t>s，脱附时间2~</w:t>
            </w:r>
            <w:r>
              <w:rPr>
                <w:rFonts w:ascii="Times New Roman" w:hAnsi="Times New Roman" w:eastAsia="宋体" w:cs="Times New Roman"/>
                <w:sz w:val="24"/>
                <w:szCs w:val="24"/>
              </w:rPr>
              <w:t>3</w:t>
            </w:r>
            <w:r>
              <w:rPr>
                <w:rFonts w:hint="eastAsia" w:ascii="Times New Roman" w:hAnsi="Times New Roman" w:eastAsia="宋体" w:cs="Times New Roman"/>
                <w:sz w:val="24"/>
                <w:szCs w:val="24"/>
              </w:rPr>
              <w:t>h，1</w:t>
            </w:r>
            <w:r>
              <w:rPr>
                <w:rFonts w:ascii="Times New Roman" w:hAnsi="Times New Roman" w:eastAsia="宋体" w:cs="Times New Roman"/>
                <w:sz w:val="24"/>
                <w:szCs w:val="24"/>
              </w:rPr>
              <w:t>5</w:t>
            </w:r>
            <w:r>
              <w:rPr>
                <w:rFonts w:hint="eastAsia" w:ascii="Times New Roman" w:hAnsi="Times New Roman" w:eastAsia="宋体" w:cs="Times New Roman"/>
                <w:sz w:val="24"/>
                <w:szCs w:val="24"/>
              </w:rPr>
              <w:t>d脱附一次，采用电能将气体加热，催化剂采用贵金属催化剂（使用寿命约8</w:t>
            </w:r>
            <w:r>
              <w:rPr>
                <w:rFonts w:ascii="Times New Roman" w:hAnsi="Times New Roman" w:eastAsia="宋体" w:cs="Times New Roman"/>
                <w:sz w:val="24"/>
                <w:szCs w:val="24"/>
              </w:rPr>
              <w:t>000</w:t>
            </w:r>
            <w:r>
              <w:rPr>
                <w:rFonts w:hint="eastAsia" w:ascii="Times New Roman" w:hAnsi="Times New Roman" w:eastAsia="宋体" w:cs="Times New Roman"/>
                <w:sz w:val="24"/>
                <w:szCs w:val="24"/>
              </w:rPr>
              <w:t>h），</w:t>
            </w:r>
            <w:r>
              <w:rPr>
                <w:rFonts w:ascii="Times New Roman" w:hAnsi="Times New Roman" w:eastAsia="宋体" w:cs="Times New Roman"/>
                <w:sz w:val="24"/>
                <w:szCs w:val="24"/>
              </w:rPr>
              <w:t>单次燃烧时间约5h，催化燃烧装置年运行时间约95h</w:t>
            </w:r>
            <w:r>
              <w:rPr>
                <w:rFonts w:hint="eastAsia" w:ascii="Times New Roman" w:hAnsi="Times New Roman" w:eastAsia="宋体" w:cs="Times New Roman"/>
                <w:sz w:val="24"/>
                <w:szCs w:val="24"/>
              </w:rPr>
              <w:t>，</w:t>
            </w:r>
            <w:r>
              <w:rPr>
                <w:rFonts w:ascii="Times New Roman" w:hAnsi="Times New Roman" w:eastAsia="宋体" w:cs="Times New Roman"/>
                <w:sz w:val="24"/>
                <w:szCs w:val="24"/>
              </w:rPr>
              <w:t>去除效率≥9</w:t>
            </w:r>
            <w:r>
              <w:rPr>
                <w:rFonts w:hint="eastAsia" w:ascii="Times New Roman" w:hAnsi="Times New Roman" w:eastAsia="宋体" w:cs="Times New Roman"/>
                <w:sz w:val="24"/>
                <w:szCs w:val="24"/>
              </w:rPr>
              <w:t>8</w:t>
            </w:r>
            <w:r>
              <w:rPr>
                <w:rFonts w:ascii="Times New Roman" w:hAnsi="Times New Roman" w:eastAsia="宋体" w:cs="Times New Roman"/>
                <w:sz w:val="24"/>
                <w:szCs w:val="24"/>
              </w:rPr>
              <w:t>%</w:t>
            </w:r>
            <w:r>
              <w:rPr>
                <w:rFonts w:hint="eastAsia" w:ascii="Times New Roman" w:hAnsi="Times New Roman" w:eastAsia="宋体" w:cs="Times New Roman"/>
                <w:sz w:val="24"/>
                <w:szCs w:val="24"/>
              </w:rPr>
              <w:t>，综合吸附脱附催化燃烧废气处理装置处理效率可达90%，燃烧废气同负压收集后未吸附的有机废气一同由2#排气筒排放，经计算，项目非甲烷总烃处理后最高排放浓度为</w:t>
            </w:r>
            <w:r>
              <w:rPr>
                <w:rFonts w:ascii="Times New Roman" w:hAnsi="Times New Roman" w:eastAsia="宋体" w:cs="Times New Roman"/>
                <w:sz w:val="24"/>
                <w:szCs w:val="24"/>
              </w:rPr>
              <w:t>18.6</w:t>
            </w:r>
            <w:r>
              <w:rPr>
                <w:rFonts w:hint="eastAsia" w:ascii="Times New Roman" w:hAnsi="Times New Roman" w:eastAsia="宋体" w:cs="Times New Roman"/>
                <w:sz w:val="24"/>
                <w:szCs w:val="24"/>
              </w:rPr>
              <w:t>mg/m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，满足NMHC为30-40mg/m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要求、满足国家及地方标准要，项目因此有机废气处理设施可行。</w:t>
            </w:r>
          </w:p>
          <w:p>
            <w:pPr>
              <w:adjustRightInd w:val="0"/>
              <w:snapToGrid w:val="0"/>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排气筒设置合理性分析：</w:t>
            </w:r>
          </w:p>
          <w:p>
            <w:pPr>
              <w:adjustRightInd w:val="0"/>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D</w:t>
            </w:r>
            <w:r>
              <w:rPr>
                <w:rFonts w:ascii="Times New Roman" w:hAnsi="Times New Roman" w:eastAsia="宋体"/>
                <w:sz w:val="24"/>
                <w:szCs w:val="24"/>
              </w:rPr>
              <w:t>A001</w:t>
            </w:r>
            <w:r>
              <w:rPr>
                <w:rFonts w:hint="eastAsia" w:ascii="Times New Roman" w:hAnsi="Times New Roman" w:eastAsia="宋体"/>
                <w:sz w:val="24"/>
                <w:szCs w:val="24"/>
              </w:rPr>
              <w:t>、D</w:t>
            </w:r>
            <w:r>
              <w:rPr>
                <w:rFonts w:ascii="Times New Roman" w:hAnsi="Times New Roman" w:eastAsia="宋体"/>
                <w:sz w:val="24"/>
                <w:szCs w:val="24"/>
              </w:rPr>
              <w:t>A002</w:t>
            </w:r>
            <w:r>
              <w:rPr>
                <w:rFonts w:hint="eastAsia" w:ascii="Times New Roman" w:hAnsi="Times New Roman" w:eastAsia="宋体"/>
                <w:sz w:val="24"/>
                <w:szCs w:val="24"/>
              </w:rPr>
              <w:t>排气筒高度合理性分析：《大气污染物综合排放标准》（GB16297-1996）中要求：“排气筒应</w:t>
            </w:r>
            <w:r>
              <w:rPr>
                <w:rFonts w:ascii="Times New Roman" w:hAnsi="Times New Roman" w:eastAsia="宋体"/>
                <w:sz w:val="24"/>
                <w:szCs w:val="24"/>
              </w:rPr>
              <w:t>高出周围200米半径范围的建筑5m以上，不能达到要求的排气筒，应按其高度对应的表列排放速率标准值严格50%执行</w:t>
            </w:r>
            <w:r>
              <w:rPr>
                <w:rFonts w:hint="eastAsia" w:ascii="Times New Roman" w:hAnsi="Times New Roman" w:eastAsia="宋体"/>
                <w:sz w:val="24"/>
                <w:szCs w:val="24"/>
              </w:rPr>
              <w:t>”</w:t>
            </w:r>
            <w:r>
              <w:rPr>
                <w:rFonts w:ascii="Times New Roman" w:hAnsi="Times New Roman" w:eastAsia="宋体"/>
                <w:sz w:val="24"/>
                <w:szCs w:val="24"/>
              </w:rPr>
              <w:t>，本项目</w:t>
            </w:r>
            <w:r>
              <w:rPr>
                <w:rFonts w:hint="eastAsia" w:ascii="Times New Roman" w:hAnsi="Times New Roman" w:eastAsia="宋体"/>
                <w:sz w:val="24"/>
                <w:szCs w:val="24"/>
              </w:rPr>
              <w:t>2</w:t>
            </w:r>
            <w:r>
              <w:rPr>
                <w:rFonts w:ascii="Times New Roman" w:hAnsi="Times New Roman" w:eastAsia="宋体"/>
                <w:sz w:val="24"/>
                <w:szCs w:val="24"/>
              </w:rPr>
              <w:t>00</w:t>
            </w:r>
            <w:r>
              <w:rPr>
                <w:rFonts w:hint="eastAsia" w:ascii="Times New Roman" w:hAnsi="Times New Roman" w:eastAsia="宋体"/>
                <w:sz w:val="24"/>
                <w:szCs w:val="24"/>
              </w:rPr>
              <w:t>m范围内建筑最高</w:t>
            </w:r>
            <w:r>
              <w:rPr>
                <w:rFonts w:ascii="Times New Roman" w:hAnsi="Times New Roman" w:eastAsia="宋体"/>
                <w:sz w:val="24"/>
                <w:szCs w:val="24"/>
              </w:rPr>
              <w:t>12m，</w:t>
            </w:r>
            <w:r>
              <w:rPr>
                <w:rFonts w:hint="eastAsia" w:ascii="Times New Roman" w:hAnsi="Times New Roman" w:eastAsia="宋体"/>
                <w:sz w:val="24"/>
                <w:szCs w:val="24"/>
              </w:rPr>
              <w:t>本项目</w:t>
            </w:r>
            <w:r>
              <w:rPr>
                <w:rFonts w:ascii="Times New Roman" w:hAnsi="Times New Roman" w:eastAsia="宋体"/>
                <w:sz w:val="24"/>
                <w:szCs w:val="24"/>
              </w:rPr>
              <w:t>排气筒高度为17m，</w:t>
            </w:r>
            <w:r>
              <w:rPr>
                <w:rFonts w:hint="eastAsia" w:ascii="Times New Roman" w:hAnsi="Times New Roman" w:eastAsia="宋体"/>
                <w:sz w:val="24"/>
                <w:szCs w:val="24"/>
              </w:rPr>
              <w:t>排气筒高度设置合理</w:t>
            </w:r>
            <w:r>
              <w:rPr>
                <w:rFonts w:ascii="Times New Roman" w:hAnsi="Times New Roman" w:eastAsia="宋体"/>
                <w:sz w:val="24"/>
                <w:szCs w:val="24"/>
              </w:rPr>
              <w:t>。</w:t>
            </w:r>
          </w:p>
          <w:p>
            <w:pPr>
              <w:adjustRightInd w:val="0"/>
              <w:snapToGrid w:val="0"/>
              <w:spacing w:line="360" w:lineRule="auto"/>
              <w:ind w:firstLine="482" w:firstLineChars="200"/>
              <w:rPr>
                <w:rFonts w:ascii="Times New Roman" w:hAnsi="Times New Roman" w:eastAsia="宋体"/>
                <w:b/>
                <w:bCs/>
                <w:sz w:val="24"/>
                <w:szCs w:val="32"/>
              </w:rPr>
            </w:pPr>
            <w:r>
              <w:rPr>
                <w:rFonts w:hint="eastAsia" w:ascii="Times New Roman" w:hAnsi="Times New Roman" w:eastAsia="宋体" w:cs="Times New Roman"/>
                <w:b/>
                <w:bCs/>
                <w:sz w:val="24"/>
                <w:szCs w:val="32"/>
              </w:rPr>
              <w:t>（</w:t>
            </w:r>
            <w:r>
              <w:rPr>
                <w:rFonts w:ascii="Times New Roman" w:hAnsi="Times New Roman" w:eastAsia="宋体" w:cs="Times New Roman"/>
                <w:b/>
                <w:bCs/>
                <w:sz w:val="24"/>
                <w:szCs w:val="32"/>
              </w:rPr>
              <w:t>2</w:t>
            </w:r>
            <w:r>
              <w:rPr>
                <w:rFonts w:hint="eastAsia" w:ascii="Times New Roman" w:hAnsi="Times New Roman" w:eastAsia="宋体" w:cs="Times New Roman"/>
                <w:b/>
                <w:bCs/>
                <w:sz w:val="24"/>
                <w:szCs w:val="32"/>
              </w:rPr>
              <w:t>）</w:t>
            </w:r>
            <w:r>
              <w:rPr>
                <w:rFonts w:ascii="Times New Roman" w:hAnsi="Times New Roman" w:eastAsia="宋体"/>
                <w:b/>
                <w:bCs/>
                <w:sz w:val="24"/>
                <w:szCs w:val="32"/>
              </w:rPr>
              <w:t>废气监测计划</w:t>
            </w:r>
          </w:p>
          <w:p>
            <w:pPr>
              <w:adjustRightInd w:val="0"/>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根据《排污许可证申请与核发技术规范 铁路、船舶、航空航天和其他运输设备制造业》（H</w:t>
            </w:r>
            <w:r>
              <w:rPr>
                <w:rFonts w:ascii="Times New Roman" w:hAnsi="Times New Roman" w:eastAsia="宋体"/>
                <w:sz w:val="24"/>
                <w:szCs w:val="24"/>
              </w:rPr>
              <w:t>J1124-2020</w:t>
            </w:r>
            <w:r>
              <w:rPr>
                <w:rFonts w:hint="eastAsia" w:ascii="Times New Roman" w:hAnsi="Times New Roman" w:eastAsia="宋体"/>
                <w:sz w:val="24"/>
                <w:szCs w:val="24"/>
              </w:rPr>
              <w:t>）表2</w:t>
            </w:r>
            <w:r>
              <w:rPr>
                <w:rFonts w:ascii="Times New Roman" w:hAnsi="Times New Roman" w:eastAsia="宋体"/>
                <w:sz w:val="24"/>
                <w:szCs w:val="24"/>
              </w:rPr>
              <w:t>5</w:t>
            </w:r>
            <w:r>
              <w:rPr>
                <w:rFonts w:hint="eastAsia" w:ascii="Times New Roman" w:hAnsi="Times New Roman" w:eastAsia="宋体"/>
                <w:sz w:val="24"/>
                <w:szCs w:val="24"/>
              </w:rPr>
              <w:t>、《</w:t>
            </w:r>
            <w:r>
              <w:rPr>
                <w:rFonts w:ascii="Times New Roman" w:hAnsi="Times New Roman" w:eastAsia="宋体"/>
                <w:sz w:val="24"/>
                <w:szCs w:val="24"/>
              </w:rPr>
              <w:t>排污单位自行监测技术指南</w:t>
            </w:r>
            <w:r>
              <w:rPr>
                <w:rFonts w:hint="eastAsia" w:ascii="Times New Roman" w:hAnsi="Times New Roman" w:eastAsia="宋体"/>
                <w:sz w:val="24"/>
                <w:szCs w:val="24"/>
              </w:rPr>
              <w:t xml:space="preserve"> </w:t>
            </w:r>
            <w:r>
              <w:rPr>
                <w:rFonts w:ascii="Times New Roman" w:hAnsi="Times New Roman" w:eastAsia="宋体"/>
                <w:sz w:val="24"/>
                <w:szCs w:val="24"/>
              </w:rPr>
              <w:t>总则</w:t>
            </w:r>
            <w:r>
              <w:rPr>
                <w:rFonts w:hint="eastAsia" w:ascii="Times New Roman" w:hAnsi="Times New Roman" w:eastAsia="宋体"/>
                <w:bCs/>
                <w:sz w:val="24"/>
                <w:szCs w:val="24"/>
              </w:rPr>
              <w:t>》（H</w:t>
            </w:r>
            <w:r>
              <w:rPr>
                <w:rFonts w:ascii="Times New Roman" w:hAnsi="Times New Roman" w:eastAsia="宋体"/>
                <w:bCs/>
                <w:sz w:val="24"/>
                <w:szCs w:val="24"/>
              </w:rPr>
              <w:t>J 819-2017</w:t>
            </w:r>
            <w:r>
              <w:rPr>
                <w:rFonts w:hint="eastAsia" w:ascii="Times New Roman" w:hAnsi="Times New Roman" w:eastAsia="宋体"/>
                <w:bCs/>
                <w:sz w:val="24"/>
                <w:szCs w:val="24"/>
              </w:rPr>
              <w:t>），废气监测要求见</w:t>
            </w:r>
            <w:r>
              <w:rPr>
                <w:rFonts w:hint="eastAsia" w:ascii="Times New Roman" w:hAnsi="Times New Roman" w:eastAsia="宋体"/>
                <w:sz w:val="24"/>
                <w:szCs w:val="24"/>
              </w:rPr>
              <w:t>表4</w:t>
            </w:r>
            <w:r>
              <w:rPr>
                <w:rFonts w:ascii="Times New Roman" w:hAnsi="Times New Roman" w:eastAsia="宋体"/>
                <w:sz w:val="24"/>
                <w:szCs w:val="24"/>
              </w:rPr>
              <w:t>-8</w:t>
            </w:r>
            <w:r>
              <w:rPr>
                <w:rFonts w:hint="eastAsia" w:ascii="Times New Roman" w:hAnsi="Times New Roman" w:eastAsia="宋体"/>
                <w:sz w:val="24"/>
                <w:szCs w:val="24"/>
              </w:rPr>
              <w:t>。</w:t>
            </w:r>
          </w:p>
          <w:p>
            <w:pPr>
              <w:pStyle w:val="84"/>
            </w:pPr>
            <w:r>
              <w:rPr>
                <w:rFonts w:hint="eastAsia"/>
              </w:rPr>
              <w:t>表4</w:t>
            </w:r>
            <w:r>
              <w:t>-8</w:t>
            </w:r>
            <w:r>
              <w:rPr>
                <w:rFonts w:hint="eastAsia"/>
              </w:rPr>
              <w:t xml:space="preserve">  </w:t>
            </w:r>
            <w:r>
              <w:t>运营期</w:t>
            </w:r>
            <w:r>
              <w:rPr>
                <w:rFonts w:hint="eastAsia"/>
              </w:rPr>
              <w:t>废气</w:t>
            </w:r>
            <w:r>
              <w:t>监测计划表</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13"/>
              <w:gridCol w:w="1166"/>
              <w:gridCol w:w="2440"/>
              <w:gridCol w:w="738"/>
              <w:gridCol w:w="982"/>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05" w:type="pct"/>
                  <w:vAlign w:val="center"/>
                </w:tcPr>
                <w:p>
                  <w:pPr>
                    <w:pStyle w:val="41"/>
                    <w:rPr>
                      <w:b/>
                      <w:bCs w:val="0"/>
                    </w:rPr>
                  </w:pPr>
                  <w:r>
                    <w:rPr>
                      <w:b/>
                      <w:bCs w:val="0"/>
                    </w:rPr>
                    <w:t>污染源名称</w:t>
                  </w:r>
                </w:p>
              </w:tc>
              <w:tc>
                <w:tcPr>
                  <w:tcW w:w="724" w:type="pct"/>
                  <w:vAlign w:val="center"/>
                </w:tcPr>
                <w:p>
                  <w:pPr>
                    <w:pStyle w:val="41"/>
                    <w:rPr>
                      <w:b/>
                      <w:bCs w:val="0"/>
                    </w:rPr>
                  </w:pPr>
                  <w:r>
                    <w:rPr>
                      <w:b/>
                      <w:bCs w:val="0"/>
                    </w:rPr>
                    <w:t>监测项目</w:t>
                  </w:r>
                </w:p>
              </w:tc>
              <w:tc>
                <w:tcPr>
                  <w:tcW w:w="1515" w:type="pct"/>
                  <w:vAlign w:val="center"/>
                </w:tcPr>
                <w:p>
                  <w:pPr>
                    <w:pStyle w:val="41"/>
                    <w:rPr>
                      <w:b/>
                      <w:bCs w:val="0"/>
                    </w:rPr>
                  </w:pPr>
                  <w:r>
                    <w:rPr>
                      <w:b/>
                      <w:bCs w:val="0"/>
                    </w:rPr>
                    <w:t>监测点位置</w:t>
                  </w:r>
                </w:p>
              </w:tc>
              <w:tc>
                <w:tcPr>
                  <w:tcW w:w="458" w:type="pct"/>
                  <w:vAlign w:val="center"/>
                </w:tcPr>
                <w:p>
                  <w:pPr>
                    <w:pStyle w:val="41"/>
                    <w:rPr>
                      <w:b/>
                      <w:bCs w:val="0"/>
                    </w:rPr>
                  </w:pPr>
                  <w:r>
                    <w:rPr>
                      <w:b/>
                      <w:bCs w:val="0"/>
                    </w:rPr>
                    <w:t>监测点数</w:t>
                  </w:r>
                </w:p>
              </w:tc>
              <w:tc>
                <w:tcPr>
                  <w:tcW w:w="610" w:type="pct"/>
                  <w:vAlign w:val="center"/>
                </w:tcPr>
                <w:p>
                  <w:pPr>
                    <w:pStyle w:val="41"/>
                    <w:rPr>
                      <w:b/>
                      <w:bCs w:val="0"/>
                    </w:rPr>
                  </w:pPr>
                  <w:r>
                    <w:rPr>
                      <w:b/>
                      <w:bCs w:val="0"/>
                    </w:rPr>
                    <w:t>监测频次</w:t>
                  </w:r>
                </w:p>
              </w:tc>
              <w:tc>
                <w:tcPr>
                  <w:tcW w:w="1188" w:type="pct"/>
                  <w:vAlign w:val="center"/>
                </w:tcPr>
                <w:p>
                  <w:pPr>
                    <w:pStyle w:val="41"/>
                    <w:rPr>
                      <w:b/>
                      <w:bCs w:val="0"/>
                    </w:rPr>
                  </w:pPr>
                  <w:r>
                    <w:rPr>
                      <w:b/>
                      <w:bCs w:val="0"/>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05" w:type="pct"/>
                  <w:vMerge w:val="restart"/>
                  <w:vAlign w:val="center"/>
                </w:tcPr>
                <w:p>
                  <w:pPr>
                    <w:pStyle w:val="41"/>
                  </w:pPr>
                  <w:r>
                    <w:rPr>
                      <w:rFonts w:hint="eastAsia"/>
                    </w:rPr>
                    <w:t>有组织废气</w:t>
                  </w:r>
                  <w:r>
                    <w:t xml:space="preserve">         </w:t>
                  </w:r>
                </w:p>
              </w:tc>
              <w:tc>
                <w:tcPr>
                  <w:tcW w:w="724" w:type="pct"/>
                  <w:vAlign w:val="center"/>
                </w:tcPr>
                <w:p>
                  <w:pPr>
                    <w:pStyle w:val="41"/>
                    <w:rPr>
                      <w:b/>
                      <w:bCs w:val="0"/>
                    </w:rPr>
                  </w:pPr>
                  <w:r>
                    <w:rPr>
                      <w:rFonts w:hint="eastAsia"/>
                    </w:rPr>
                    <w:t>颗粒物</w:t>
                  </w:r>
                </w:p>
              </w:tc>
              <w:tc>
                <w:tcPr>
                  <w:tcW w:w="1515" w:type="pct"/>
                  <w:vAlign w:val="center"/>
                </w:tcPr>
                <w:p>
                  <w:pPr>
                    <w:pStyle w:val="41"/>
                    <w:rPr>
                      <w:b/>
                      <w:bCs w:val="0"/>
                    </w:rPr>
                  </w:pPr>
                  <w:r>
                    <w:rPr>
                      <w:rFonts w:hint="eastAsia"/>
                    </w:rPr>
                    <w:t>DA0</w:t>
                  </w:r>
                  <w:r>
                    <w:t>01</w:t>
                  </w:r>
                  <w:r>
                    <w:rPr>
                      <w:rFonts w:hint="eastAsia"/>
                    </w:rPr>
                    <w:t>排气筒</w:t>
                  </w:r>
                </w:p>
              </w:tc>
              <w:tc>
                <w:tcPr>
                  <w:tcW w:w="458" w:type="pct"/>
                  <w:vAlign w:val="center"/>
                </w:tcPr>
                <w:p>
                  <w:pPr>
                    <w:pStyle w:val="41"/>
                    <w:rPr>
                      <w:b/>
                      <w:bCs w:val="0"/>
                    </w:rPr>
                  </w:pPr>
                  <w:r>
                    <w:rPr>
                      <w:rFonts w:hint="eastAsia"/>
                    </w:rPr>
                    <w:t>1个</w:t>
                  </w:r>
                </w:p>
              </w:tc>
              <w:tc>
                <w:tcPr>
                  <w:tcW w:w="610" w:type="pct"/>
                  <w:vAlign w:val="center"/>
                </w:tcPr>
                <w:p>
                  <w:pPr>
                    <w:pStyle w:val="41"/>
                    <w:rPr>
                      <w:b/>
                      <w:bCs w:val="0"/>
                    </w:rPr>
                  </w:pPr>
                  <w:r>
                    <w:rPr>
                      <w:rFonts w:hint="eastAsia"/>
                    </w:rPr>
                    <w:t>1次/年</w:t>
                  </w:r>
                </w:p>
              </w:tc>
              <w:tc>
                <w:tcPr>
                  <w:tcW w:w="1188" w:type="pct"/>
                  <w:vAlign w:val="center"/>
                </w:tcPr>
                <w:p>
                  <w:pPr>
                    <w:pStyle w:val="41"/>
                  </w:pPr>
                  <w:r>
                    <w:rPr>
                      <w:rFonts w:hint="eastAsia"/>
                    </w:rPr>
                    <w:t>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05" w:type="pct"/>
                  <w:vMerge w:val="continue"/>
                  <w:vAlign w:val="center"/>
                </w:tcPr>
                <w:p>
                  <w:pPr>
                    <w:pStyle w:val="41"/>
                  </w:pPr>
                </w:p>
              </w:tc>
              <w:tc>
                <w:tcPr>
                  <w:tcW w:w="724" w:type="pct"/>
                  <w:vAlign w:val="center"/>
                </w:tcPr>
                <w:p>
                  <w:pPr>
                    <w:pStyle w:val="41"/>
                  </w:pPr>
                  <w:r>
                    <w:rPr>
                      <w:rFonts w:hint="eastAsia"/>
                    </w:rPr>
                    <w:t>颗粒物</w:t>
                  </w:r>
                </w:p>
              </w:tc>
              <w:tc>
                <w:tcPr>
                  <w:tcW w:w="1515" w:type="pct"/>
                  <w:vMerge w:val="restart"/>
                  <w:vAlign w:val="center"/>
                </w:tcPr>
                <w:p>
                  <w:pPr>
                    <w:pStyle w:val="41"/>
                  </w:pPr>
                  <w:r>
                    <w:rPr>
                      <w:rFonts w:hint="eastAsia"/>
                    </w:rPr>
                    <w:t>DA0</w:t>
                  </w:r>
                  <w:r>
                    <w:t>02</w:t>
                  </w:r>
                  <w:r>
                    <w:rPr>
                      <w:rFonts w:hint="eastAsia"/>
                    </w:rPr>
                    <w:t>排气筒</w:t>
                  </w:r>
                </w:p>
              </w:tc>
              <w:tc>
                <w:tcPr>
                  <w:tcW w:w="458" w:type="pct"/>
                  <w:vAlign w:val="center"/>
                </w:tcPr>
                <w:p>
                  <w:pPr>
                    <w:pStyle w:val="41"/>
                  </w:pPr>
                  <w:r>
                    <w:rPr>
                      <w:rFonts w:hint="eastAsia"/>
                    </w:rPr>
                    <w:t>1个</w:t>
                  </w:r>
                </w:p>
              </w:tc>
              <w:tc>
                <w:tcPr>
                  <w:tcW w:w="610" w:type="pct"/>
                  <w:vAlign w:val="center"/>
                </w:tcPr>
                <w:p>
                  <w:pPr>
                    <w:pStyle w:val="41"/>
                  </w:pPr>
                  <w:r>
                    <w:rPr>
                      <w:rFonts w:hint="eastAsia"/>
                    </w:rPr>
                    <w:t>1次/年</w:t>
                  </w:r>
                </w:p>
              </w:tc>
              <w:tc>
                <w:tcPr>
                  <w:tcW w:w="1188" w:type="pct"/>
                  <w:vAlign w:val="center"/>
                </w:tcPr>
                <w:p>
                  <w:pPr>
                    <w:pStyle w:val="41"/>
                  </w:pPr>
                  <w:r>
                    <w:rPr>
                      <w:rFonts w:hint="eastAsia"/>
                    </w:rPr>
                    <w:t>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05" w:type="pct"/>
                  <w:vMerge w:val="continue"/>
                  <w:vAlign w:val="center"/>
                </w:tcPr>
                <w:p>
                  <w:pPr>
                    <w:pStyle w:val="41"/>
                  </w:pPr>
                </w:p>
              </w:tc>
              <w:tc>
                <w:tcPr>
                  <w:tcW w:w="724" w:type="pct"/>
                  <w:vAlign w:val="center"/>
                </w:tcPr>
                <w:p>
                  <w:pPr>
                    <w:pStyle w:val="41"/>
                  </w:pPr>
                  <w:r>
                    <w:rPr>
                      <w:rFonts w:hint="eastAsia"/>
                    </w:rPr>
                    <w:t>非甲烷总烃</w:t>
                  </w:r>
                </w:p>
              </w:tc>
              <w:tc>
                <w:tcPr>
                  <w:tcW w:w="1515" w:type="pct"/>
                  <w:vMerge w:val="continue"/>
                  <w:vAlign w:val="center"/>
                </w:tcPr>
                <w:p>
                  <w:pPr>
                    <w:pStyle w:val="41"/>
                  </w:pPr>
                </w:p>
              </w:tc>
              <w:tc>
                <w:tcPr>
                  <w:tcW w:w="458" w:type="pct"/>
                  <w:vAlign w:val="center"/>
                </w:tcPr>
                <w:p>
                  <w:pPr>
                    <w:pStyle w:val="41"/>
                  </w:pPr>
                  <w:r>
                    <w:rPr>
                      <w:rFonts w:hint="eastAsia"/>
                    </w:rPr>
                    <w:t>1个</w:t>
                  </w:r>
                </w:p>
              </w:tc>
              <w:tc>
                <w:tcPr>
                  <w:tcW w:w="610" w:type="pct"/>
                  <w:vAlign w:val="center"/>
                </w:tcPr>
                <w:p>
                  <w:pPr>
                    <w:pStyle w:val="41"/>
                  </w:pPr>
                  <w:r>
                    <w:rPr>
                      <w:rFonts w:hint="eastAsia"/>
                    </w:rPr>
                    <w:t>1次/年</w:t>
                  </w:r>
                </w:p>
              </w:tc>
              <w:tc>
                <w:tcPr>
                  <w:tcW w:w="1188" w:type="pct"/>
                  <w:vAlign w:val="center"/>
                </w:tcPr>
                <w:p>
                  <w:pPr>
                    <w:pStyle w:val="41"/>
                  </w:pPr>
                  <w:r>
                    <w:rPr>
                      <w:rFonts w:hint="eastAsia"/>
                    </w:rPr>
                    <w:t>DB61/T1061-2017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05" w:type="pct"/>
                  <w:vMerge w:val="continue"/>
                  <w:vAlign w:val="center"/>
                </w:tcPr>
                <w:p>
                  <w:pPr>
                    <w:pStyle w:val="41"/>
                  </w:pPr>
                </w:p>
              </w:tc>
              <w:tc>
                <w:tcPr>
                  <w:tcW w:w="724" w:type="pct"/>
                  <w:vAlign w:val="center"/>
                </w:tcPr>
                <w:p>
                  <w:pPr>
                    <w:pStyle w:val="41"/>
                  </w:pPr>
                  <w:r>
                    <w:rPr>
                      <w:rFonts w:hint="eastAsia"/>
                    </w:rPr>
                    <w:t>二甲苯</w:t>
                  </w:r>
                </w:p>
              </w:tc>
              <w:tc>
                <w:tcPr>
                  <w:tcW w:w="1515" w:type="pct"/>
                  <w:vMerge w:val="continue"/>
                  <w:vAlign w:val="center"/>
                </w:tcPr>
                <w:p>
                  <w:pPr>
                    <w:pStyle w:val="41"/>
                  </w:pPr>
                </w:p>
              </w:tc>
              <w:tc>
                <w:tcPr>
                  <w:tcW w:w="458" w:type="pct"/>
                  <w:vAlign w:val="center"/>
                </w:tcPr>
                <w:p>
                  <w:pPr>
                    <w:pStyle w:val="41"/>
                  </w:pPr>
                  <w:r>
                    <w:rPr>
                      <w:rFonts w:hint="eastAsia"/>
                    </w:rPr>
                    <w:t>1个</w:t>
                  </w:r>
                </w:p>
              </w:tc>
              <w:tc>
                <w:tcPr>
                  <w:tcW w:w="610" w:type="pct"/>
                  <w:vAlign w:val="center"/>
                </w:tcPr>
                <w:p>
                  <w:pPr>
                    <w:pStyle w:val="41"/>
                  </w:pPr>
                  <w:r>
                    <w:rPr>
                      <w:rFonts w:hint="eastAsia"/>
                    </w:rPr>
                    <w:t>1次/年</w:t>
                  </w:r>
                </w:p>
              </w:tc>
              <w:tc>
                <w:tcPr>
                  <w:tcW w:w="1188" w:type="pct"/>
                  <w:vAlign w:val="center"/>
                </w:tcPr>
                <w:p>
                  <w:pPr>
                    <w:pStyle w:val="41"/>
                  </w:pPr>
                  <w:r>
                    <w:rPr>
                      <w:rFonts w:hint="eastAsia"/>
                    </w:rPr>
                    <w:t>DB61/T1061-2017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05" w:type="pct"/>
                  <w:vMerge w:val="restart"/>
                  <w:vAlign w:val="center"/>
                </w:tcPr>
                <w:p>
                  <w:pPr>
                    <w:pStyle w:val="41"/>
                  </w:pPr>
                  <w:r>
                    <w:rPr>
                      <w:rFonts w:hint="eastAsia"/>
                    </w:rPr>
                    <w:t>无组织废气</w:t>
                  </w:r>
                </w:p>
              </w:tc>
              <w:tc>
                <w:tcPr>
                  <w:tcW w:w="724" w:type="pct"/>
                  <w:vAlign w:val="center"/>
                </w:tcPr>
                <w:p>
                  <w:pPr>
                    <w:pStyle w:val="41"/>
                  </w:pPr>
                  <w:r>
                    <w:rPr>
                      <w:rFonts w:hint="eastAsia"/>
                    </w:rPr>
                    <w:t>颗粒物</w:t>
                  </w:r>
                </w:p>
              </w:tc>
              <w:tc>
                <w:tcPr>
                  <w:tcW w:w="1515" w:type="pct"/>
                  <w:vAlign w:val="center"/>
                </w:tcPr>
                <w:p>
                  <w:pPr>
                    <w:pStyle w:val="41"/>
                  </w:pPr>
                  <w:r>
                    <w:t>厂</w:t>
                  </w:r>
                  <w:r>
                    <w:rPr>
                      <w:rFonts w:hint="eastAsia"/>
                    </w:rPr>
                    <w:t>界</w:t>
                  </w:r>
                  <w:r>
                    <w:t>上风向1个，下风向3个</w:t>
                  </w:r>
                </w:p>
              </w:tc>
              <w:tc>
                <w:tcPr>
                  <w:tcW w:w="458" w:type="pct"/>
                  <w:vAlign w:val="center"/>
                </w:tcPr>
                <w:p>
                  <w:pPr>
                    <w:pStyle w:val="41"/>
                  </w:pPr>
                  <w:r>
                    <w:t>4个</w:t>
                  </w:r>
                </w:p>
              </w:tc>
              <w:tc>
                <w:tcPr>
                  <w:tcW w:w="610" w:type="pct"/>
                  <w:vAlign w:val="center"/>
                </w:tcPr>
                <w:p>
                  <w:pPr>
                    <w:pStyle w:val="41"/>
                  </w:pPr>
                  <w:r>
                    <w:rPr>
                      <w:rFonts w:hint="eastAsia"/>
                    </w:rPr>
                    <w:t>1次/半年</w:t>
                  </w:r>
                </w:p>
              </w:tc>
              <w:tc>
                <w:tcPr>
                  <w:tcW w:w="1188" w:type="pct"/>
                  <w:vAlign w:val="center"/>
                </w:tcPr>
                <w:p>
                  <w:pPr>
                    <w:pStyle w:val="41"/>
                  </w:pPr>
                  <w:r>
                    <w:rPr>
                      <w:rFonts w:hint="eastAsia"/>
                    </w:rPr>
                    <w:t>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05" w:type="pct"/>
                  <w:vMerge w:val="continue"/>
                  <w:vAlign w:val="center"/>
                </w:tcPr>
                <w:p>
                  <w:pPr>
                    <w:pStyle w:val="41"/>
                  </w:pPr>
                </w:p>
              </w:tc>
              <w:tc>
                <w:tcPr>
                  <w:tcW w:w="724" w:type="pct"/>
                  <w:vAlign w:val="center"/>
                </w:tcPr>
                <w:p>
                  <w:pPr>
                    <w:pStyle w:val="41"/>
                  </w:pPr>
                  <w:r>
                    <w:rPr>
                      <w:rFonts w:hint="eastAsia"/>
                    </w:rPr>
                    <w:t>非甲烷总烃</w:t>
                  </w:r>
                </w:p>
              </w:tc>
              <w:tc>
                <w:tcPr>
                  <w:tcW w:w="1515" w:type="pct"/>
                  <w:vAlign w:val="center"/>
                </w:tcPr>
                <w:p>
                  <w:pPr>
                    <w:pStyle w:val="41"/>
                  </w:pPr>
                  <w:r>
                    <w:t>厂</w:t>
                  </w:r>
                  <w:r>
                    <w:rPr>
                      <w:rFonts w:hint="eastAsia"/>
                    </w:rPr>
                    <w:t>界</w:t>
                  </w:r>
                  <w:r>
                    <w:t>上风向1个，下风向3个</w:t>
                  </w:r>
                </w:p>
              </w:tc>
              <w:tc>
                <w:tcPr>
                  <w:tcW w:w="458" w:type="pct"/>
                  <w:vAlign w:val="center"/>
                </w:tcPr>
                <w:p>
                  <w:pPr>
                    <w:pStyle w:val="41"/>
                  </w:pPr>
                  <w:r>
                    <w:t>4个</w:t>
                  </w:r>
                </w:p>
              </w:tc>
              <w:tc>
                <w:tcPr>
                  <w:tcW w:w="610" w:type="pct"/>
                  <w:vAlign w:val="center"/>
                </w:tcPr>
                <w:p>
                  <w:pPr>
                    <w:pStyle w:val="41"/>
                  </w:pPr>
                  <w:r>
                    <w:rPr>
                      <w:rFonts w:hint="eastAsia"/>
                    </w:rPr>
                    <w:t>1次/半年</w:t>
                  </w:r>
                </w:p>
              </w:tc>
              <w:tc>
                <w:tcPr>
                  <w:tcW w:w="1188" w:type="pct"/>
                  <w:vAlign w:val="center"/>
                </w:tcPr>
                <w:p>
                  <w:pPr>
                    <w:pStyle w:val="41"/>
                  </w:pPr>
                  <w:r>
                    <w:rPr>
                      <w:rFonts w:hint="eastAsia"/>
                    </w:rPr>
                    <w:t>DB61/T1061-2017、GB37822-2019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05" w:type="pct"/>
                  <w:vMerge w:val="continue"/>
                  <w:vAlign w:val="center"/>
                </w:tcPr>
                <w:p>
                  <w:pPr>
                    <w:pStyle w:val="41"/>
                  </w:pPr>
                </w:p>
              </w:tc>
              <w:tc>
                <w:tcPr>
                  <w:tcW w:w="724" w:type="pct"/>
                  <w:vAlign w:val="center"/>
                </w:tcPr>
                <w:p>
                  <w:pPr>
                    <w:pStyle w:val="41"/>
                  </w:pPr>
                  <w:r>
                    <w:rPr>
                      <w:rFonts w:hint="eastAsia"/>
                    </w:rPr>
                    <w:t>二甲苯</w:t>
                  </w:r>
                </w:p>
              </w:tc>
              <w:tc>
                <w:tcPr>
                  <w:tcW w:w="1515" w:type="pct"/>
                  <w:vAlign w:val="center"/>
                </w:tcPr>
                <w:p>
                  <w:pPr>
                    <w:pStyle w:val="41"/>
                  </w:pPr>
                  <w:r>
                    <w:t>厂</w:t>
                  </w:r>
                  <w:r>
                    <w:rPr>
                      <w:rFonts w:hint="eastAsia"/>
                    </w:rPr>
                    <w:t>界</w:t>
                  </w:r>
                  <w:r>
                    <w:t>上风向1个，下风向3个</w:t>
                  </w:r>
                </w:p>
              </w:tc>
              <w:tc>
                <w:tcPr>
                  <w:tcW w:w="458" w:type="pct"/>
                  <w:vAlign w:val="center"/>
                </w:tcPr>
                <w:p>
                  <w:pPr>
                    <w:pStyle w:val="41"/>
                  </w:pPr>
                  <w:r>
                    <w:t>4个</w:t>
                  </w:r>
                </w:p>
              </w:tc>
              <w:tc>
                <w:tcPr>
                  <w:tcW w:w="610" w:type="pct"/>
                  <w:vAlign w:val="center"/>
                </w:tcPr>
                <w:p>
                  <w:pPr>
                    <w:pStyle w:val="41"/>
                  </w:pPr>
                  <w:r>
                    <w:rPr>
                      <w:rFonts w:hint="eastAsia"/>
                    </w:rPr>
                    <w:t>1次/半年</w:t>
                  </w:r>
                </w:p>
              </w:tc>
              <w:tc>
                <w:tcPr>
                  <w:tcW w:w="1188" w:type="pct"/>
                  <w:vAlign w:val="center"/>
                </w:tcPr>
                <w:p>
                  <w:pPr>
                    <w:pStyle w:val="41"/>
                  </w:pPr>
                  <w:r>
                    <w:rPr>
                      <w:rFonts w:hint="eastAsia"/>
                    </w:rPr>
                    <w:t>DB61/T1061-2017</w:t>
                  </w:r>
                </w:p>
              </w:tc>
            </w:tr>
          </w:tbl>
          <w:p>
            <w:pPr>
              <w:adjustRightInd w:val="0"/>
              <w:snapToGrid w:val="0"/>
              <w:spacing w:line="360" w:lineRule="auto"/>
              <w:ind w:firstLine="482" w:firstLineChars="200"/>
              <w:textAlignment w:val="baseline"/>
              <w:rPr>
                <w:rFonts w:ascii="Times New Roman" w:hAnsi="Times New Roman" w:eastAsia="宋体"/>
                <w:b/>
                <w:bCs/>
                <w:sz w:val="24"/>
                <w:szCs w:val="24"/>
              </w:rPr>
            </w:pPr>
            <w:r>
              <w:rPr>
                <w:rFonts w:hint="eastAsia" w:ascii="Times New Roman" w:hAnsi="Times New Roman" w:eastAsia="宋体"/>
                <w:b/>
                <w:bCs/>
                <w:sz w:val="24"/>
                <w:szCs w:val="24"/>
              </w:rPr>
              <w:t>（</w:t>
            </w:r>
            <w:r>
              <w:rPr>
                <w:rFonts w:ascii="Times New Roman" w:hAnsi="Times New Roman" w:eastAsia="宋体"/>
                <w:b/>
                <w:bCs/>
                <w:sz w:val="24"/>
                <w:szCs w:val="24"/>
              </w:rPr>
              <w:t>4</w:t>
            </w:r>
            <w:r>
              <w:rPr>
                <w:rFonts w:hint="eastAsia" w:ascii="Times New Roman" w:hAnsi="Times New Roman" w:eastAsia="宋体"/>
                <w:b/>
                <w:bCs/>
                <w:sz w:val="24"/>
                <w:szCs w:val="24"/>
              </w:rPr>
              <w:t>）废气排放的环境影响分析</w:t>
            </w:r>
          </w:p>
          <w:p>
            <w:pPr>
              <w:adjustRightInd w:val="0"/>
              <w:snapToGrid w:val="0"/>
              <w:spacing w:line="360" w:lineRule="auto"/>
              <w:ind w:firstLine="480" w:firstLineChars="200"/>
              <w:textAlignment w:val="baseline"/>
              <w:rPr>
                <w:rFonts w:ascii="Times New Roman" w:hAnsi="Times New Roman" w:eastAsia="宋体" w:cs="Times New Roman"/>
                <w:b/>
                <w:sz w:val="24"/>
              </w:rPr>
            </w:pPr>
            <w:r>
              <w:rPr>
                <w:rFonts w:hint="eastAsia" w:ascii="Times New Roman" w:hAnsi="Times New Roman" w:eastAsia="宋体"/>
                <w:sz w:val="24"/>
                <w:szCs w:val="24"/>
              </w:rPr>
              <w:t>运营期喷砂、抛丸、打磨产生的颗粒物采取措施后排放浓度满足《大气污染物综合排放标准》（GB16297-1996）</w:t>
            </w:r>
            <w:r>
              <w:rPr>
                <w:rFonts w:ascii="Times New Roman" w:hAnsi="Times New Roman" w:eastAsia="宋体"/>
                <w:sz w:val="24"/>
                <w:szCs w:val="24"/>
              </w:rPr>
              <w:t>中限值要求</w:t>
            </w:r>
            <w:r>
              <w:rPr>
                <w:rFonts w:hint="eastAsia" w:ascii="Times New Roman" w:hAnsi="Times New Roman" w:eastAsia="宋体"/>
                <w:sz w:val="24"/>
                <w:szCs w:val="24"/>
              </w:rPr>
              <w:t>，清理、配料、喷涂、烘干过程产生的雾状颗粒采取措施后排放浓度满足《大气污染物综合排放标准》（GB16297-1996）</w:t>
            </w:r>
            <w:r>
              <w:rPr>
                <w:rFonts w:ascii="Times New Roman" w:hAnsi="Times New Roman" w:eastAsia="宋体"/>
                <w:sz w:val="24"/>
                <w:szCs w:val="24"/>
              </w:rPr>
              <w:t>中限值要求</w:t>
            </w:r>
            <w:r>
              <w:rPr>
                <w:rFonts w:hint="eastAsia" w:ascii="Times New Roman" w:hAnsi="Times New Roman" w:eastAsia="宋体"/>
                <w:sz w:val="24"/>
                <w:szCs w:val="24"/>
              </w:rPr>
              <w:t>，非甲烷总烃、二甲苯采取措施后排放浓度满足《挥发性有机物排放控制标准》（DB61/T1061-2017）中的浓度限值，对周边大气环境影响较小。</w:t>
            </w:r>
          </w:p>
          <w:p>
            <w:pPr>
              <w:adjustRightInd w:val="0"/>
              <w:snapToGrid w:val="0"/>
              <w:spacing w:line="360" w:lineRule="auto"/>
              <w:ind w:firstLine="482" w:firstLineChars="200"/>
              <w:textAlignment w:val="baseline"/>
              <w:rPr>
                <w:rFonts w:ascii="Times New Roman" w:hAnsi="Times New Roman" w:eastAsia="宋体"/>
                <w:sz w:val="24"/>
                <w:szCs w:val="24"/>
              </w:rPr>
            </w:pPr>
            <w:r>
              <w:rPr>
                <w:rFonts w:hint="eastAsia" w:ascii="Times New Roman" w:hAnsi="Times New Roman" w:eastAsia="宋体" w:cs="Times New Roman"/>
                <w:b/>
                <w:sz w:val="24"/>
              </w:rPr>
              <w:t>2、</w:t>
            </w:r>
            <w:r>
              <w:rPr>
                <w:rFonts w:ascii="Times New Roman" w:hAnsi="Times New Roman" w:eastAsia="宋体" w:cs="Times New Roman"/>
                <w:b/>
                <w:sz w:val="24"/>
              </w:rPr>
              <w:t>废水</w:t>
            </w:r>
          </w:p>
          <w:p>
            <w:pPr>
              <w:adjustRightInd w:val="0"/>
              <w:snapToGrid w:val="0"/>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1</w:t>
            </w:r>
            <w:r>
              <w:rPr>
                <w:rFonts w:ascii="Times New Roman" w:hAnsi="Times New Roman" w:eastAsia="宋体"/>
                <w:sz w:val="24"/>
                <w:szCs w:val="24"/>
              </w:rPr>
              <w:t>）废水污染物产生情况</w:t>
            </w:r>
          </w:p>
          <w:p>
            <w:pPr>
              <w:adjustRightInd w:val="0"/>
              <w:snapToGrid w:val="0"/>
              <w:spacing w:line="360" w:lineRule="auto"/>
              <w:ind w:firstLine="482"/>
              <w:textAlignment w:val="baseline"/>
              <w:rPr>
                <w:rFonts w:ascii="Times New Roman" w:hAnsi="Times New Roman" w:eastAsia="宋体"/>
                <w:sz w:val="24"/>
                <w:szCs w:val="24"/>
              </w:rPr>
            </w:pPr>
            <w:r>
              <w:rPr>
                <w:rFonts w:hint="eastAsia" w:ascii="Times New Roman" w:hAnsi="Times New Roman" w:eastAsia="宋体"/>
                <w:sz w:val="24"/>
                <w:szCs w:val="24"/>
              </w:rPr>
              <w:t>本项目营运期产生的废水主要是员工生活污水，无生产废水产生。根据核算，项目生活污水排放量为</w:t>
            </w:r>
            <w:r>
              <w:rPr>
                <w:rFonts w:ascii="Times New Roman" w:hAnsi="Times New Roman" w:eastAsia="宋体" w:cs="Times New Roman"/>
                <w:sz w:val="24"/>
                <w:szCs w:val="24"/>
              </w:rPr>
              <w:t>1.6m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/d、448m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/a</w:t>
            </w:r>
            <w:r>
              <w:rPr>
                <w:rFonts w:hint="eastAsia" w:ascii="Times New Roman" w:hAnsi="Times New Roman" w:eastAsia="宋体" w:cs="Times New Roman"/>
                <w:sz w:val="24"/>
                <w:szCs w:val="24"/>
              </w:rPr>
              <w:t>，</w:t>
            </w:r>
            <w:r>
              <w:rPr>
                <w:rFonts w:ascii="Times New Roman" w:hAnsi="Times New Roman" w:eastAsia="宋体" w:cs="Times New Roman"/>
                <w:sz w:val="24"/>
                <w:szCs w:val="24"/>
              </w:rPr>
              <w:t>污染物主要为COD、BOD</w:t>
            </w:r>
            <w:r>
              <w:rPr>
                <w:rFonts w:ascii="Times New Roman" w:hAnsi="Times New Roman" w:eastAsia="宋体" w:cs="Times New Roman"/>
                <w:sz w:val="24"/>
                <w:szCs w:val="24"/>
                <w:vertAlign w:val="subscript"/>
              </w:rPr>
              <w:t>5</w:t>
            </w:r>
            <w:r>
              <w:rPr>
                <w:rFonts w:ascii="Times New Roman" w:hAnsi="Times New Roman" w:eastAsia="宋体" w:cs="Times New Roman"/>
                <w:sz w:val="24"/>
                <w:szCs w:val="24"/>
              </w:rPr>
              <w:t>、SS、NH</w:t>
            </w:r>
            <w:r>
              <w:rPr>
                <w:rFonts w:ascii="Times New Roman" w:hAnsi="Times New Roman" w:eastAsia="宋体" w:cs="Times New Roman"/>
                <w:sz w:val="24"/>
                <w:szCs w:val="24"/>
                <w:vertAlign w:val="subscript"/>
              </w:rPr>
              <w:t>3</w:t>
            </w:r>
            <w:r>
              <w:rPr>
                <w:rFonts w:ascii="Times New Roman" w:hAnsi="Times New Roman" w:eastAsia="宋体" w:cs="Times New Roman"/>
                <w:sz w:val="24"/>
                <w:szCs w:val="24"/>
              </w:rPr>
              <w:t>-N</w:t>
            </w:r>
            <w:r>
              <w:rPr>
                <w:rFonts w:hint="eastAsia" w:ascii="Times New Roman" w:hAnsi="Times New Roman" w:eastAsia="宋体" w:cs="Times New Roman"/>
                <w:sz w:val="24"/>
                <w:szCs w:val="24"/>
              </w:rPr>
              <w:t>、</w:t>
            </w:r>
            <w:r>
              <w:rPr>
                <w:rFonts w:ascii="Times New Roman" w:hAnsi="Times New Roman" w:eastAsia="宋体" w:cs="Times New Roman"/>
                <w:sz w:val="24"/>
                <w:szCs w:val="24"/>
              </w:rPr>
              <w:t>TN</w:t>
            </w:r>
            <w:r>
              <w:rPr>
                <w:rFonts w:hint="eastAsia" w:ascii="Times New Roman" w:hAnsi="Times New Roman" w:eastAsia="宋体" w:cs="Times New Roman"/>
                <w:sz w:val="24"/>
                <w:szCs w:val="24"/>
              </w:rPr>
              <w:t>和T</w:t>
            </w:r>
            <w:r>
              <w:rPr>
                <w:rFonts w:ascii="Times New Roman" w:hAnsi="Times New Roman" w:eastAsia="宋体" w:cs="Times New Roman"/>
                <w:sz w:val="24"/>
                <w:szCs w:val="24"/>
              </w:rPr>
              <w:t>P</w:t>
            </w:r>
            <w:r>
              <w:rPr>
                <w:rFonts w:hint="eastAsia" w:ascii="Times New Roman" w:hAnsi="Times New Roman" w:eastAsia="宋体" w:cs="Times New Roman"/>
                <w:sz w:val="24"/>
                <w:szCs w:val="24"/>
              </w:rPr>
              <w:t>，</w:t>
            </w:r>
            <w:r>
              <w:rPr>
                <w:rFonts w:ascii="Times New Roman" w:hAnsi="Times New Roman" w:eastAsia="宋体"/>
                <w:sz w:val="24"/>
                <w:szCs w:val="24"/>
              </w:rPr>
              <w:t>生活污水浓度取COD460mg/L，总氮65mg/L，氨氮42mg/L</w:t>
            </w:r>
            <w:r>
              <w:rPr>
                <w:rFonts w:hint="eastAsia" w:ascii="Times New Roman" w:hAnsi="Times New Roman" w:eastAsia="宋体"/>
                <w:sz w:val="24"/>
                <w:szCs w:val="24"/>
              </w:rPr>
              <w:t>，总磷</w:t>
            </w:r>
            <w:r>
              <w:rPr>
                <w:rFonts w:ascii="Times New Roman" w:hAnsi="Times New Roman" w:eastAsia="宋体"/>
                <w:sz w:val="24"/>
                <w:szCs w:val="24"/>
              </w:rPr>
              <w:t>5</w:t>
            </w:r>
            <w:r>
              <w:rPr>
                <w:rFonts w:hint="eastAsia" w:ascii="Times New Roman" w:hAnsi="Times New Roman" w:eastAsia="宋体"/>
                <w:sz w:val="24"/>
                <w:szCs w:val="24"/>
              </w:rPr>
              <w:t>mg</w:t>
            </w:r>
            <w:r>
              <w:rPr>
                <w:rFonts w:ascii="Times New Roman" w:hAnsi="Times New Roman" w:eastAsia="宋体"/>
                <w:sz w:val="24"/>
                <w:szCs w:val="24"/>
              </w:rPr>
              <w:t>/L；参考《给排水设计手册》（第五册城镇排水）典型生活污水水质示例，生活污水取值BOD</w:t>
            </w:r>
            <w:r>
              <w:rPr>
                <w:rFonts w:ascii="Times New Roman" w:hAnsi="Times New Roman" w:eastAsia="宋体"/>
                <w:sz w:val="24"/>
                <w:szCs w:val="24"/>
                <w:vertAlign w:val="subscript"/>
              </w:rPr>
              <w:t>5</w:t>
            </w:r>
            <w:r>
              <w:rPr>
                <w:rFonts w:ascii="Times New Roman" w:hAnsi="Times New Roman" w:eastAsia="宋体"/>
                <w:sz w:val="24"/>
                <w:szCs w:val="24"/>
              </w:rPr>
              <w:t>220mg/L，SS200mg/L</w:t>
            </w:r>
            <w:r>
              <w:rPr>
                <w:rFonts w:hint="eastAsia" w:ascii="Times New Roman" w:hAnsi="Times New Roman" w:eastAsia="宋体"/>
                <w:sz w:val="24"/>
                <w:szCs w:val="24"/>
              </w:rPr>
              <w:t>。</w:t>
            </w:r>
          </w:p>
          <w:p>
            <w:pPr>
              <w:adjustRightInd w:val="0"/>
              <w:snapToGrid w:val="0"/>
              <w:spacing w:line="360" w:lineRule="auto"/>
              <w:ind w:firstLine="482"/>
              <w:textAlignment w:val="baseline"/>
              <w:rPr>
                <w:rFonts w:ascii="Times New Roman" w:hAnsi="Times New Roman" w:eastAsia="宋体"/>
                <w:sz w:val="24"/>
                <w:szCs w:val="24"/>
              </w:rPr>
            </w:pPr>
            <w:r>
              <w:rPr>
                <w:rFonts w:hint="eastAsia" w:ascii="Times New Roman" w:hAnsi="Times New Roman" w:eastAsia="宋体"/>
                <w:sz w:val="24"/>
                <w:szCs w:val="24"/>
              </w:rPr>
              <w:t>生活污水经厂内新建化粪池（1</w:t>
            </w:r>
            <w:r>
              <w:rPr>
                <w:rFonts w:ascii="Times New Roman" w:hAnsi="Times New Roman" w:eastAsia="宋体"/>
                <w:sz w:val="24"/>
                <w:szCs w:val="24"/>
              </w:rPr>
              <w:t>0</w:t>
            </w:r>
            <w:r>
              <w:rPr>
                <w:rFonts w:hint="eastAsia" w:ascii="Times New Roman" w:hAnsi="Times New Roman" w:eastAsia="宋体"/>
                <w:sz w:val="24"/>
                <w:szCs w:val="24"/>
              </w:rPr>
              <w:t>m</w:t>
            </w:r>
            <w:r>
              <w:rPr>
                <w:rFonts w:ascii="Times New Roman" w:hAnsi="Times New Roman" w:eastAsia="宋体"/>
                <w:sz w:val="24"/>
                <w:szCs w:val="24"/>
                <w:vertAlign w:val="superscript"/>
              </w:rPr>
              <w:t>3</w:t>
            </w:r>
            <w:r>
              <w:rPr>
                <w:rFonts w:hint="eastAsia" w:ascii="Times New Roman" w:hAnsi="Times New Roman" w:eastAsia="宋体"/>
                <w:sz w:val="24"/>
                <w:szCs w:val="24"/>
              </w:rPr>
              <w:t>）处理后通过园区污水管网排入蓝田工业园（洩湖镇）污水处理站，项目污水主要污染因子及排放浓度见下表。</w:t>
            </w:r>
          </w:p>
          <w:p>
            <w:pPr>
              <w:pStyle w:val="84"/>
            </w:pPr>
            <w:r>
              <w:rPr>
                <w:rFonts w:hint="eastAsia"/>
              </w:rPr>
              <w:t>表</w:t>
            </w:r>
            <w:r>
              <w:t xml:space="preserve">4-9 </w:t>
            </w:r>
            <w:r>
              <w:rPr>
                <w:rFonts w:hint="eastAsia"/>
              </w:rPr>
              <w:t xml:space="preserve"> 废水污染物产生情况一览表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42"/>
              <w:gridCol w:w="1018"/>
              <w:gridCol w:w="1021"/>
              <w:gridCol w:w="1013"/>
              <w:gridCol w:w="1013"/>
              <w:gridCol w:w="1017"/>
              <w:gridCol w:w="1015"/>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217" w:type="pct"/>
                  <w:gridSpan w:val="2"/>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废水类别及废水量</w:t>
                  </w:r>
                </w:p>
              </w:tc>
              <w:tc>
                <w:tcPr>
                  <w:tcW w:w="634" w:type="pc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COD</w:t>
                  </w:r>
                </w:p>
              </w:tc>
              <w:tc>
                <w:tcPr>
                  <w:tcW w:w="629" w:type="pc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B</w:t>
                  </w:r>
                  <w:r>
                    <w:rPr>
                      <w:rFonts w:ascii="Times New Roman" w:hAnsi="Times New Roman" w:eastAsia="宋体"/>
                      <w:b/>
                      <w:bCs/>
                    </w:rPr>
                    <w:t>OD</w:t>
                  </w:r>
                  <w:r>
                    <w:rPr>
                      <w:rFonts w:ascii="Times New Roman" w:hAnsi="Times New Roman" w:eastAsia="宋体"/>
                      <w:b/>
                      <w:bCs/>
                      <w:vertAlign w:val="subscript"/>
                    </w:rPr>
                    <w:t>5</w:t>
                  </w:r>
                </w:p>
              </w:tc>
              <w:tc>
                <w:tcPr>
                  <w:tcW w:w="629" w:type="pc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S</w:t>
                  </w:r>
                  <w:r>
                    <w:rPr>
                      <w:rFonts w:ascii="Times New Roman" w:hAnsi="Times New Roman" w:eastAsia="宋体"/>
                      <w:b/>
                      <w:bCs/>
                    </w:rPr>
                    <w:t>S</w:t>
                  </w:r>
                </w:p>
              </w:tc>
              <w:tc>
                <w:tcPr>
                  <w:tcW w:w="631" w:type="pc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氨氮</w:t>
                  </w:r>
                </w:p>
              </w:tc>
              <w:tc>
                <w:tcPr>
                  <w:tcW w:w="630" w:type="pc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TN</w:t>
                  </w:r>
                </w:p>
              </w:tc>
              <w:tc>
                <w:tcPr>
                  <w:tcW w:w="630" w:type="pct"/>
                  <w:vAlign w:val="center"/>
                </w:tcPr>
                <w:p>
                  <w:pPr>
                    <w:adjustRightInd w:val="0"/>
                    <w:snapToGrid w:val="0"/>
                    <w:jc w:val="center"/>
                    <w:rPr>
                      <w:rFonts w:ascii="Times New Roman" w:hAnsi="Times New Roman" w:eastAsia="宋体"/>
                      <w:b/>
                      <w:bCs/>
                    </w:rPr>
                  </w:pPr>
                  <w:r>
                    <w:rPr>
                      <w:rFonts w:hint="eastAsia" w:ascii="Times New Roman" w:hAnsi="Times New Roman" w:eastAsia="宋体"/>
                      <w:b/>
                      <w:bCs/>
                    </w:rPr>
                    <w:t>T</w:t>
                  </w:r>
                  <w:r>
                    <w:rPr>
                      <w:rFonts w:ascii="Times New Roman" w:hAnsi="Times New Roman" w:eastAsia="宋体"/>
                      <w:b/>
                      <w:bCs/>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85" w:type="pct"/>
                  <w:vMerge w:val="restart"/>
                  <w:vAlign w:val="center"/>
                </w:tcPr>
                <w:p>
                  <w:pPr>
                    <w:adjustRightInd w:val="0"/>
                    <w:snapToGrid w:val="0"/>
                    <w:jc w:val="center"/>
                    <w:rPr>
                      <w:rFonts w:ascii="Times New Roman" w:hAnsi="Times New Roman" w:eastAsia="宋体"/>
                      <w:b/>
                      <w:bCs/>
                    </w:rPr>
                  </w:pPr>
                  <w:r>
                    <w:rPr>
                      <w:rFonts w:hint="eastAsia" w:ascii="Times New Roman" w:hAnsi="Times New Roman" w:eastAsia="宋体"/>
                    </w:rPr>
                    <w:t>生活</w:t>
                  </w:r>
                  <w:r>
                    <w:rPr>
                      <w:rFonts w:ascii="Times New Roman" w:hAnsi="Times New Roman" w:eastAsia="宋体"/>
                    </w:rPr>
                    <w:t>污</w:t>
                  </w:r>
                  <w:r>
                    <w:rPr>
                      <w:rFonts w:hint="eastAsia" w:ascii="Times New Roman" w:hAnsi="Times New Roman" w:eastAsia="宋体"/>
                    </w:rPr>
                    <w:t>水</w:t>
                  </w:r>
                  <w:r>
                    <w:rPr>
                      <w:rFonts w:ascii="Times New Roman" w:hAnsi="Times New Roman" w:eastAsia="宋体"/>
                    </w:rPr>
                    <w:t>448</w:t>
                  </w:r>
                  <w:r>
                    <w:rPr>
                      <w:rFonts w:hint="eastAsia" w:ascii="Times New Roman" w:hAnsi="Times New Roman" w:eastAsia="宋体"/>
                    </w:rPr>
                    <w:t>m</w:t>
                  </w:r>
                  <w:r>
                    <w:rPr>
                      <w:rFonts w:hint="eastAsia" w:ascii="Times New Roman" w:hAnsi="Times New Roman" w:eastAsia="宋体"/>
                      <w:vertAlign w:val="superscript"/>
                    </w:rPr>
                    <w:t>3</w:t>
                  </w:r>
                  <w:r>
                    <w:rPr>
                      <w:rFonts w:hint="eastAsia" w:ascii="Times New Roman" w:hAnsi="Times New Roman" w:eastAsia="宋体"/>
                    </w:rPr>
                    <w:t>/a</w:t>
                  </w:r>
                </w:p>
              </w:tc>
              <w:tc>
                <w:tcPr>
                  <w:tcW w:w="632"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产生浓度mg/L</w:t>
                  </w:r>
                </w:p>
              </w:tc>
              <w:tc>
                <w:tcPr>
                  <w:tcW w:w="634"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460</w:t>
                  </w:r>
                </w:p>
              </w:tc>
              <w:tc>
                <w:tcPr>
                  <w:tcW w:w="629"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20</w:t>
                  </w:r>
                </w:p>
              </w:tc>
              <w:tc>
                <w:tcPr>
                  <w:tcW w:w="629"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00</w:t>
                  </w:r>
                </w:p>
              </w:tc>
              <w:tc>
                <w:tcPr>
                  <w:tcW w:w="631"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42</w:t>
                  </w:r>
                </w:p>
              </w:tc>
              <w:tc>
                <w:tcPr>
                  <w:tcW w:w="63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65</w:t>
                  </w:r>
                </w:p>
              </w:tc>
              <w:tc>
                <w:tcPr>
                  <w:tcW w:w="63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85" w:type="pct"/>
                  <w:vMerge w:val="continue"/>
                  <w:vAlign w:val="center"/>
                </w:tcPr>
                <w:p>
                  <w:pPr>
                    <w:adjustRightInd w:val="0"/>
                    <w:snapToGrid w:val="0"/>
                    <w:jc w:val="center"/>
                    <w:rPr>
                      <w:rFonts w:ascii="Times New Roman" w:hAnsi="Times New Roman" w:eastAsia="宋体"/>
                      <w:b/>
                      <w:bCs/>
                    </w:rPr>
                  </w:pPr>
                </w:p>
              </w:tc>
              <w:tc>
                <w:tcPr>
                  <w:tcW w:w="632"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产生量t</w:t>
                  </w:r>
                  <w:r>
                    <w:rPr>
                      <w:rFonts w:ascii="Times New Roman" w:hAnsi="Times New Roman" w:eastAsia="宋体" w:cs="Times New Roman"/>
                    </w:rPr>
                    <w:t>/</w:t>
                  </w:r>
                  <w:r>
                    <w:rPr>
                      <w:rFonts w:hint="eastAsia" w:ascii="Times New Roman" w:hAnsi="Times New Roman" w:eastAsia="宋体" w:cs="Times New Roman"/>
                    </w:rPr>
                    <w:t>a</w:t>
                  </w:r>
                </w:p>
              </w:tc>
              <w:tc>
                <w:tcPr>
                  <w:tcW w:w="634"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0.206</w:t>
                  </w:r>
                </w:p>
              </w:tc>
              <w:tc>
                <w:tcPr>
                  <w:tcW w:w="629"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0.099</w:t>
                  </w:r>
                </w:p>
              </w:tc>
              <w:tc>
                <w:tcPr>
                  <w:tcW w:w="629"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0.090</w:t>
                  </w:r>
                </w:p>
              </w:tc>
              <w:tc>
                <w:tcPr>
                  <w:tcW w:w="631"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0.019</w:t>
                  </w:r>
                </w:p>
              </w:tc>
              <w:tc>
                <w:tcPr>
                  <w:tcW w:w="63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0.029</w:t>
                  </w:r>
                </w:p>
              </w:tc>
              <w:tc>
                <w:tcPr>
                  <w:tcW w:w="63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85" w:type="pct"/>
                  <w:vMerge w:val="continue"/>
                  <w:vAlign w:val="center"/>
                </w:tcPr>
                <w:p>
                  <w:pPr>
                    <w:adjustRightInd w:val="0"/>
                    <w:snapToGrid w:val="0"/>
                    <w:jc w:val="center"/>
                    <w:rPr>
                      <w:rFonts w:ascii="Times New Roman" w:hAnsi="Times New Roman" w:eastAsia="宋体"/>
                      <w:b/>
                      <w:bCs/>
                    </w:rPr>
                  </w:pPr>
                </w:p>
              </w:tc>
              <w:tc>
                <w:tcPr>
                  <w:tcW w:w="632" w:type="pct"/>
                  <w:vAlign w:val="center"/>
                </w:tcPr>
                <w:p>
                  <w:pPr>
                    <w:adjustRightInd w:val="0"/>
                    <w:snapToGrid w:val="0"/>
                    <w:jc w:val="center"/>
                    <w:rPr>
                      <w:rFonts w:ascii="Times New Roman" w:hAnsi="Times New Roman" w:eastAsia="宋体" w:cs="Times New Roman"/>
                    </w:rPr>
                  </w:pPr>
                  <w:r>
                    <w:rPr>
                      <w:rFonts w:ascii="Times New Roman" w:hAnsi="Times New Roman" w:eastAsia="宋体"/>
                      <w:kern w:val="0"/>
                    </w:rPr>
                    <w:t>化粪池预处理</w:t>
                  </w:r>
                  <w:r>
                    <w:rPr>
                      <w:rFonts w:hint="eastAsia" w:ascii="Times New Roman" w:hAnsi="Times New Roman" w:eastAsia="宋体" w:cs="Times New Roman"/>
                    </w:rPr>
                    <w:t>效率%</w:t>
                  </w:r>
                </w:p>
              </w:tc>
              <w:tc>
                <w:tcPr>
                  <w:tcW w:w="634"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15</w:t>
                  </w:r>
                  <w:r>
                    <w:rPr>
                      <w:rFonts w:hint="eastAsia" w:ascii="Times New Roman" w:hAnsi="Times New Roman" w:eastAsia="宋体" w:cs="Times New Roman"/>
                    </w:rPr>
                    <w:t>%</w:t>
                  </w:r>
                </w:p>
              </w:tc>
              <w:tc>
                <w:tcPr>
                  <w:tcW w:w="629"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15</w:t>
                  </w:r>
                  <w:r>
                    <w:rPr>
                      <w:rFonts w:hint="eastAsia" w:ascii="Times New Roman" w:hAnsi="Times New Roman" w:eastAsia="宋体" w:cs="Times New Roman"/>
                    </w:rPr>
                    <w:t>%</w:t>
                  </w:r>
                </w:p>
              </w:tc>
              <w:tc>
                <w:tcPr>
                  <w:tcW w:w="629"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0%</w:t>
                  </w:r>
                </w:p>
              </w:tc>
              <w:tc>
                <w:tcPr>
                  <w:tcW w:w="631"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w:t>
                  </w:r>
                  <w:r>
                    <w:rPr>
                      <w:rFonts w:hint="eastAsia" w:ascii="Times New Roman" w:hAnsi="Times New Roman" w:eastAsia="宋体" w:cs="Times New Roman"/>
                    </w:rPr>
                    <w:t>%</w:t>
                  </w:r>
                </w:p>
              </w:tc>
              <w:tc>
                <w:tcPr>
                  <w:tcW w:w="63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w:t>
                  </w:r>
                  <w:r>
                    <w:rPr>
                      <w:rFonts w:hint="eastAsia" w:ascii="Times New Roman" w:hAnsi="Times New Roman" w:eastAsia="宋体" w:cs="Times New Roman"/>
                    </w:rPr>
                    <w:t>%</w:t>
                  </w:r>
                </w:p>
              </w:tc>
              <w:tc>
                <w:tcPr>
                  <w:tcW w:w="630"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85" w:type="pct"/>
                  <w:vMerge w:val="continue"/>
                  <w:vAlign w:val="center"/>
                </w:tcPr>
                <w:p>
                  <w:pPr>
                    <w:adjustRightInd w:val="0"/>
                    <w:snapToGrid w:val="0"/>
                    <w:jc w:val="center"/>
                    <w:rPr>
                      <w:rFonts w:ascii="Times New Roman" w:hAnsi="Times New Roman" w:eastAsia="宋体"/>
                      <w:b/>
                      <w:bCs/>
                    </w:rPr>
                  </w:pPr>
                </w:p>
              </w:tc>
              <w:tc>
                <w:tcPr>
                  <w:tcW w:w="632"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排放浓度mg/L</w:t>
                  </w:r>
                </w:p>
              </w:tc>
              <w:tc>
                <w:tcPr>
                  <w:tcW w:w="634"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391</w:t>
                  </w:r>
                </w:p>
              </w:tc>
              <w:tc>
                <w:tcPr>
                  <w:tcW w:w="629"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187</w:t>
                  </w:r>
                </w:p>
              </w:tc>
              <w:tc>
                <w:tcPr>
                  <w:tcW w:w="629"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140</w:t>
                  </w:r>
                </w:p>
              </w:tc>
              <w:tc>
                <w:tcPr>
                  <w:tcW w:w="631"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42</w:t>
                  </w:r>
                </w:p>
              </w:tc>
              <w:tc>
                <w:tcPr>
                  <w:tcW w:w="63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65</w:t>
                  </w:r>
                </w:p>
              </w:tc>
              <w:tc>
                <w:tcPr>
                  <w:tcW w:w="63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85" w:type="pct"/>
                  <w:vMerge w:val="continue"/>
                  <w:vAlign w:val="center"/>
                </w:tcPr>
                <w:p>
                  <w:pPr>
                    <w:adjustRightInd w:val="0"/>
                    <w:snapToGrid w:val="0"/>
                    <w:jc w:val="center"/>
                    <w:rPr>
                      <w:rFonts w:ascii="Times New Roman" w:hAnsi="Times New Roman" w:eastAsia="宋体"/>
                    </w:rPr>
                  </w:pPr>
                </w:p>
              </w:tc>
              <w:tc>
                <w:tcPr>
                  <w:tcW w:w="632"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排放量t/a</w:t>
                  </w:r>
                </w:p>
              </w:tc>
              <w:tc>
                <w:tcPr>
                  <w:tcW w:w="634"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0.175</w:t>
                  </w:r>
                </w:p>
              </w:tc>
              <w:tc>
                <w:tcPr>
                  <w:tcW w:w="629"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0.084</w:t>
                  </w:r>
                </w:p>
              </w:tc>
              <w:tc>
                <w:tcPr>
                  <w:tcW w:w="629"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0.063</w:t>
                  </w:r>
                </w:p>
              </w:tc>
              <w:tc>
                <w:tcPr>
                  <w:tcW w:w="631"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0.019</w:t>
                  </w:r>
                </w:p>
              </w:tc>
              <w:tc>
                <w:tcPr>
                  <w:tcW w:w="63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0.029</w:t>
                  </w:r>
                </w:p>
              </w:tc>
              <w:tc>
                <w:tcPr>
                  <w:tcW w:w="630"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0.002</w:t>
                  </w:r>
                </w:p>
              </w:tc>
            </w:tr>
          </w:tbl>
          <w:p>
            <w:pPr>
              <w:adjustRightInd w:val="0"/>
              <w:snapToGrid w:val="0"/>
              <w:spacing w:line="336" w:lineRule="auto"/>
              <w:ind w:firstLine="480" w:firstLineChars="200"/>
              <w:textAlignment w:val="baseline"/>
              <w:rPr>
                <w:rFonts w:ascii="Times New Roman" w:hAnsi="Times New Roman" w:eastAsia="宋体"/>
                <w:sz w:val="24"/>
                <w:szCs w:val="24"/>
              </w:rPr>
            </w:pPr>
          </w:p>
        </w:tc>
      </w:tr>
    </w:tbl>
    <w:p>
      <w:pPr>
        <w:pStyle w:val="34"/>
        <w:rPr>
          <w:rFonts w:ascii="Times New Roman"/>
          <w:color w:val="auto"/>
        </w:rPr>
        <w:sectPr>
          <w:pgSz w:w="11906" w:h="16838"/>
          <w:pgMar w:top="1440" w:right="1800" w:bottom="1440" w:left="1800" w:header="851" w:footer="992" w:gutter="0"/>
          <w:cols w:space="425" w:num="1"/>
          <w:docGrid w:type="lines" w:linePitch="312" w:charSpace="0"/>
        </w:sectPr>
      </w:pP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3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386" w:type="dxa"/>
          </w:tcPr>
          <w:p>
            <w:pPr>
              <w:adjustRightInd w:val="0"/>
              <w:snapToGrid w:val="0"/>
              <w:spacing w:line="360" w:lineRule="auto"/>
              <w:ind w:firstLine="480" w:firstLineChars="200"/>
              <w:rPr>
                <w:rFonts w:ascii="Times New Roman" w:hAnsi="Times New Roman" w:eastAsia="宋体" w:cs="Times New Roman"/>
                <w:bCs/>
                <w:sz w:val="24"/>
                <w:szCs w:val="32"/>
              </w:rPr>
            </w:pPr>
            <w:r>
              <w:rPr>
                <w:rFonts w:ascii="Times New Roman" w:hAnsi="Times New Roman" w:eastAsia="宋体" w:cs="Times New Roman"/>
                <w:bCs/>
                <w:sz w:val="24"/>
                <w:szCs w:val="32"/>
              </w:rPr>
              <w:t>（2）废水排入蓝田工业园（洩湖镇）污水处理站的可行性分析</w:t>
            </w:r>
          </w:p>
          <w:p>
            <w:pPr>
              <w:adjustRightInd w:val="0"/>
              <w:snapToGrid w:val="0"/>
              <w:spacing w:line="360" w:lineRule="auto"/>
              <w:ind w:firstLine="480" w:firstLineChars="200"/>
              <w:rPr>
                <w:rFonts w:ascii="Times New Roman" w:hAnsi="Times New Roman" w:eastAsia="宋体" w:cs="Times New Roman"/>
                <w:bCs/>
                <w:sz w:val="24"/>
                <w:szCs w:val="32"/>
              </w:rPr>
            </w:pPr>
            <w:r>
              <w:rPr>
                <w:rFonts w:ascii="Times New Roman" w:hAnsi="Times New Roman" w:eastAsia="宋体" w:cs="Times New Roman"/>
                <w:bCs/>
                <w:sz w:val="24"/>
                <w:szCs w:val="32"/>
              </w:rPr>
              <w:t>蓝田工业园（洩湖镇）污水处理站占地10.13亩</w:t>
            </w:r>
            <w:r>
              <w:rPr>
                <w:rFonts w:ascii="Times New Roman" w:hAnsi="Times New Roman" w:eastAsia="宋体" w:cs="Times New Roman"/>
                <w:bCs/>
                <w:sz w:val="24"/>
                <w:szCs w:val="24"/>
              </w:rPr>
              <w:t>，</w:t>
            </w:r>
            <w:r>
              <w:rPr>
                <w:rFonts w:ascii="Times New Roman" w:hAnsi="Times New Roman" w:eastAsia="宋体" w:cs="Times New Roman"/>
                <w:sz w:val="24"/>
                <w:szCs w:val="24"/>
              </w:rPr>
              <w:t>设</w:t>
            </w:r>
            <w:r>
              <w:rPr>
                <w:rFonts w:hint="eastAsia" w:ascii="Times New Roman" w:hAnsi="Times New Roman" w:eastAsia="宋体" w:cs="Times New Roman"/>
                <w:sz w:val="24"/>
                <w:szCs w:val="24"/>
              </w:rPr>
              <w:t>计</w:t>
            </w:r>
            <w:r>
              <w:rPr>
                <w:rFonts w:ascii="Times New Roman" w:hAnsi="Times New Roman" w:eastAsia="宋体" w:cs="Times New Roman"/>
                <w:sz w:val="24"/>
                <w:szCs w:val="24"/>
              </w:rPr>
              <w:t>处理规模</w:t>
            </w:r>
            <w:r>
              <w:rPr>
                <w:rFonts w:hint="eastAsia" w:ascii="Times New Roman" w:hAnsi="Times New Roman" w:eastAsia="宋体" w:cs="Times New Roman"/>
                <w:sz w:val="24"/>
                <w:szCs w:val="24"/>
              </w:rPr>
              <w:t>1950</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/d</w:t>
            </w:r>
            <w:r>
              <w:rPr>
                <w:rFonts w:hint="eastAsia" w:ascii="Times New Roman" w:hAnsi="Times New Roman" w:eastAsia="宋体" w:cs="Times New Roman"/>
                <w:sz w:val="24"/>
                <w:szCs w:val="24"/>
              </w:rPr>
              <w:t>（一期1000</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/d</w:t>
            </w:r>
            <w:r>
              <w:rPr>
                <w:rFonts w:hint="eastAsia" w:ascii="Times New Roman" w:hAnsi="Times New Roman" w:eastAsia="宋体" w:cs="Times New Roman"/>
                <w:sz w:val="24"/>
                <w:szCs w:val="24"/>
              </w:rPr>
              <w:t>，二期950</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/d</w:t>
            </w:r>
            <w:r>
              <w:rPr>
                <w:rFonts w:hint="eastAsia" w:ascii="Times New Roman" w:hAnsi="Times New Roman" w:eastAsia="宋体" w:cs="Times New Roman"/>
                <w:sz w:val="24"/>
                <w:szCs w:val="24"/>
              </w:rPr>
              <w:t>）</w:t>
            </w:r>
            <w:r>
              <w:rPr>
                <w:rFonts w:ascii="Times New Roman" w:hAnsi="Times New Roman" w:eastAsia="宋体" w:cs="Times New Roman"/>
                <w:bCs/>
                <w:sz w:val="24"/>
                <w:szCs w:val="32"/>
              </w:rPr>
              <w:t>，服务范围为蓝田工业园二期。主要建设内容为格栅渠及调节池、旋流沉砂池车间、VFL组合池、出水计量槽、污泥脱水机房、加药间、鼓风机房及变配电间、生物除臭滤池、休息室、值班室、化验室、进出水在线监测室。VFL组合池生化工艺主要为厌氧区-缺氧区-好氧区-沉淀区</w:t>
            </w:r>
            <w:r>
              <w:rPr>
                <w:rFonts w:hint="eastAsia" w:ascii="Times New Roman" w:hAnsi="Times New Roman" w:eastAsia="宋体" w:cs="Times New Roman"/>
                <w:bCs/>
                <w:sz w:val="24"/>
                <w:szCs w:val="32"/>
              </w:rPr>
              <w:t>。</w:t>
            </w:r>
            <w:r>
              <w:rPr>
                <w:rFonts w:hint="eastAsia" w:ascii="Times New Roman" w:hAnsi="Times New Roman" w:eastAsia="宋体" w:cs="Times New Roman"/>
                <w:sz w:val="24"/>
              </w:rPr>
              <w:t>根据现场调查，本项目位于</w:t>
            </w:r>
            <w:r>
              <w:rPr>
                <w:rFonts w:hint="eastAsia" w:ascii="Times New Roman" w:hAnsi="Times New Roman" w:eastAsia="宋体" w:cs="Times New Roman"/>
                <w:bCs/>
                <w:sz w:val="24"/>
                <w:szCs w:val="32"/>
              </w:rPr>
              <w:t>蓝田工业园电商物流片区，</w:t>
            </w:r>
            <w:r>
              <w:rPr>
                <w:rFonts w:hint="eastAsia" w:ascii="Times New Roman" w:hAnsi="Times New Roman" w:eastAsia="宋体" w:cs="Times New Roman"/>
                <w:sz w:val="24"/>
              </w:rPr>
              <w:t>属于</w:t>
            </w:r>
            <w:r>
              <w:rPr>
                <w:rFonts w:ascii="Times New Roman" w:hAnsi="Times New Roman" w:eastAsia="宋体" w:cs="Times New Roman"/>
                <w:bCs/>
                <w:sz w:val="24"/>
                <w:szCs w:val="32"/>
              </w:rPr>
              <w:t>蓝田工业园二期</w:t>
            </w:r>
            <w:r>
              <w:rPr>
                <w:rFonts w:hint="eastAsia" w:ascii="Times New Roman" w:hAnsi="Times New Roman" w:eastAsia="宋体" w:cs="Times New Roman"/>
                <w:sz w:val="24"/>
              </w:rPr>
              <w:t>范围内，</w:t>
            </w:r>
            <w:r>
              <w:rPr>
                <w:rFonts w:hint="eastAsia" w:ascii="Times New Roman" w:hAnsi="Times New Roman" w:eastAsia="宋体" w:cs="Times New Roman"/>
                <w:bCs/>
                <w:sz w:val="24"/>
                <w:szCs w:val="32"/>
              </w:rPr>
              <w:t>污水管网已沿园区道路敷设，管道直径为DN300~DN1000，</w:t>
            </w:r>
            <w:r>
              <w:rPr>
                <w:rFonts w:ascii="Times New Roman" w:hAnsi="Times New Roman" w:eastAsia="宋体" w:cs="Times New Roman"/>
                <w:bCs/>
                <w:sz w:val="24"/>
                <w:szCs w:val="32"/>
              </w:rPr>
              <w:t>项目</w:t>
            </w:r>
            <w:r>
              <w:rPr>
                <w:rFonts w:hint="eastAsia" w:ascii="Times New Roman" w:hAnsi="Times New Roman" w:eastAsia="宋体" w:cs="Times New Roman"/>
                <w:bCs/>
                <w:sz w:val="24"/>
                <w:szCs w:val="32"/>
              </w:rPr>
              <w:t>生活污水产生浓度较小，</w:t>
            </w:r>
            <w:r>
              <w:rPr>
                <w:rFonts w:ascii="Times New Roman" w:hAnsi="Times New Roman" w:eastAsia="宋体" w:cs="Times New Roman"/>
                <w:bCs/>
                <w:sz w:val="24"/>
                <w:szCs w:val="32"/>
              </w:rPr>
              <w:t>可以达标排放，</w:t>
            </w:r>
            <w:r>
              <w:rPr>
                <w:rFonts w:hint="eastAsia" w:ascii="Times New Roman" w:hAnsi="Times New Roman" w:eastAsia="宋体" w:cs="Times New Roman"/>
                <w:bCs/>
                <w:sz w:val="24"/>
                <w:szCs w:val="32"/>
              </w:rPr>
              <w:t>同时满足</w:t>
            </w:r>
            <w:r>
              <w:rPr>
                <w:rFonts w:ascii="Times New Roman" w:hAnsi="Times New Roman" w:eastAsia="宋体" w:cs="Times New Roman"/>
                <w:bCs/>
                <w:sz w:val="24"/>
                <w:szCs w:val="32"/>
              </w:rPr>
              <w:t>污水处理</w:t>
            </w:r>
            <w:r>
              <w:rPr>
                <w:rFonts w:hint="eastAsia" w:ascii="Times New Roman" w:hAnsi="Times New Roman" w:eastAsia="宋体" w:cs="Times New Roman"/>
                <w:bCs/>
                <w:sz w:val="24"/>
                <w:szCs w:val="32"/>
              </w:rPr>
              <w:t>站的进水要求，</w:t>
            </w:r>
            <w:r>
              <w:rPr>
                <w:rFonts w:ascii="Times New Roman" w:hAnsi="Times New Roman" w:eastAsia="宋体" w:cs="Times New Roman"/>
                <w:bCs/>
                <w:sz w:val="24"/>
                <w:szCs w:val="32"/>
              </w:rPr>
              <w:t>废水</w:t>
            </w:r>
            <w:r>
              <w:rPr>
                <w:rFonts w:ascii="Times New Roman" w:hAnsi="Times New Roman" w:eastAsia="宋体" w:cs="Times New Roman"/>
                <w:sz w:val="24"/>
              </w:rPr>
              <w:t>排放量较小，</w:t>
            </w:r>
            <w:r>
              <w:rPr>
                <w:rFonts w:hint="eastAsia" w:ascii="Times New Roman" w:hAnsi="Times New Roman" w:eastAsia="宋体" w:cs="Times New Roman"/>
                <w:sz w:val="24"/>
              </w:rPr>
              <w:t>日排放量</w:t>
            </w:r>
            <w:r>
              <w:rPr>
                <w:rFonts w:ascii="Times New Roman" w:hAnsi="Times New Roman" w:eastAsia="宋体" w:cs="Times New Roman"/>
                <w:sz w:val="24"/>
              </w:rPr>
              <w:t>1.6m</w:t>
            </w:r>
            <w:r>
              <w:rPr>
                <w:rFonts w:ascii="Times New Roman" w:hAnsi="Times New Roman" w:eastAsia="宋体" w:cs="Times New Roman"/>
                <w:sz w:val="24"/>
                <w:vertAlign w:val="superscript"/>
              </w:rPr>
              <w:t>3</w:t>
            </w:r>
            <w:r>
              <w:rPr>
                <w:rFonts w:hint="eastAsia" w:ascii="Times New Roman" w:hAnsi="Times New Roman" w:eastAsia="宋体" w:cs="Times New Roman"/>
                <w:sz w:val="24"/>
              </w:rPr>
              <w:t>，</w:t>
            </w:r>
            <w:r>
              <w:rPr>
                <w:rFonts w:ascii="Times New Roman" w:hAnsi="Times New Roman" w:eastAsia="宋体" w:cs="Times New Roman"/>
                <w:bCs/>
                <w:sz w:val="24"/>
                <w:szCs w:val="32"/>
              </w:rPr>
              <w:t>污水处理站</w:t>
            </w:r>
            <w:r>
              <w:rPr>
                <w:rFonts w:hint="eastAsia" w:ascii="Times New Roman" w:hAnsi="Times New Roman" w:eastAsia="宋体" w:cs="Times New Roman"/>
                <w:sz w:val="24"/>
              </w:rPr>
              <w:t>现状废水处理量约850m</w:t>
            </w:r>
            <w:r>
              <w:rPr>
                <w:rFonts w:hint="eastAsia" w:ascii="Times New Roman" w:hAnsi="Times New Roman" w:eastAsia="宋体" w:cs="Times New Roman"/>
                <w:sz w:val="24"/>
                <w:vertAlign w:val="superscript"/>
              </w:rPr>
              <w:t>3</w:t>
            </w:r>
            <w:r>
              <w:rPr>
                <w:rFonts w:hint="eastAsia" w:ascii="Times New Roman" w:hAnsi="Times New Roman" w:eastAsia="宋体" w:cs="Times New Roman"/>
                <w:sz w:val="24"/>
              </w:rPr>
              <w:t>/d，</w:t>
            </w:r>
            <w:r>
              <w:rPr>
                <w:rFonts w:ascii="Times New Roman" w:hAnsi="Times New Roman" w:eastAsia="宋体" w:cs="Times New Roman"/>
                <w:sz w:val="24"/>
              </w:rPr>
              <w:t>对污水</w:t>
            </w:r>
            <w:r>
              <w:rPr>
                <w:rFonts w:ascii="Times New Roman" w:hAnsi="Times New Roman" w:eastAsia="宋体"/>
                <w:sz w:val="24"/>
                <w:szCs w:val="24"/>
              </w:rPr>
              <w:t>处理</w:t>
            </w:r>
            <w:r>
              <w:rPr>
                <w:rFonts w:hint="eastAsia" w:ascii="Times New Roman" w:hAnsi="Times New Roman" w:eastAsia="宋体" w:cs="Times New Roman"/>
                <w:sz w:val="24"/>
              </w:rPr>
              <w:t>站</w:t>
            </w:r>
            <w:r>
              <w:rPr>
                <w:rFonts w:ascii="Times New Roman" w:hAnsi="Times New Roman" w:eastAsia="宋体"/>
                <w:sz w:val="24"/>
                <w:szCs w:val="24"/>
              </w:rPr>
              <w:t>处理负荷冲击较小。综上所述本项目排入</w:t>
            </w:r>
            <w:r>
              <w:rPr>
                <w:rFonts w:ascii="Times New Roman" w:hAnsi="Times New Roman" w:eastAsia="宋体" w:cs="Times New Roman"/>
                <w:bCs/>
                <w:sz w:val="24"/>
                <w:szCs w:val="32"/>
              </w:rPr>
              <w:t>蓝田工业园（洩湖镇）污水处理站</w:t>
            </w:r>
            <w:r>
              <w:rPr>
                <w:rFonts w:ascii="Times New Roman" w:hAnsi="Times New Roman" w:eastAsia="宋体"/>
                <w:sz w:val="24"/>
                <w:szCs w:val="24"/>
              </w:rPr>
              <w:t>可行。</w:t>
            </w:r>
          </w:p>
          <w:p>
            <w:pPr>
              <w:pStyle w:val="36"/>
            </w:pPr>
            <w:r>
              <w:rPr>
                <w:rFonts w:hint="eastAsia"/>
              </w:rPr>
              <w:t>3、</w:t>
            </w:r>
            <w:r>
              <w:t>噪声</w:t>
            </w:r>
          </w:p>
          <w:p>
            <w:pPr>
              <w:spacing w:line="360" w:lineRule="auto"/>
              <w:ind w:firstLine="480" w:firstLineChars="200"/>
              <w:rPr>
                <w:rFonts w:ascii="Times New Roman" w:hAnsi="Times New Roman" w:eastAsia="宋体"/>
                <w:b/>
                <w:bCs/>
                <w:szCs w:val="18"/>
              </w:rPr>
            </w:pPr>
            <w:r>
              <w:rPr>
                <w:rFonts w:hint="eastAsia" w:ascii="Times New Roman" w:hAnsi="Times New Roman" w:eastAsia="宋体" w:cs="Times New Roman"/>
                <w:bCs/>
                <w:sz w:val="24"/>
              </w:rPr>
              <w:t>项目高噪声源为生产设备、风机噪声，其噪声源强在</w:t>
            </w:r>
            <w:r>
              <w:rPr>
                <w:rFonts w:ascii="Times New Roman" w:hAnsi="Times New Roman" w:eastAsia="宋体" w:cs="Times New Roman"/>
                <w:bCs/>
                <w:sz w:val="24"/>
              </w:rPr>
              <w:t>70</w:t>
            </w:r>
            <w:r>
              <w:rPr>
                <w:rFonts w:hint="eastAsia" w:ascii="Times New Roman" w:hAnsi="Times New Roman" w:eastAsia="宋体" w:cs="Times New Roman"/>
                <w:bCs/>
                <w:sz w:val="24"/>
              </w:rPr>
              <w:t>~</w:t>
            </w:r>
            <w:r>
              <w:rPr>
                <w:rFonts w:ascii="Times New Roman" w:hAnsi="Times New Roman" w:eastAsia="宋体" w:cs="Times New Roman"/>
                <w:bCs/>
                <w:sz w:val="24"/>
              </w:rPr>
              <w:t>90</w:t>
            </w:r>
            <w:r>
              <w:rPr>
                <w:rFonts w:hint="eastAsia" w:ascii="Times New Roman" w:hAnsi="Times New Roman" w:eastAsia="宋体" w:cs="Times New Roman"/>
                <w:bCs/>
                <w:sz w:val="24"/>
              </w:rPr>
              <w:t>dB（A）之间，主要噪声源见表</w:t>
            </w:r>
            <w:r>
              <w:rPr>
                <w:rFonts w:ascii="Times New Roman" w:hAnsi="Times New Roman" w:eastAsia="宋体" w:cs="Times New Roman"/>
                <w:bCs/>
                <w:sz w:val="24"/>
              </w:rPr>
              <w:t>4-10</w:t>
            </w:r>
            <w:r>
              <w:rPr>
                <w:rFonts w:hint="eastAsia" w:ascii="Times New Roman" w:hAnsi="Times New Roman" w:eastAsia="宋体" w:cs="Times New Roman"/>
                <w:bCs/>
                <w:sz w:val="24"/>
              </w:rPr>
              <w:t>、4</w:t>
            </w:r>
            <w:r>
              <w:rPr>
                <w:rFonts w:ascii="Times New Roman" w:hAnsi="Times New Roman" w:eastAsia="宋体" w:cs="Times New Roman"/>
                <w:bCs/>
                <w:sz w:val="24"/>
              </w:rPr>
              <w:t>-11</w:t>
            </w:r>
            <w:r>
              <w:rPr>
                <w:rFonts w:hint="eastAsia" w:ascii="Times New Roman" w:hAnsi="Times New Roman" w:eastAsia="宋体" w:cs="Times New Roman"/>
                <w:bCs/>
                <w:sz w:val="24"/>
              </w:rPr>
              <w:t>。</w:t>
            </w:r>
          </w:p>
          <w:p>
            <w:pPr>
              <w:jc w:val="center"/>
              <w:rPr>
                <w:rFonts w:ascii="Times New Roman" w:hAnsi="Times New Roman" w:eastAsia="宋体"/>
                <w:b/>
                <w:bCs/>
                <w:sz w:val="24"/>
                <w:szCs w:val="24"/>
              </w:rPr>
            </w:pPr>
            <w:r>
              <w:rPr>
                <w:rFonts w:ascii="Times New Roman" w:hAnsi="Times New Roman" w:eastAsia="宋体"/>
                <w:b/>
                <w:bCs/>
                <w:sz w:val="24"/>
                <w:szCs w:val="24"/>
              </w:rPr>
              <w:t>表4-10  项目噪声情况一览表    单位：dB</w:t>
            </w:r>
            <w:r>
              <w:rPr>
                <w:rFonts w:hint="eastAsia" w:ascii="Times New Roman" w:hAnsi="Times New Roman" w:eastAsia="宋体"/>
                <w:b/>
                <w:bCs/>
                <w:sz w:val="24"/>
                <w:szCs w:val="24"/>
              </w:rPr>
              <w:t>（</w:t>
            </w:r>
            <w:r>
              <w:rPr>
                <w:rFonts w:ascii="Times New Roman" w:hAnsi="Times New Roman" w:eastAsia="宋体"/>
                <w:b/>
                <w:bCs/>
                <w:sz w:val="24"/>
                <w:szCs w:val="24"/>
              </w:rPr>
              <w:t>A）</w:t>
            </w:r>
            <w:r>
              <w:rPr>
                <w:rFonts w:hint="eastAsia" w:ascii="Times New Roman" w:hAnsi="Times New Roman" w:eastAsia="宋体"/>
                <w:b/>
                <w:bCs/>
                <w:sz w:val="24"/>
                <w:szCs w:val="24"/>
              </w:rPr>
              <w:t>（室内声源）</w:t>
            </w:r>
          </w:p>
          <w:tbl>
            <w:tblPr>
              <w:tblStyle w:val="26"/>
              <w:tblpPr w:leftFromText="180" w:rightFromText="180" w:vertAnchor="text" w:tblpXSpec="center" w:tblpY="1"/>
              <w:tblOverlap w:val="never"/>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356"/>
              <w:gridCol w:w="1288"/>
              <w:gridCol w:w="1025"/>
              <w:gridCol w:w="636"/>
              <w:gridCol w:w="426"/>
              <w:gridCol w:w="452"/>
              <w:gridCol w:w="345"/>
              <w:gridCol w:w="457"/>
              <w:gridCol w:w="427"/>
              <w:gridCol w:w="455"/>
              <w:gridCol w:w="478"/>
              <w:gridCol w:w="427"/>
              <w:gridCol w:w="427"/>
              <w:gridCol w:w="427"/>
              <w:gridCol w:w="427"/>
              <w:gridCol w:w="427"/>
              <w:gridCol w:w="812"/>
              <w:gridCol w:w="427"/>
              <w:gridCol w:w="427"/>
              <w:gridCol w:w="428"/>
              <w:gridCol w:w="428"/>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Merge w:val="restart"/>
                  <w:vAlign w:val="center"/>
                </w:tcPr>
                <w:p>
                  <w:pPr>
                    <w:jc w:val="center"/>
                    <w:rPr>
                      <w:rFonts w:ascii="Times New Roman" w:hAnsi="Times New Roman" w:eastAsia="宋体"/>
                      <w:b/>
                      <w:bCs/>
                    </w:rPr>
                  </w:pPr>
                  <w:r>
                    <w:rPr>
                      <w:rFonts w:ascii="Times New Roman" w:hAnsi="Times New Roman" w:eastAsia="宋体"/>
                      <w:b/>
                      <w:bCs/>
                    </w:rPr>
                    <w:t>序号</w:t>
                  </w:r>
                </w:p>
              </w:tc>
              <w:tc>
                <w:tcPr>
                  <w:tcW w:w="530" w:type="pct"/>
                  <w:vMerge w:val="restart"/>
                  <w:vAlign w:val="center"/>
                </w:tcPr>
                <w:p>
                  <w:pPr>
                    <w:jc w:val="center"/>
                    <w:rPr>
                      <w:rFonts w:ascii="Times New Roman" w:hAnsi="Times New Roman" w:eastAsia="宋体"/>
                      <w:b/>
                      <w:bCs/>
                    </w:rPr>
                  </w:pPr>
                  <w:r>
                    <w:rPr>
                      <w:rFonts w:ascii="Times New Roman" w:hAnsi="Times New Roman" w:eastAsia="宋体"/>
                      <w:b/>
                      <w:bCs/>
                    </w:rPr>
                    <w:t>声源名称</w:t>
                  </w:r>
                </w:p>
              </w:tc>
              <w:tc>
                <w:tcPr>
                  <w:tcW w:w="504" w:type="pct"/>
                  <w:vMerge w:val="restart"/>
                  <w:vAlign w:val="center"/>
                </w:tcPr>
                <w:p>
                  <w:pPr>
                    <w:jc w:val="center"/>
                    <w:rPr>
                      <w:rFonts w:ascii="Times New Roman" w:hAnsi="Times New Roman" w:eastAsia="宋体"/>
                      <w:b/>
                      <w:bCs/>
                    </w:rPr>
                  </w:pPr>
                  <w:r>
                    <w:rPr>
                      <w:rFonts w:ascii="Times New Roman" w:hAnsi="Times New Roman" w:eastAsia="宋体"/>
                      <w:b/>
                      <w:bCs/>
                    </w:rPr>
                    <w:t>型号</w:t>
                  </w:r>
                </w:p>
              </w:tc>
              <w:tc>
                <w:tcPr>
                  <w:tcW w:w="404" w:type="pct"/>
                  <w:vMerge w:val="restart"/>
                  <w:vAlign w:val="center"/>
                </w:tcPr>
                <w:p>
                  <w:pPr>
                    <w:jc w:val="center"/>
                    <w:rPr>
                      <w:rFonts w:ascii="Times New Roman" w:hAnsi="Times New Roman" w:eastAsia="宋体"/>
                      <w:b/>
                      <w:bCs/>
                    </w:rPr>
                  </w:pPr>
                  <w:r>
                    <w:rPr>
                      <w:rFonts w:ascii="Times New Roman" w:hAnsi="Times New Roman" w:eastAsia="宋体"/>
                      <w:b/>
                      <w:bCs/>
                    </w:rPr>
                    <w:t>声功率级/dB(A)</w:t>
                  </w:r>
                </w:p>
              </w:tc>
              <w:tc>
                <w:tcPr>
                  <w:tcW w:w="225" w:type="pct"/>
                  <w:vMerge w:val="restart"/>
                  <w:vAlign w:val="center"/>
                </w:tcPr>
                <w:p>
                  <w:pPr>
                    <w:jc w:val="center"/>
                    <w:rPr>
                      <w:rFonts w:ascii="Times New Roman" w:hAnsi="Times New Roman" w:eastAsia="宋体"/>
                      <w:b/>
                      <w:bCs/>
                    </w:rPr>
                  </w:pPr>
                  <w:r>
                    <w:rPr>
                      <w:rFonts w:ascii="Times New Roman" w:hAnsi="Times New Roman" w:eastAsia="宋体"/>
                      <w:b/>
                      <w:bCs/>
                    </w:rPr>
                    <w:t>声源控制措施</w:t>
                  </w:r>
                </w:p>
              </w:tc>
              <w:tc>
                <w:tcPr>
                  <w:tcW w:w="465" w:type="pct"/>
                  <w:gridSpan w:val="3"/>
                  <w:vAlign w:val="center"/>
                </w:tcPr>
                <w:p>
                  <w:pPr>
                    <w:jc w:val="center"/>
                    <w:rPr>
                      <w:rFonts w:ascii="Times New Roman" w:hAnsi="Times New Roman" w:eastAsia="宋体"/>
                      <w:b/>
                      <w:bCs/>
                    </w:rPr>
                  </w:pPr>
                  <w:r>
                    <w:rPr>
                      <w:rFonts w:ascii="Times New Roman" w:hAnsi="Times New Roman" w:eastAsia="宋体"/>
                      <w:b/>
                      <w:bCs/>
                    </w:rPr>
                    <w:t>空间相对位置/m</w:t>
                  </w:r>
                </w:p>
              </w:tc>
              <w:tc>
                <w:tcPr>
                  <w:tcW w:w="725" w:type="pct"/>
                  <w:gridSpan w:val="4"/>
                  <w:vAlign w:val="center"/>
                </w:tcPr>
                <w:p>
                  <w:pPr>
                    <w:jc w:val="center"/>
                    <w:rPr>
                      <w:rFonts w:ascii="Times New Roman" w:hAnsi="Times New Roman" w:eastAsia="宋体"/>
                      <w:b/>
                      <w:bCs/>
                    </w:rPr>
                  </w:pPr>
                  <w:r>
                    <w:rPr>
                      <w:rFonts w:ascii="Times New Roman" w:hAnsi="Times New Roman" w:eastAsia="宋体"/>
                      <w:b/>
                      <w:bCs/>
                    </w:rPr>
                    <w:t>距室内边界距离/m</w:t>
                  </w:r>
                </w:p>
              </w:tc>
              <w:tc>
                <w:tcPr>
                  <w:tcW w:w="606" w:type="pct"/>
                  <w:gridSpan w:val="4"/>
                  <w:vAlign w:val="center"/>
                </w:tcPr>
                <w:p>
                  <w:pPr>
                    <w:jc w:val="center"/>
                    <w:rPr>
                      <w:rFonts w:ascii="Times New Roman" w:hAnsi="Times New Roman" w:eastAsia="宋体"/>
                      <w:b/>
                      <w:bCs/>
                    </w:rPr>
                  </w:pPr>
                  <w:r>
                    <w:rPr>
                      <w:rFonts w:ascii="Times New Roman" w:hAnsi="Times New Roman" w:eastAsia="宋体"/>
                      <w:b/>
                      <w:bCs/>
                    </w:rPr>
                    <w:t>室内边界声级/dB</w:t>
                  </w:r>
                </w:p>
                <w:p>
                  <w:pPr>
                    <w:jc w:val="center"/>
                    <w:rPr>
                      <w:rFonts w:ascii="Times New Roman" w:hAnsi="Times New Roman" w:eastAsia="宋体"/>
                      <w:b/>
                      <w:bCs/>
                    </w:rPr>
                  </w:pPr>
                  <w:r>
                    <w:rPr>
                      <w:rFonts w:ascii="Times New Roman" w:hAnsi="Times New Roman" w:eastAsia="宋体"/>
                      <w:b/>
                      <w:bCs/>
                    </w:rPr>
                    <w:t>(A)</w:t>
                  </w:r>
                </w:p>
              </w:tc>
              <w:tc>
                <w:tcPr>
                  <w:tcW w:w="151" w:type="pct"/>
                  <w:vMerge w:val="restart"/>
                  <w:vAlign w:val="center"/>
                </w:tcPr>
                <w:p>
                  <w:pPr>
                    <w:jc w:val="center"/>
                    <w:rPr>
                      <w:rFonts w:ascii="Times New Roman" w:hAnsi="Times New Roman" w:eastAsia="宋体"/>
                      <w:b/>
                      <w:bCs/>
                    </w:rPr>
                  </w:pPr>
                  <w:r>
                    <w:rPr>
                      <w:rFonts w:ascii="Times New Roman" w:hAnsi="Times New Roman" w:eastAsia="宋体"/>
                      <w:b/>
                      <w:bCs/>
                    </w:rPr>
                    <w:t>运行时段</w:t>
                  </w:r>
                </w:p>
              </w:tc>
              <w:tc>
                <w:tcPr>
                  <w:tcW w:w="294" w:type="pct"/>
                  <w:vMerge w:val="restart"/>
                  <w:vAlign w:val="center"/>
                </w:tcPr>
                <w:p>
                  <w:pPr>
                    <w:jc w:val="center"/>
                    <w:rPr>
                      <w:rFonts w:ascii="Times New Roman" w:hAnsi="Times New Roman" w:eastAsia="宋体"/>
                      <w:b/>
                      <w:bCs/>
                    </w:rPr>
                  </w:pPr>
                  <w:r>
                    <w:rPr>
                      <w:rFonts w:ascii="Times New Roman" w:hAnsi="Times New Roman" w:eastAsia="宋体"/>
                      <w:b/>
                      <w:bCs/>
                    </w:rPr>
                    <w:t>建筑物插入损失/dB(A)</w:t>
                  </w:r>
                </w:p>
              </w:tc>
              <w:tc>
                <w:tcPr>
                  <w:tcW w:w="945" w:type="pct"/>
                  <w:gridSpan w:val="5"/>
                  <w:vAlign w:val="center"/>
                </w:tcPr>
                <w:p>
                  <w:pPr>
                    <w:jc w:val="center"/>
                    <w:rPr>
                      <w:rFonts w:ascii="Times New Roman" w:hAnsi="Times New Roman" w:eastAsia="宋体"/>
                      <w:b/>
                      <w:bCs/>
                    </w:rPr>
                  </w:pPr>
                  <w:r>
                    <w:rPr>
                      <w:rFonts w:ascii="Times New Roman" w:hAnsi="Times New Roman" w:eastAsia="宋体"/>
                      <w:b/>
                      <w:bCs/>
                    </w:rPr>
                    <w:t>建筑物外噪声声压级/dB(A)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Merge w:val="continue"/>
                  <w:vAlign w:val="center"/>
                </w:tcPr>
                <w:p>
                  <w:pPr>
                    <w:jc w:val="center"/>
                    <w:rPr>
                      <w:rFonts w:ascii="Times New Roman" w:hAnsi="Times New Roman" w:eastAsia="宋体"/>
                      <w:b/>
                      <w:bCs/>
                    </w:rPr>
                  </w:pPr>
                </w:p>
              </w:tc>
              <w:tc>
                <w:tcPr>
                  <w:tcW w:w="530" w:type="pct"/>
                  <w:vMerge w:val="continue"/>
                  <w:vAlign w:val="center"/>
                </w:tcPr>
                <w:p>
                  <w:pPr>
                    <w:jc w:val="center"/>
                    <w:rPr>
                      <w:rFonts w:ascii="Times New Roman" w:hAnsi="Times New Roman" w:eastAsia="宋体"/>
                      <w:b/>
                      <w:bCs/>
                    </w:rPr>
                  </w:pPr>
                </w:p>
              </w:tc>
              <w:tc>
                <w:tcPr>
                  <w:tcW w:w="504" w:type="pct"/>
                  <w:vMerge w:val="continue"/>
                  <w:vAlign w:val="center"/>
                </w:tcPr>
                <w:p>
                  <w:pPr>
                    <w:jc w:val="center"/>
                    <w:rPr>
                      <w:rFonts w:ascii="Times New Roman" w:hAnsi="Times New Roman" w:eastAsia="宋体"/>
                      <w:b/>
                      <w:bCs/>
                    </w:rPr>
                  </w:pPr>
                </w:p>
              </w:tc>
              <w:tc>
                <w:tcPr>
                  <w:tcW w:w="404" w:type="pct"/>
                  <w:vMerge w:val="continue"/>
                  <w:vAlign w:val="center"/>
                </w:tcPr>
                <w:p>
                  <w:pPr>
                    <w:jc w:val="center"/>
                    <w:rPr>
                      <w:rFonts w:ascii="Times New Roman" w:hAnsi="Times New Roman" w:eastAsia="宋体"/>
                      <w:b/>
                      <w:bCs/>
                    </w:rPr>
                  </w:pPr>
                </w:p>
              </w:tc>
              <w:tc>
                <w:tcPr>
                  <w:tcW w:w="225" w:type="pct"/>
                  <w:vMerge w:val="continue"/>
                  <w:vAlign w:val="center"/>
                </w:tcPr>
                <w:p>
                  <w:pPr>
                    <w:jc w:val="center"/>
                    <w:rPr>
                      <w:rFonts w:ascii="Times New Roman" w:hAnsi="Times New Roman" w:eastAsia="宋体"/>
                      <w:b/>
                      <w:bCs/>
                    </w:rPr>
                  </w:pPr>
                </w:p>
              </w:tc>
              <w:tc>
                <w:tcPr>
                  <w:tcW w:w="151" w:type="pct"/>
                  <w:vAlign w:val="center"/>
                </w:tcPr>
                <w:p>
                  <w:pPr>
                    <w:jc w:val="center"/>
                    <w:rPr>
                      <w:rFonts w:ascii="Times New Roman" w:hAnsi="Times New Roman" w:eastAsia="宋体"/>
                      <w:b/>
                      <w:bCs/>
                    </w:rPr>
                  </w:pPr>
                  <w:r>
                    <w:rPr>
                      <w:rFonts w:ascii="Times New Roman" w:hAnsi="Times New Roman" w:eastAsia="宋体"/>
                      <w:b/>
                      <w:bCs/>
                    </w:rPr>
                    <w:t>X</w:t>
                  </w:r>
                </w:p>
              </w:tc>
              <w:tc>
                <w:tcPr>
                  <w:tcW w:w="186" w:type="pct"/>
                  <w:vAlign w:val="center"/>
                </w:tcPr>
                <w:p>
                  <w:pPr>
                    <w:jc w:val="center"/>
                    <w:rPr>
                      <w:rFonts w:ascii="Times New Roman" w:hAnsi="Times New Roman" w:eastAsia="宋体"/>
                      <w:b/>
                      <w:bCs/>
                    </w:rPr>
                  </w:pPr>
                  <w:r>
                    <w:rPr>
                      <w:rFonts w:ascii="Times New Roman" w:hAnsi="Times New Roman" w:eastAsia="宋体"/>
                      <w:b/>
                      <w:bCs/>
                    </w:rPr>
                    <w:t>Y</w:t>
                  </w:r>
                </w:p>
              </w:tc>
              <w:tc>
                <w:tcPr>
                  <w:tcW w:w="128" w:type="pct"/>
                  <w:vAlign w:val="center"/>
                </w:tcPr>
                <w:p>
                  <w:pPr>
                    <w:jc w:val="center"/>
                    <w:rPr>
                      <w:rFonts w:ascii="Times New Roman" w:hAnsi="Times New Roman" w:eastAsia="宋体"/>
                      <w:b/>
                      <w:bCs/>
                    </w:rPr>
                  </w:pPr>
                  <w:r>
                    <w:rPr>
                      <w:rFonts w:ascii="Times New Roman" w:hAnsi="Times New Roman" w:eastAsia="宋体"/>
                      <w:b/>
                      <w:bCs/>
                    </w:rPr>
                    <w:t>Z</w:t>
                  </w:r>
                </w:p>
              </w:tc>
              <w:tc>
                <w:tcPr>
                  <w:tcW w:w="188" w:type="pct"/>
                  <w:vAlign w:val="center"/>
                </w:tcPr>
                <w:p>
                  <w:pPr>
                    <w:jc w:val="center"/>
                    <w:rPr>
                      <w:rFonts w:ascii="Times New Roman" w:hAnsi="Times New Roman" w:eastAsia="宋体"/>
                      <w:b/>
                      <w:bCs/>
                    </w:rPr>
                  </w:pPr>
                  <w:r>
                    <w:rPr>
                      <w:rFonts w:hint="eastAsia" w:ascii="Times New Roman" w:hAnsi="Times New Roman" w:eastAsia="宋体"/>
                      <w:b/>
                      <w:bCs/>
                    </w:rPr>
                    <w:t>东</w:t>
                  </w:r>
                </w:p>
              </w:tc>
              <w:tc>
                <w:tcPr>
                  <w:tcW w:w="154" w:type="pct"/>
                  <w:vAlign w:val="center"/>
                </w:tcPr>
                <w:p>
                  <w:pPr>
                    <w:jc w:val="center"/>
                    <w:rPr>
                      <w:rFonts w:ascii="Times New Roman" w:hAnsi="Times New Roman" w:eastAsia="宋体"/>
                      <w:b/>
                      <w:bCs/>
                    </w:rPr>
                  </w:pPr>
                  <w:r>
                    <w:rPr>
                      <w:rFonts w:hint="eastAsia" w:ascii="Times New Roman" w:hAnsi="Times New Roman" w:eastAsia="宋体"/>
                      <w:b/>
                      <w:bCs/>
                    </w:rPr>
                    <w:t>南</w:t>
                  </w:r>
                </w:p>
              </w:tc>
              <w:tc>
                <w:tcPr>
                  <w:tcW w:w="187" w:type="pct"/>
                  <w:vAlign w:val="center"/>
                </w:tcPr>
                <w:p>
                  <w:pPr>
                    <w:jc w:val="center"/>
                    <w:rPr>
                      <w:rFonts w:ascii="Times New Roman" w:hAnsi="Times New Roman" w:eastAsia="宋体"/>
                      <w:b/>
                      <w:bCs/>
                    </w:rPr>
                  </w:pPr>
                  <w:r>
                    <w:rPr>
                      <w:rFonts w:hint="eastAsia" w:ascii="Times New Roman" w:hAnsi="Times New Roman" w:eastAsia="宋体"/>
                      <w:b/>
                      <w:bCs/>
                    </w:rPr>
                    <w:t>西</w:t>
                  </w:r>
                </w:p>
              </w:tc>
              <w:tc>
                <w:tcPr>
                  <w:tcW w:w="196" w:type="pct"/>
                  <w:vAlign w:val="center"/>
                </w:tcPr>
                <w:p>
                  <w:pPr>
                    <w:jc w:val="center"/>
                    <w:rPr>
                      <w:rFonts w:ascii="Times New Roman" w:hAnsi="Times New Roman" w:eastAsia="宋体"/>
                      <w:b/>
                      <w:bCs/>
                    </w:rPr>
                  </w:pPr>
                  <w:r>
                    <w:rPr>
                      <w:rFonts w:hint="eastAsia" w:ascii="Times New Roman" w:hAnsi="Times New Roman" w:eastAsia="宋体"/>
                      <w:b/>
                      <w:bCs/>
                    </w:rPr>
                    <w:t>北</w:t>
                  </w:r>
                </w:p>
              </w:tc>
              <w:tc>
                <w:tcPr>
                  <w:tcW w:w="152" w:type="pct"/>
                  <w:vAlign w:val="center"/>
                </w:tcPr>
                <w:p>
                  <w:pPr>
                    <w:jc w:val="center"/>
                    <w:rPr>
                      <w:rFonts w:ascii="Times New Roman" w:hAnsi="Times New Roman" w:eastAsia="宋体"/>
                      <w:b/>
                      <w:bCs/>
                    </w:rPr>
                  </w:pPr>
                  <w:r>
                    <w:rPr>
                      <w:rFonts w:hint="eastAsia" w:ascii="Times New Roman" w:hAnsi="Times New Roman" w:eastAsia="宋体"/>
                      <w:b/>
                      <w:bCs/>
                    </w:rPr>
                    <w:t>东</w:t>
                  </w:r>
                </w:p>
              </w:tc>
              <w:tc>
                <w:tcPr>
                  <w:tcW w:w="151" w:type="pct"/>
                  <w:vAlign w:val="center"/>
                </w:tcPr>
                <w:p>
                  <w:pPr>
                    <w:jc w:val="center"/>
                    <w:rPr>
                      <w:rFonts w:ascii="Times New Roman" w:hAnsi="Times New Roman" w:eastAsia="宋体"/>
                      <w:b/>
                      <w:bCs/>
                    </w:rPr>
                  </w:pPr>
                  <w:r>
                    <w:rPr>
                      <w:rFonts w:hint="eastAsia" w:ascii="Times New Roman" w:hAnsi="Times New Roman" w:eastAsia="宋体"/>
                      <w:b/>
                      <w:bCs/>
                    </w:rPr>
                    <w:t>南</w:t>
                  </w:r>
                </w:p>
              </w:tc>
              <w:tc>
                <w:tcPr>
                  <w:tcW w:w="151" w:type="pct"/>
                  <w:vAlign w:val="center"/>
                </w:tcPr>
                <w:p>
                  <w:pPr>
                    <w:jc w:val="center"/>
                    <w:rPr>
                      <w:rFonts w:ascii="Times New Roman" w:hAnsi="Times New Roman" w:eastAsia="宋体"/>
                      <w:b/>
                      <w:bCs/>
                    </w:rPr>
                  </w:pPr>
                  <w:r>
                    <w:rPr>
                      <w:rFonts w:hint="eastAsia" w:ascii="Times New Roman" w:hAnsi="Times New Roman" w:eastAsia="宋体"/>
                      <w:b/>
                      <w:bCs/>
                    </w:rPr>
                    <w:t>西</w:t>
                  </w:r>
                </w:p>
              </w:tc>
              <w:tc>
                <w:tcPr>
                  <w:tcW w:w="152" w:type="pct"/>
                  <w:vAlign w:val="center"/>
                </w:tcPr>
                <w:p>
                  <w:pPr>
                    <w:jc w:val="center"/>
                    <w:rPr>
                      <w:rFonts w:ascii="Times New Roman" w:hAnsi="Times New Roman" w:eastAsia="宋体"/>
                      <w:b/>
                      <w:bCs/>
                    </w:rPr>
                  </w:pPr>
                  <w:r>
                    <w:rPr>
                      <w:rFonts w:hint="eastAsia" w:ascii="Times New Roman" w:hAnsi="Times New Roman" w:eastAsia="宋体"/>
                      <w:b/>
                      <w:bCs/>
                    </w:rPr>
                    <w:t>北</w:t>
                  </w:r>
                </w:p>
              </w:tc>
              <w:tc>
                <w:tcPr>
                  <w:tcW w:w="151" w:type="pct"/>
                  <w:vMerge w:val="continue"/>
                  <w:vAlign w:val="center"/>
                </w:tcPr>
                <w:p>
                  <w:pPr>
                    <w:jc w:val="center"/>
                    <w:rPr>
                      <w:rFonts w:ascii="Times New Roman" w:hAnsi="Times New Roman" w:eastAsia="宋体"/>
                      <w:b/>
                      <w:bCs/>
                    </w:rPr>
                  </w:pPr>
                </w:p>
              </w:tc>
              <w:tc>
                <w:tcPr>
                  <w:tcW w:w="294" w:type="pct"/>
                  <w:vMerge w:val="continue"/>
                  <w:vAlign w:val="center"/>
                </w:tcPr>
                <w:p>
                  <w:pPr>
                    <w:jc w:val="center"/>
                    <w:rPr>
                      <w:rFonts w:ascii="Times New Roman" w:hAnsi="Times New Roman" w:eastAsia="宋体"/>
                      <w:b/>
                      <w:bCs/>
                    </w:rPr>
                  </w:pPr>
                </w:p>
              </w:tc>
              <w:tc>
                <w:tcPr>
                  <w:tcW w:w="172" w:type="pct"/>
                  <w:vAlign w:val="center"/>
                </w:tcPr>
                <w:p>
                  <w:pPr>
                    <w:jc w:val="center"/>
                    <w:rPr>
                      <w:rFonts w:ascii="Times New Roman" w:hAnsi="Times New Roman" w:eastAsia="宋体"/>
                      <w:b/>
                      <w:bCs/>
                    </w:rPr>
                  </w:pPr>
                  <w:r>
                    <w:rPr>
                      <w:rFonts w:hint="eastAsia" w:ascii="Times New Roman" w:hAnsi="Times New Roman" w:eastAsia="宋体"/>
                      <w:b/>
                      <w:bCs/>
                    </w:rPr>
                    <w:t>东</w:t>
                  </w:r>
                </w:p>
              </w:tc>
              <w:tc>
                <w:tcPr>
                  <w:tcW w:w="163" w:type="pct"/>
                  <w:vAlign w:val="center"/>
                </w:tcPr>
                <w:p>
                  <w:pPr>
                    <w:jc w:val="center"/>
                    <w:rPr>
                      <w:rFonts w:ascii="Times New Roman" w:hAnsi="Times New Roman" w:eastAsia="宋体"/>
                      <w:b/>
                      <w:bCs/>
                    </w:rPr>
                  </w:pPr>
                  <w:r>
                    <w:rPr>
                      <w:rFonts w:hint="eastAsia" w:ascii="Times New Roman" w:hAnsi="Times New Roman" w:eastAsia="宋体"/>
                      <w:b/>
                      <w:bCs/>
                    </w:rPr>
                    <w:t>南</w:t>
                  </w:r>
                </w:p>
              </w:tc>
              <w:tc>
                <w:tcPr>
                  <w:tcW w:w="151" w:type="pct"/>
                  <w:vAlign w:val="center"/>
                </w:tcPr>
                <w:p>
                  <w:pPr>
                    <w:jc w:val="center"/>
                    <w:rPr>
                      <w:rFonts w:ascii="Times New Roman" w:hAnsi="Times New Roman" w:eastAsia="宋体"/>
                      <w:b/>
                      <w:bCs/>
                    </w:rPr>
                  </w:pPr>
                  <w:r>
                    <w:rPr>
                      <w:rFonts w:hint="eastAsia" w:ascii="Times New Roman" w:hAnsi="Times New Roman" w:eastAsia="宋体"/>
                      <w:b/>
                      <w:bCs/>
                    </w:rPr>
                    <w:t>西</w:t>
                  </w:r>
                </w:p>
              </w:tc>
              <w:tc>
                <w:tcPr>
                  <w:tcW w:w="155" w:type="pct"/>
                  <w:vAlign w:val="center"/>
                </w:tcPr>
                <w:p>
                  <w:pPr>
                    <w:jc w:val="center"/>
                    <w:rPr>
                      <w:rFonts w:ascii="Times New Roman" w:hAnsi="Times New Roman" w:eastAsia="宋体"/>
                      <w:b/>
                      <w:bCs/>
                    </w:rPr>
                  </w:pPr>
                  <w:r>
                    <w:rPr>
                      <w:rFonts w:hint="eastAsia" w:ascii="Times New Roman" w:hAnsi="Times New Roman" w:eastAsia="宋体"/>
                      <w:b/>
                      <w:bCs/>
                    </w:rPr>
                    <w:t>北</w:t>
                  </w:r>
                </w:p>
              </w:tc>
              <w:tc>
                <w:tcPr>
                  <w:tcW w:w="304" w:type="pct"/>
                  <w:vAlign w:val="center"/>
                </w:tcPr>
                <w:p>
                  <w:pPr>
                    <w:jc w:val="center"/>
                    <w:rPr>
                      <w:rFonts w:ascii="Times New Roman" w:hAnsi="Times New Roman" w:eastAsia="宋体"/>
                      <w:b/>
                      <w:bCs/>
                    </w:rPr>
                  </w:pPr>
                  <w:r>
                    <w:rPr>
                      <w:rFonts w:ascii="Times New Roman" w:hAnsi="Times New Roman" w:eastAsia="宋体"/>
                      <w:b/>
                      <w:bCs/>
                    </w:rPr>
                    <w:t>建筑物外距离/m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Align w:val="center"/>
                </w:tcPr>
                <w:p>
                  <w:pPr>
                    <w:jc w:val="center"/>
                    <w:rPr>
                      <w:rFonts w:ascii="Times New Roman" w:hAnsi="Times New Roman" w:eastAsia="宋体"/>
                    </w:rPr>
                  </w:pPr>
                  <w:r>
                    <w:rPr>
                      <w:rFonts w:ascii="Times New Roman" w:hAnsi="Times New Roman" w:eastAsia="宋体"/>
                    </w:rPr>
                    <w:t>1</w:t>
                  </w:r>
                </w:p>
              </w:tc>
              <w:tc>
                <w:tcPr>
                  <w:tcW w:w="530" w:type="pct"/>
                  <w:vAlign w:val="center"/>
                </w:tcPr>
                <w:p>
                  <w:pPr>
                    <w:jc w:val="center"/>
                    <w:rPr>
                      <w:rFonts w:ascii="Times New Roman" w:hAnsi="Times New Roman" w:eastAsia="宋体"/>
                    </w:rPr>
                  </w:pPr>
                  <w:r>
                    <w:rPr>
                      <w:rFonts w:hint="eastAsia" w:ascii="Times New Roman" w:hAnsi="Times New Roman" w:eastAsia="宋体"/>
                      <w:bCs/>
                    </w:rPr>
                    <w:t>数控车床</w:t>
                  </w:r>
                </w:p>
              </w:tc>
              <w:tc>
                <w:tcPr>
                  <w:tcW w:w="504" w:type="pct"/>
                  <w:vAlign w:val="center"/>
                </w:tcPr>
                <w:p>
                  <w:pPr>
                    <w:jc w:val="center"/>
                    <w:rPr>
                      <w:rFonts w:ascii="Times New Roman" w:hAnsi="Times New Roman" w:eastAsia="宋体"/>
                    </w:rPr>
                  </w:pPr>
                  <w:r>
                    <w:rPr>
                      <w:rFonts w:ascii="Times New Roman" w:hAnsi="Times New Roman" w:eastAsia="宋体"/>
                      <w:bCs/>
                    </w:rPr>
                    <w:t>/</w:t>
                  </w:r>
                </w:p>
              </w:tc>
              <w:tc>
                <w:tcPr>
                  <w:tcW w:w="404" w:type="pct"/>
                  <w:vAlign w:val="center"/>
                </w:tcPr>
                <w:p>
                  <w:pPr>
                    <w:jc w:val="center"/>
                    <w:rPr>
                      <w:rFonts w:ascii="Times New Roman" w:hAnsi="Times New Roman" w:eastAsia="宋体"/>
                    </w:rPr>
                  </w:pPr>
                  <w:r>
                    <w:rPr>
                      <w:rFonts w:ascii="Times New Roman" w:hAnsi="Times New Roman" w:eastAsia="宋体"/>
                    </w:rPr>
                    <w:t>75/1</w:t>
                  </w:r>
                </w:p>
              </w:tc>
              <w:tc>
                <w:tcPr>
                  <w:tcW w:w="225" w:type="pct"/>
                  <w:vMerge w:val="restart"/>
                  <w:vAlign w:val="center"/>
                </w:tcPr>
                <w:p>
                  <w:pPr>
                    <w:jc w:val="center"/>
                    <w:rPr>
                      <w:rFonts w:ascii="Times New Roman" w:hAnsi="Times New Roman" w:eastAsia="宋体"/>
                    </w:rPr>
                  </w:pPr>
                  <w:r>
                    <w:rPr>
                      <w:rFonts w:ascii="Times New Roman" w:hAnsi="Times New Roman" w:eastAsia="宋体"/>
                    </w:rPr>
                    <w:t>选用低噪声设备、</w:t>
                  </w:r>
                </w:p>
                <w:p>
                  <w:pPr>
                    <w:jc w:val="center"/>
                    <w:rPr>
                      <w:rFonts w:ascii="Times New Roman" w:hAnsi="Times New Roman" w:eastAsia="宋体"/>
                    </w:rPr>
                  </w:pPr>
                  <w:r>
                    <w:rPr>
                      <w:rFonts w:ascii="Times New Roman" w:hAnsi="Times New Roman" w:eastAsia="宋体"/>
                    </w:rPr>
                    <w:t>基础减振</w:t>
                  </w:r>
                </w:p>
                <w:p>
                  <w:pPr>
                    <w:jc w:val="center"/>
                    <w:rPr>
                      <w:rFonts w:ascii="Times New Roman" w:hAnsi="Times New Roman" w:eastAsia="宋体"/>
                    </w:rPr>
                  </w:pPr>
                  <w:r>
                    <w:rPr>
                      <w:rFonts w:ascii="Times New Roman" w:hAnsi="Times New Roman" w:eastAsia="宋体"/>
                    </w:rPr>
                    <w:t>、厂房建筑隔声等措施</w:t>
                  </w:r>
                </w:p>
              </w:tc>
              <w:tc>
                <w:tcPr>
                  <w:tcW w:w="151" w:type="pct"/>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1</w:t>
                  </w:r>
                </w:p>
              </w:tc>
              <w:tc>
                <w:tcPr>
                  <w:tcW w:w="186" w:type="pct"/>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0</w:t>
                  </w:r>
                </w:p>
              </w:tc>
              <w:tc>
                <w:tcPr>
                  <w:tcW w:w="128" w:type="pct"/>
                  <w:vAlign w:val="center"/>
                </w:tcPr>
                <w:p>
                  <w:pPr>
                    <w:jc w:val="center"/>
                    <w:rPr>
                      <w:rFonts w:ascii="Times New Roman" w:hAnsi="Times New Roman" w:eastAsia="宋体"/>
                    </w:rPr>
                  </w:pPr>
                  <w:r>
                    <w:rPr>
                      <w:rFonts w:ascii="Times New Roman" w:hAnsi="Times New Roman" w:eastAsia="宋体"/>
                    </w:rPr>
                    <w:t>1</w:t>
                  </w:r>
                </w:p>
              </w:tc>
              <w:tc>
                <w:tcPr>
                  <w:tcW w:w="188" w:type="pct"/>
                  <w:vAlign w:val="center"/>
                </w:tcPr>
                <w:p>
                  <w:pPr>
                    <w:jc w:val="center"/>
                    <w:rPr>
                      <w:rFonts w:ascii="Times New Roman" w:hAnsi="Times New Roman" w:eastAsia="宋体"/>
                    </w:rPr>
                  </w:pPr>
                  <w:r>
                    <w:rPr>
                      <w:rFonts w:hint="eastAsia" w:ascii="Times New Roman" w:hAnsi="Times New Roman" w:eastAsia="宋体"/>
                    </w:rPr>
                    <w:t>38</w:t>
                  </w:r>
                </w:p>
              </w:tc>
              <w:tc>
                <w:tcPr>
                  <w:tcW w:w="154" w:type="pct"/>
                  <w:vAlign w:val="center"/>
                </w:tcPr>
                <w:p>
                  <w:pPr>
                    <w:jc w:val="center"/>
                    <w:rPr>
                      <w:rFonts w:ascii="Times New Roman" w:hAnsi="Times New Roman" w:eastAsia="宋体"/>
                    </w:rPr>
                  </w:pPr>
                  <w:r>
                    <w:rPr>
                      <w:rFonts w:hint="eastAsia" w:ascii="Times New Roman" w:hAnsi="Times New Roman" w:eastAsia="宋体"/>
                    </w:rPr>
                    <w:t>18</w:t>
                  </w:r>
                </w:p>
              </w:tc>
              <w:tc>
                <w:tcPr>
                  <w:tcW w:w="187" w:type="pct"/>
                  <w:vAlign w:val="center"/>
                </w:tcPr>
                <w:p>
                  <w:pPr>
                    <w:jc w:val="center"/>
                    <w:rPr>
                      <w:rFonts w:ascii="Times New Roman" w:hAnsi="Times New Roman" w:eastAsia="宋体"/>
                    </w:rPr>
                  </w:pPr>
                  <w:r>
                    <w:rPr>
                      <w:rFonts w:hint="eastAsia" w:ascii="Times New Roman" w:hAnsi="Times New Roman" w:eastAsia="宋体"/>
                    </w:rPr>
                    <w:t>4</w:t>
                  </w:r>
                </w:p>
              </w:tc>
              <w:tc>
                <w:tcPr>
                  <w:tcW w:w="196" w:type="pct"/>
                  <w:vAlign w:val="center"/>
                </w:tcPr>
                <w:p>
                  <w:pPr>
                    <w:jc w:val="center"/>
                    <w:rPr>
                      <w:rFonts w:ascii="Times New Roman" w:hAnsi="Times New Roman" w:eastAsia="宋体"/>
                    </w:rPr>
                  </w:pPr>
                  <w:r>
                    <w:rPr>
                      <w:rFonts w:hint="eastAsia" w:ascii="Times New Roman" w:hAnsi="Times New Roman" w:eastAsia="宋体"/>
                    </w:rPr>
                    <w:t>12</w:t>
                  </w:r>
                </w:p>
              </w:tc>
              <w:tc>
                <w:tcPr>
                  <w:tcW w:w="152"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3</w:t>
                  </w:r>
                </w:p>
              </w:tc>
              <w:tc>
                <w:tcPr>
                  <w:tcW w:w="151"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0</w:t>
                  </w:r>
                </w:p>
              </w:tc>
              <w:tc>
                <w:tcPr>
                  <w:tcW w:w="151" w:type="pct"/>
                  <w:vAlign w:val="center"/>
                </w:tcPr>
                <w:p>
                  <w:pPr>
                    <w:jc w:val="center"/>
                    <w:rPr>
                      <w:rFonts w:ascii="Times New Roman" w:hAnsi="Times New Roman" w:eastAsia="宋体"/>
                    </w:rPr>
                  </w:pPr>
                  <w:r>
                    <w:rPr>
                      <w:rFonts w:hint="eastAsia" w:ascii="Times New Roman" w:hAnsi="Times New Roman" w:eastAsia="宋体"/>
                    </w:rPr>
                    <w:t>6</w:t>
                  </w:r>
                  <w:r>
                    <w:rPr>
                      <w:rFonts w:ascii="Times New Roman" w:hAnsi="Times New Roman" w:eastAsia="宋体"/>
                    </w:rPr>
                    <w:t>3</w:t>
                  </w:r>
                </w:p>
              </w:tc>
              <w:tc>
                <w:tcPr>
                  <w:tcW w:w="152"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3</w:t>
                  </w:r>
                </w:p>
              </w:tc>
              <w:tc>
                <w:tcPr>
                  <w:tcW w:w="151" w:type="pct"/>
                  <w:vMerge w:val="restart"/>
                  <w:vAlign w:val="center"/>
                </w:tcPr>
                <w:p>
                  <w:pPr>
                    <w:jc w:val="center"/>
                    <w:rPr>
                      <w:rFonts w:ascii="Times New Roman" w:hAnsi="Times New Roman" w:eastAsia="宋体"/>
                    </w:rPr>
                  </w:pPr>
                  <w:r>
                    <w:rPr>
                      <w:rFonts w:ascii="Times New Roman" w:hAnsi="Times New Roman" w:eastAsia="宋体"/>
                    </w:rPr>
                    <w:t>昼间</w:t>
                  </w:r>
                  <w:r>
                    <w:rPr>
                      <w:rFonts w:hint="eastAsia" w:ascii="Times New Roman" w:hAnsi="Times New Roman" w:eastAsia="宋体"/>
                    </w:rPr>
                    <w:t>间断</w:t>
                  </w:r>
                  <w:r>
                    <w:rPr>
                      <w:rFonts w:ascii="Times New Roman" w:hAnsi="Times New Roman" w:eastAsia="宋体"/>
                    </w:rPr>
                    <w:t>运行</w:t>
                  </w:r>
                </w:p>
              </w:tc>
              <w:tc>
                <w:tcPr>
                  <w:tcW w:w="294" w:type="pct"/>
                  <w:vAlign w:val="center"/>
                </w:tcPr>
                <w:p>
                  <w:pPr>
                    <w:jc w:val="center"/>
                    <w:rPr>
                      <w:rFonts w:ascii="Times New Roman" w:hAnsi="Times New Roman" w:eastAsia="宋体"/>
                    </w:rPr>
                  </w:pPr>
                  <w:r>
                    <w:rPr>
                      <w:rFonts w:ascii="Times New Roman" w:hAnsi="Times New Roman" w:eastAsia="宋体"/>
                    </w:rPr>
                    <w:t>10</w:t>
                  </w:r>
                </w:p>
              </w:tc>
              <w:tc>
                <w:tcPr>
                  <w:tcW w:w="172" w:type="pct"/>
                  <w:vAlign w:val="center"/>
                </w:tcPr>
                <w:p>
                  <w:pPr>
                    <w:jc w:val="center"/>
                    <w:rPr>
                      <w:rFonts w:ascii="Times New Roman" w:hAnsi="Times New Roman" w:eastAsia="宋体"/>
                    </w:rPr>
                  </w:pPr>
                  <w:r>
                    <w:rPr>
                      <w:rFonts w:hint="eastAsia" w:ascii="Times New Roman" w:hAnsi="Times New Roman" w:eastAsia="宋体"/>
                    </w:rPr>
                    <w:t>33</w:t>
                  </w:r>
                </w:p>
              </w:tc>
              <w:tc>
                <w:tcPr>
                  <w:tcW w:w="163" w:type="pct"/>
                  <w:vAlign w:val="center"/>
                </w:tcPr>
                <w:p>
                  <w:pPr>
                    <w:jc w:val="center"/>
                    <w:rPr>
                      <w:rFonts w:ascii="Times New Roman" w:hAnsi="Times New Roman" w:eastAsia="宋体"/>
                    </w:rPr>
                  </w:pPr>
                  <w:r>
                    <w:rPr>
                      <w:rFonts w:hint="eastAsia" w:ascii="Times New Roman" w:hAnsi="Times New Roman" w:eastAsia="宋体"/>
                    </w:rPr>
                    <w:t>40</w:t>
                  </w:r>
                </w:p>
              </w:tc>
              <w:tc>
                <w:tcPr>
                  <w:tcW w:w="151" w:type="pct"/>
                  <w:vAlign w:val="center"/>
                </w:tcPr>
                <w:p>
                  <w:pPr>
                    <w:jc w:val="center"/>
                    <w:rPr>
                      <w:rFonts w:ascii="Times New Roman" w:hAnsi="Times New Roman" w:eastAsia="宋体"/>
                    </w:rPr>
                  </w:pPr>
                  <w:r>
                    <w:rPr>
                      <w:rFonts w:hint="eastAsia" w:ascii="Times New Roman" w:hAnsi="Times New Roman" w:eastAsia="宋体"/>
                    </w:rPr>
                    <w:t>53</w:t>
                  </w:r>
                </w:p>
              </w:tc>
              <w:tc>
                <w:tcPr>
                  <w:tcW w:w="155" w:type="pct"/>
                  <w:vAlign w:val="center"/>
                </w:tcPr>
                <w:p>
                  <w:pPr>
                    <w:jc w:val="center"/>
                    <w:rPr>
                      <w:rFonts w:ascii="Times New Roman" w:hAnsi="Times New Roman" w:eastAsia="宋体"/>
                    </w:rPr>
                  </w:pPr>
                  <w:r>
                    <w:rPr>
                      <w:rFonts w:hint="eastAsia" w:ascii="Times New Roman" w:hAnsi="Times New Roman" w:eastAsia="宋体"/>
                    </w:rPr>
                    <w:t>43</w:t>
                  </w:r>
                </w:p>
              </w:tc>
              <w:tc>
                <w:tcPr>
                  <w:tcW w:w="304" w:type="pct"/>
                  <w:vAlign w:val="center"/>
                </w:tcPr>
                <w:p>
                  <w:pPr>
                    <w:jc w:val="center"/>
                    <w:rPr>
                      <w:rFonts w:ascii="Times New Roman" w:hAnsi="Times New Roman" w:eastAsia="宋体"/>
                    </w:rPr>
                  </w:pPr>
                  <w:r>
                    <w:rPr>
                      <w:rFonts w:hint="eastAsia" w:ascii="Times New Roman" w:hAnsi="Times New Roman"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Align w:val="center"/>
                </w:tcPr>
                <w:p>
                  <w:pPr>
                    <w:jc w:val="center"/>
                    <w:rPr>
                      <w:rFonts w:ascii="Times New Roman" w:hAnsi="Times New Roman" w:eastAsia="宋体"/>
                    </w:rPr>
                  </w:pPr>
                  <w:r>
                    <w:rPr>
                      <w:rFonts w:hint="eastAsia" w:ascii="Times New Roman" w:hAnsi="Times New Roman" w:eastAsia="宋体"/>
                    </w:rPr>
                    <w:t>2</w:t>
                  </w:r>
                </w:p>
              </w:tc>
              <w:tc>
                <w:tcPr>
                  <w:tcW w:w="530" w:type="pct"/>
                  <w:vAlign w:val="center"/>
                </w:tcPr>
                <w:p>
                  <w:pPr>
                    <w:jc w:val="center"/>
                    <w:rPr>
                      <w:rFonts w:ascii="Times New Roman" w:hAnsi="Times New Roman" w:eastAsia="宋体"/>
                      <w:bCs/>
                    </w:rPr>
                  </w:pPr>
                  <w:r>
                    <w:rPr>
                      <w:rFonts w:hint="eastAsia" w:ascii="Times New Roman" w:hAnsi="Times New Roman" w:eastAsia="宋体"/>
                      <w:bCs/>
                    </w:rPr>
                    <w:t>气动搅拌机</w:t>
                  </w:r>
                </w:p>
              </w:tc>
              <w:tc>
                <w:tcPr>
                  <w:tcW w:w="504" w:type="pct"/>
                  <w:vAlign w:val="center"/>
                </w:tcPr>
                <w:p>
                  <w:pPr>
                    <w:jc w:val="center"/>
                    <w:rPr>
                      <w:rFonts w:ascii="Times New Roman" w:hAnsi="Times New Roman" w:eastAsia="宋体"/>
                      <w:bCs/>
                    </w:rPr>
                  </w:pPr>
                  <w:r>
                    <w:rPr>
                      <w:rFonts w:ascii="Times New Roman" w:hAnsi="Times New Roman" w:eastAsia="宋体"/>
                      <w:bCs/>
                    </w:rPr>
                    <w:t>/</w:t>
                  </w:r>
                </w:p>
              </w:tc>
              <w:tc>
                <w:tcPr>
                  <w:tcW w:w="404" w:type="pct"/>
                  <w:vAlign w:val="center"/>
                </w:tcPr>
                <w:p>
                  <w:pPr>
                    <w:jc w:val="center"/>
                    <w:rPr>
                      <w:rFonts w:ascii="Times New Roman" w:hAnsi="Times New Roman" w:eastAsia="宋体"/>
                    </w:rPr>
                  </w:pPr>
                  <w:r>
                    <w:rPr>
                      <w:rFonts w:hint="eastAsia" w:ascii="Times New Roman" w:hAnsi="Times New Roman" w:eastAsia="宋体"/>
                    </w:rPr>
                    <w:t>7</w:t>
                  </w:r>
                  <w:r>
                    <w:rPr>
                      <w:rFonts w:ascii="Times New Roman" w:hAnsi="Times New Roman" w:eastAsia="宋体"/>
                    </w:rPr>
                    <w:t>0/1</w:t>
                  </w:r>
                </w:p>
              </w:tc>
              <w:tc>
                <w:tcPr>
                  <w:tcW w:w="225" w:type="pct"/>
                  <w:vMerge w:val="continue"/>
                  <w:vAlign w:val="center"/>
                </w:tcPr>
                <w:p>
                  <w:pPr>
                    <w:jc w:val="center"/>
                    <w:rPr>
                      <w:rFonts w:ascii="Times New Roman" w:hAnsi="Times New Roman" w:eastAsia="宋体"/>
                    </w:rPr>
                  </w:pPr>
                </w:p>
              </w:tc>
              <w:tc>
                <w:tcPr>
                  <w:tcW w:w="151" w:type="pct"/>
                  <w:vAlign w:val="center"/>
                </w:tcPr>
                <w:p>
                  <w:pPr>
                    <w:jc w:val="center"/>
                    <w:rPr>
                      <w:rFonts w:ascii="Times New Roman" w:hAnsi="Times New Roman" w:eastAsia="宋体"/>
                    </w:rPr>
                  </w:pPr>
                  <w:r>
                    <w:rPr>
                      <w:rFonts w:ascii="Times New Roman" w:hAnsi="Times New Roman" w:eastAsia="宋体"/>
                    </w:rPr>
                    <w:t>62</w:t>
                  </w:r>
                </w:p>
              </w:tc>
              <w:tc>
                <w:tcPr>
                  <w:tcW w:w="186" w:type="pct"/>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5</w:t>
                  </w:r>
                </w:p>
              </w:tc>
              <w:tc>
                <w:tcPr>
                  <w:tcW w:w="128" w:type="pct"/>
                  <w:vAlign w:val="center"/>
                </w:tcPr>
                <w:p>
                  <w:pPr>
                    <w:jc w:val="center"/>
                    <w:rPr>
                      <w:rFonts w:ascii="Times New Roman" w:hAnsi="Times New Roman" w:eastAsia="宋体"/>
                    </w:rPr>
                  </w:pPr>
                  <w:r>
                    <w:rPr>
                      <w:rFonts w:hint="eastAsia" w:ascii="Times New Roman" w:hAnsi="Times New Roman" w:eastAsia="宋体"/>
                    </w:rPr>
                    <w:t>1</w:t>
                  </w:r>
                </w:p>
              </w:tc>
              <w:tc>
                <w:tcPr>
                  <w:tcW w:w="188" w:type="pct"/>
                  <w:vAlign w:val="center"/>
                </w:tcPr>
                <w:p>
                  <w:pPr>
                    <w:jc w:val="center"/>
                    <w:rPr>
                      <w:rFonts w:ascii="Times New Roman" w:hAnsi="Times New Roman" w:eastAsia="宋体"/>
                    </w:rPr>
                  </w:pPr>
                  <w:r>
                    <w:rPr>
                      <w:rFonts w:hint="eastAsia" w:ascii="Times New Roman" w:hAnsi="Times New Roman" w:eastAsia="宋体"/>
                    </w:rPr>
                    <w:t>5</w:t>
                  </w:r>
                </w:p>
              </w:tc>
              <w:tc>
                <w:tcPr>
                  <w:tcW w:w="154" w:type="pct"/>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5</w:t>
                  </w:r>
                </w:p>
              </w:tc>
              <w:tc>
                <w:tcPr>
                  <w:tcW w:w="187"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1</w:t>
                  </w:r>
                </w:p>
              </w:tc>
              <w:tc>
                <w:tcPr>
                  <w:tcW w:w="196" w:type="pct"/>
                  <w:vAlign w:val="center"/>
                </w:tcPr>
                <w:p>
                  <w:pPr>
                    <w:jc w:val="center"/>
                    <w:rPr>
                      <w:rFonts w:ascii="Times New Roman" w:hAnsi="Times New Roman" w:eastAsia="宋体"/>
                    </w:rPr>
                  </w:pPr>
                  <w:r>
                    <w:rPr>
                      <w:rFonts w:hint="eastAsia" w:ascii="Times New Roman" w:hAnsi="Times New Roman" w:eastAsia="宋体"/>
                    </w:rPr>
                    <w:t>3</w:t>
                  </w:r>
                </w:p>
              </w:tc>
              <w:tc>
                <w:tcPr>
                  <w:tcW w:w="152"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6</w:t>
                  </w:r>
                </w:p>
              </w:tc>
              <w:tc>
                <w:tcPr>
                  <w:tcW w:w="151"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2</w:t>
                  </w:r>
                </w:p>
              </w:tc>
              <w:tc>
                <w:tcPr>
                  <w:tcW w:w="151" w:type="pct"/>
                  <w:vAlign w:val="center"/>
                </w:tcPr>
                <w:p>
                  <w:pPr>
                    <w:jc w:val="center"/>
                    <w:rPr>
                      <w:rFonts w:ascii="Times New Roman" w:hAnsi="Times New Roman" w:eastAsia="宋体"/>
                    </w:rPr>
                  </w:pPr>
                  <w:r>
                    <w:rPr>
                      <w:rFonts w:hint="eastAsia" w:ascii="Times New Roman" w:hAnsi="Times New Roman" w:eastAsia="宋体"/>
                    </w:rPr>
                    <w:t>3</w:t>
                  </w:r>
                  <w:r>
                    <w:rPr>
                      <w:rFonts w:ascii="Times New Roman" w:hAnsi="Times New Roman" w:eastAsia="宋体"/>
                    </w:rPr>
                    <w:t>8</w:t>
                  </w:r>
                </w:p>
              </w:tc>
              <w:tc>
                <w:tcPr>
                  <w:tcW w:w="152" w:type="pct"/>
                  <w:vAlign w:val="center"/>
                </w:tcPr>
                <w:p>
                  <w:pPr>
                    <w:jc w:val="center"/>
                    <w:rPr>
                      <w:rFonts w:ascii="Times New Roman" w:hAnsi="Times New Roman" w:eastAsia="宋体"/>
                    </w:rPr>
                  </w:pPr>
                  <w:r>
                    <w:rPr>
                      <w:rFonts w:hint="eastAsia" w:ascii="Times New Roman" w:hAnsi="Times New Roman" w:eastAsia="宋体"/>
                    </w:rPr>
                    <w:t>6</w:t>
                  </w:r>
                  <w:r>
                    <w:rPr>
                      <w:rFonts w:ascii="Times New Roman" w:hAnsi="Times New Roman" w:eastAsia="宋体"/>
                    </w:rPr>
                    <w:t>0</w:t>
                  </w:r>
                </w:p>
              </w:tc>
              <w:tc>
                <w:tcPr>
                  <w:tcW w:w="151" w:type="pct"/>
                  <w:vMerge w:val="continue"/>
                  <w:vAlign w:val="center"/>
                </w:tcPr>
                <w:p>
                  <w:pPr>
                    <w:jc w:val="center"/>
                    <w:rPr>
                      <w:rFonts w:ascii="Times New Roman" w:hAnsi="Times New Roman" w:eastAsia="宋体"/>
                    </w:rPr>
                  </w:pPr>
                </w:p>
              </w:tc>
              <w:tc>
                <w:tcPr>
                  <w:tcW w:w="294" w:type="pct"/>
                  <w:vAlign w:val="center"/>
                </w:tcPr>
                <w:p>
                  <w:pPr>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0</w:t>
                  </w:r>
                </w:p>
              </w:tc>
              <w:tc>
                <w:tcPr>
                  <w:tcW w:w="172"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6</w:t>
                  </w:r>
                </w:p>
              </w:tc>
              <w:tc>
                <w:tcPr>
                  <w:tcW w:w="163" w:type="pct"/>
                  <w:vAlign w:val="center"/>
                </w:tcPr>
                <w:p>
                  <w:pPr>
                    <w:jc w:val="center"/>
                    <w:rPr>
                      <w:rFonts w:ascii="Times New Roman" w:hAnsi="Times New Roman" w:eastAsia="宋体"/>
                    </w:rPr>
                  </w:pPr>
                  <w:r>
                    <w:rPr>
                      <w:rFonts w:hint="eastAsia" w:ascii="Times New Roman" w:hAnsi="Times New Roman" w:eastAsia="宋体"/>
                    </w:rPr>
                    <w:t>3</w:t>
                  </w:r>
                  <w:r>
                    <w:rPr>
                      <w:rFonts w:ascii="Times New Roman" w:hAnsi="Times New Roman" w:eastAsia="宋体"/>
                    </w:rPr>
                    <w:t>2</w:t>
                  </w:r>
                </w:p>
              </w:tc>
              <w:tc>
                <w:tcPr>
                  <w:tcW w:w="151" w:type="pct"/>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8</w:t>
                  </w:r>
                </w:p>
              </w:tc>
              <w:tc>
                <w:tcPr>
                  <w:tcW w:w="155"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0</w:t>
                  </w:r>
                </w:p>
              </w:tc>
              <w:tc>
                <w:tcPr>
                  <w:tcW w:w="304" w:type="pct"/>
                  <w:vAlign w:val="center"/>
                </w:tcPr>
                <w:p>
                  <w:pPr>
                    <w:jc w:val="center"/>
                    <w:rPr>
                      <w:rFonts w:ascii="Times New Roman" w:hAnsi="Times New Roman" w:eastAsia="宋体"/>
                    </w:rPr>
                  </w:pPr>
                  <w:r>
                    <w:rPr>
                      <w:rFonts w:hint="eastAsia" w:ascii="Times New Roman" w:hAnsi="Times New Roman"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Align w:val="center"/>
                </w:tcPr>
                <w:p>
                  <w:pPr>
                    <w:jc w:val="center"/>
                    <w:rPr>
                      <w:rFonts w:ascii="Times New Roman" w:hAnsi="Times New Roman" w:eastAsia="宋体"/>
                    </w:rPr>
                  </w:pPr>
                  <w:r>
                    <w:rPr>
                      <w:rFonts w:hint="eastAsia" w:ascii="Times New Roman" w:hAnsi="Times New Roman" w:eastAsia="宋体"/>
                    </w:rPr>
                    <w:t>3</w:t>
                  </w:r>
                </w:p>
              </w:tc>
              <w:tc>
                <w:tcPr>
                  <w:tcW w:w="530" w:type="pct"/>
                  <w:vAlign w:val="center"/>
                </w:tcPr>
                <w:p>
                  <w:pPr>
                    <w:jc w:val="center"/>
                    <w:rPr>
                      <w:rFonts w:ascii="Times New Roman" w:hAnsi="Times New Roman" w:eastAsia="宋体"/>
                      <w:bCs/>
                    </w:rPr>
                  </w:pPr>
                  <w:r>
                    <w:rPr>
                      <w:rFonts w:hint="eastAsia" w:ascii="Times New Roman" w:hAnsi="Times New Roman" w:eastAsia="宋体"/>
                      <w:bCs/>
                    </w:rPr>
                    <w:t>气动搅拌机</w:t>
                  </w:r>
                </w:p>
              </w:tc>
              <w:tc>
                <w:tcPr>
                  <w:tcW w:w="504" w:type="pct"/>
                  <w:vAlign w:val="center"/>
                </w:tcPr>
                <w:p>
                  <w:pPr>
                    <w:jc w:val="center"/>
                    <w:rPr>
                      <w:rFonts w:ascii="Times New Roman" w:hAnsi="Times New Roman" w:eastAsia="宋体"/>
                      <w:bCs/>
                    </w:rPr>
                  </w:pPr>
                  <w:r>
                    <w:rPr>
                      <w:rFonts w:ascii="Times New Roman" w:hAnsi="Times New Roman" w:eastAsia="宋体"/>
                      <w:bCs/>
                    </w:rPr>
                    <w:t>/</w:t>
                  </w:r>
                </w:p>
              </w:tc>
              <w:tc>
                <w:tcPr>
                  <w:tcW w:w="404" w:type="pct"/>
                  <w:vAlign w:val="center"/>
                </w:tcPr>
                <w:p>
                  <w:pPr>
                    <w:jc w:val="center"/>
                    <w:rPr>
                      <w:rFonts w:ascii="Times New Roman" w:hAnsi="Times New Roman" w:eastAsia="宋体"/>
                    </w:rPr>
                  </w:pPr>
                  <w:r>
                    <w:rPr>
                      <w:rFonts w:hint="eastAsia" w:ascii="Times New Roman" w:hAnsi="Times New Roman" w:eastAsia="宋体"/>
                    </w:rPr>
                    <w:t>7</w:t>
                  </w:r>
                  <w:r>
                    <w:rPr>
                      <w:rFonts w:ascii="Times New Roman" w:hAnsi="Times New Roman" w:eastAsia="宋体"/>
                    </w:rPr>
                    <w:t>0/1</w:t>
                  </w:r>
                </w:p>
              </w:tc>
              <w:tc>
                <w:tcPr>
                  <w:tcW w:w="225" w:type="pct"/>
                  <w:vMerge w:val="continue"/>
                  <w:vAlign w:val="center"/>
                </w:tcPr>
                <w:p>
                  <w:pPr>
                    <w:jc w:val="center"/>
                    <w:rPr>
                      <w:rFonts w:ascii="Times New Roman" w:hAnsi="Times New Roman" w:eastAsia="宋体"/>
                    </w:rPr>
                  </w:pPr>
                </w:p>
              </w:tc>
              <w:tc>
                <w:tcPr>
                  <w:tcW w:w="151" w:type="pct"/>
                  <w:vAlign w:val="center"/>
                </w:tcPr>
                <w:p>
                  <w:pPr>
                    <w:jc w:val="center"/>
                    <w:rPr>
                      <w:rFonts w:ascii="Times New Roman" w:hAnsi="Times New Roman" w:eastAsia="宋体"/>
                    </w:rPr>
                  </w:pPr>
                  <w:r>
                    <w:rPr>
                      <w:rFonts w:ascii="Times New Roman" w:hAnsi="Times New Roman" w:eastAsia="宋体"/>
                    </w:rPr>
                    <w:t>62</w:t>
                  </w:r>
                </w:p>
              </w:tc>
              <w:tc>
                <w:tcPr>
                  <w:tcW w:w="186" w:type="pct"/>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5</w:t>
                  </w:r>
                </w:p>
              </w:tc>
              <w:tc>
                <w:tcPr>
                  <w:tcW w:w="128" w:type="pct"/>
                  <w:vAlign w:val="center"/>
                </w:tcPr>
                <w:p>
                  <w:pPr>
                    <w:jc w:val="center"/>
                    <w:rPr>
                      <w:rFonts w:ascii="Times New Roman" w:hAnsi="Times New Roman" w:eastAsia="宋体"/>
                    </w:rPr>
                  </w:pPr>
                  <w:r>
                    <w:rPr>
                      <w:rFonts w:hint="eastAsia" w:ascii="Times New Roman" w:hAnsi="Times New Roman" w:eastAsia="宋体"/>
                    </w:rPr>
                    <w:t>1</w:t>
                  </w:r>
                </w:p>
              </w:tc>
              <w:tc>
                <w:tcPr>
                  <w:tcW w:w="188" w:type="pct"/>
                  <w:vAlign w:val="center"/>
                </w:tcPr>
                <w:p>
                  <w:pPr>
                    <w:jc w:val="center"/>
                    <w:rPr>
                      <w:rFonts w:ascii="Times New Roman" w:hAnsi="Times New Roman" w:eastAsia="宋体"/>
                    </w:rPr>
                  </w:pPr>
                  <w:r>
                    <w:rPr>
                      <w:rFonts w:hint="eastAsia" w:ascii="Times New Roman" w:hAnsi="Times New Roman" w:eastAsia="宋体"/>
                    </w:rPr>
                    <w:t>5</w:t>
                  </w:r>
                </w:p>
              </w:tc>
              <w:tc>
                <w:tcPr>
                  <w:tcW w:w="154" w:type="pct"/>
                  <w:vAlign w:val="center"/>
                </w:tcPr>
                <w:p>
                  <w:pPr>
                    <w:jc w:val="center"/>
                    <w:rPr>
                      <w:rFonts w:ascii="Times New Roman" w:hAnsi="Times New Roman" w:eastAsia="宋体"/>
                    </w:rPr>
                  </w:pPr>
                  <w:r>
                    <w:rPr>
                      <w:rFonts w:ascii="Times New Roman" w:hAnsi="Times New Roman" w:eastAsia="宋体"/>
                    </w:rPr>
                    <w:t>25</w:t>
                  </w:r>
                </w:p>
              </w:tc>
              <w:tc>
                <w:tcPr>
                  <w:tcW w:w="187"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1</w:t>
                  </w:r>
                </w:p>
              </w:tc>
              <w:tc>
                <w:tcPr>
                  <w:tcW w:w="196" w:type="pct"/>
                  <w:vAlign w:val="center"/>
                </w:tcPr>
                <w:p>
                  <w:pPr>
                    <w:jc w:val="center"/>
                    <w:rPr>
                      <w:rFonts w:ascii="Times New Roman" w:hAnsi="Times New Roman" w:eastAsia="宋体"/>
                    </w:rPr>
                  </w:pPr>
                  <w:r>
                    <w:rPr>
                      <w:rFonts w:hint="eastAsia" w:ascii="Times New Roman" w:hAnsi="Times New Roman" w:eastAsia="宋体"/>
                    </w:rPr>
                    <w:t>3</w:t>
                  </w:r>
                </w:p>
              </w:tc>
              <w:tc>
                <w:tcPr>
                  <w:tcW w:w="152"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6</w:t>
                  </w:r>
                </w:p>
              </w:tc>
              <w:tc>
                <w:tcPr>
                  <w:tcW w:w="151"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2</w:t>
                  </w:r>
                </w:p>
              </w:tc>
              <w:tc>
                <w:tcPr>
                  <w:tcW w:w="151" w:type="pct"/>
                  <w:vAlign w:val="center"/>
                </w:tcPr>
                <w:p>
                  <w:pPr>
                    <w:jc w:val="center"/>
                    <w:rPr>
                      <w:rFonts w:ascii="Times New Roman" w:hAnsi="Times New Roman" w:eastAsia="宋体"/>
                    </w:rPr>
                  </w:pPr>
                  <w:r>
                    <w:rPr>
                      <w:rFonts w:hint="eastAsia" w:ascii="Times New Roman" w:hAnsi="Times New Roman" w:eastAsia="宋体"/>
                    </w:rPr>
                    <w:t>3</w:t>
                  </w:r>
                  <w:r>
                    <w:rPr>
                      <w:rFonts w:ascii="Times New Roman" w:hAnsi="Times New Roman" w:eastAsia="宋体"/>
                    </w:rPr>
                    <w:t>8</w:t>
                  </w:r>
                </w:p>
              </w:tc>
              <w:tc>
                <w:tcPr>
                  <w:tcW w:w="152" w:type="pct"/>
                  <w:vAlign w:val="center"/>
                </w:tcPr>
                <w:p>
                  <w:pPr>
                    <w:jc w:val="center"/>
                    <w:rPr>
                      <w:rFonts w:ascii="Times New Roman" w:hAnsi="Times New Roman" w:eastAsia="宋体"/>
                    </w:rPr>
                  </w:pPr>
                  <w:r>
                    <w:rPr>
                      <w:rFonts w:hint="eastAsia" w:ascii="Times New Roman" w:hAnsi="Times New Roman" w:eastAsia="宋体"/>
                    </w:rPr>
                    <w:t>6</w:t>
                  </w:r>
                  <w:r>
                    <w:rPr>
                      <w:rFonts w:ascii="Times New Roman" w:hAnsi="Times New Roman" w:eastAsia="宋体"/>
                    </w:rPr>
                    <w:t>0</w:t>
                  </w:r>
                </w:p>
              </w:tc>
              <w:tc>
                <w:tcPr>
                  <w:tcW w:w="151" w:type="pct"/>
                  <w:vMerge w:val="continue"/>
                  <w:vAlign w:val="center"/>
                </w:tcPr>
                <w:p>
                  <w:pPr>
                    <w:jc w:val="center"/>
                    <w:rPr>
                      <w:rFonts w:ascii="Times New Roman" w:hAnsi="Times New Roman" w:eastAsia="宋体"/>
                    </w:rPr>
                  </w:pPr>
                </w:p>
              </w:tc>
              <w:tc>
                <w:tcPr>
                  <w:tcW w:w="294" w:type="pct"/>
                  <w:vAlign w:val="center"/>
                </w:tcPr>
                <w:p>
                  <w:pPr>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0</w:t>
                  </w:r>
                </w:p>
              </w:tc>
              <w:tc>
                <w:tcPr>
                  <w:tcW w:w="172"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6</w:t>
                  </w:r>
                </w:p>
              </w:tc>
              <w:tc>
                <w:tcPr>
                  <w:tcW w:w="163" w:type="pct"/>
                  <w:vAlign w:val="center"/>
                </w:tcPr>
                <w:p>
                  <w:pPr>
                    <w:jc w:val="center"/>
                    <w:rPr>
                      <w:rFonts w:ascii="Times New Roman" w:hAnsi="Times New Roman" w:eastAsia="宋体"/>
                    </w:rPr>
                  </w:pPr>
                  <w:r>
                    <w:rPr>
                      <w:rFonts w:hint="eastAsia" w:ascii="Times New Roman" w:hAnsi="Times New Roman" w:eastAsia="宋体"/>
                    </w:rPr>
                    <w:t>3</w:t>
                  </w:r>
                  <w:r>
                    <w:rPr>
                      <w:rFonts w:ascii="Times New Roman" w:hAnsi="Times New Roman" w:eastAsia="宋体"/>
                    </w:rPr>
                    <w:t>2</w:t>
                  </w:r>
                </w:p>
              </w:tc>
              <w:tc>
                <w:tcPr>
                  <w:tcW w:w="151" w:type="pct"/>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8</w:t>
                  </w:r>
                </w:p>
              </w:tc>
              <w:tc>
                <w:tcPr>
                  <w:tcW w:w="155"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0</w:t>
                  </w:r>
                </w:p>
              </w:tc>
              <w:tc>
                <w:tcPr>
                  <w:tcW w:w="304" w:type="pct"/>
                  <w:vAlign w:val="center"/>
                </w:tcPr>
                <w:p>
                  <w:pPr>
                    <w:jc w:val="center"/>
                    <w:rPr>
                      <w:rFonts w:ascii="Times New Roman" w:hAnsi="Times New Roman" w:eastAsia="宋体"/>
                    </w:rPr>
                  </w:pPr>
                  <w:r>
                    <w:rPr>
                      <w:rFonts w:hint="eastAsia" w:ascii="Times New Roman" w:hAnsi="Times New Roman"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Align w:val="center"/>
                </w:tcPr>
                <w:p>
                  <w:pPr>
                    <w:jc w:val="center"/>
                    <w:rPr>
                      <w:rFonts w:ascii="Times New Roman" w:hAnsi="Times New Roman" w:eastAsia="宋体"/>
                    </w:rPr>
                  </w:pPr>
                  <w:r>
                    <w:rPr>
                      <w:rFonts w:ascii="Times New Roman" w:hAnsi="Times New Roman" w:eastAsia="宋体"/>
                    </w:rPr>
                    <w:t>4</w:t>
                  </w:r>
                </w:p>
              </w:tc>
              <w:tc>
                <w:tcPr>
                  <w:tcW w:w="530" w:type="pct"/>
                  <w:vAlign w:val="center"/>
                </w:tcPr>
                <w:p>
                  <w:pPr>
                    <w:jc w:val="center"/>
                    <w:rPr>
                      <w:rFonts w:ascii="Times New Roman" w:hAnsi="Times New Roman" w:eastAsia="宋体"/>
                    </w:rPr>
                  </w:pPr>
                  <w:r>
                    <w:rPr>
                      <w:rFonts w:ascii="Times New Roman" w:hAnsi="Times New Roman" w:eastAsia="宋体"/>
                      <w:bCs/>
                    </w:rPr>
                    <w:t>自动喷涂设备</w:t>
                  </w:r>
                </w:p>
              </w:tc>
              <w:tc>
                <w:tcPr>
                  <w:tcW w:w="504" w:type="pct"/>
                  <w:vAlign w:val="center"/>
                </w:tcPr>
                <w:p>
                  <w:pPr>
                    <w:jc w:val="center"/>
                    <w:rPr>
                      <w:rFonts w:ascii="Times New Roman" w:hAnsi="Times New Roman" w:eastAsia="宋体"/>
                      <w:bCs/>
                    </w:rPr>
                  </w:pPr>
                  <w:r>
                    <w:rPr>
                      <w:rFonts w:hint="eastAsia" w:ascii="Times New Roman" w:hAnsi="Times New Roman" w:eastAsia="宋体"/>
                      <w:bCs/>
                    </w:rPr>
                    <w:t>HNZDPT</w:t>
                  </w:r>
                </w:p>
                <w:p>
                  <w:pPr>
                    <w:jc w:val="center"/>
                    <w:rPr>
                      <w:rFonts w:ascii="Times New Roman" w:hAnsi="Times New Roman" w:eastAsia="宋体"/>
                      <w:bCs/>
                    </w:rPr>
                  </w:pPr>
                  <w:r>
                    <w:rPr>
                      <w:rFonts w:hint="eastAsia" w:ascii="Times New Roman" w:hAnsi="Times New Roman" w:eastAsia="宋体"/>
                      <w:bCs/>
                    </w:rPr>
                    <w:t>SB010</w:t>
                  </w:r>
                </w:p>
              </w:tc>
              <w:tc>
                <w:tcPr>
                  <w:tcW w:w="404" w:type="pct"/>
                  <w:vAlign w:val="center"/>
                </w:tcPr>
                <w:p>
                  <w:pPr>
                    <w:jc w:val="center"/>
                    <w:rPr>
                      <w:rFonts w:ascii="Times New Roman" w:hAnsi="Times New Roman" w:eastAsia="宋体"/>
                    </w:rPr>
                  </w:pPr>
                  <w:r>
                    <w:rPr>
                      <w:rFonts w:ascii="Times New Roman" w:hAnsi="Times New Roman" w:eastAsia="宋体"/>
                    </w:rPr>
                    <w:t>75/1</w:t>
                  </w:r>
                </w:p>
              </w:tc>
              <w:tc>
                <w:tcPr>
                  <w:tcW w:w="225" w:type="pct"/>
                  <w:vMerge w:val="continue"/>
                  <w:vAlign w:val="center"/>
                </w:tcPr>
                <w:p>
                  <w:pPr>
                    <w:jc w:val="center"/>
                    <w:rPr>
                      <w:rFonts w:ascii="Times New Roman" w:hAnsi="Times New Roman" w:eastAsia="宋体"/>
                    </w:rPr>
                  </w:pPr>
                </w:p>
              </w:tc>
              <w:tc>
                <w:tcPr>
                  <w:tcW w:w="151"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5</w:t>
                  </w:r>
                </w:p>
              </w:tc>
              <w:tc>
                <w:tcPr>
                  <w:tcW w:w="186" w:type="pct"/>
                  <w:vAlign w:val="center"/>
                </w:tcPr>
                <w:p>
                  <w:pPr>
                    <w:jc w:val="center"/>
                    <w:rPr>
                      <w:rFonts w:ascii="Times New Roman" w:hAnsi="Times New Roman" w:eastAsia="宋体"/>
                    </w:rPr>
                  </w:pPr>
                  <w:r>
                    <w:rPr>
                      <w:rFonts w:hint="eastAsia" w:ascii="Times New Roman" w:hAnsi="Times New Roman" w:eastAsia="宋体"/>
                    </w:rPr>
                    <w:t>8</w:t>
                  </w:r>
                </w:p>
              </w:tc>
              <w:tc>
                <w:tcPr>
                  <w:tcW w:w="128" w:type="pct"/>
                  <w:vAlign w:val="center"/>
                </w:tcPr>
                <w:p>
                  <w:pPr>
                    <w:jc w:val="center"/>
                    <w:rPr>
                      <w:rFonts w:ascii="Times New Roman" w:hAnsi="Times New Roman" w:eastAsia="宋体"/>
                    </w:rPr>
                  </w:pPr>
                  <w:r>
                    <w:rPr>
                      <w:rFonts w:ascii="Times New Roman" w:hAnsi="Times New Roman" w:eastAsia="宋体"/>
                    </w:rPr>
                    <w:t>1</w:t>
                  </w:r>
                </w:p>
              </w:tc>
              <w:tc>
                <w:tcPr>
                  <w:tcW w:w="188" w:type="pct"/>
                  <w:vAlign w:val="center"/>
                </w:tcPr>
                <w:p>
                  <w:pPr>
                    <w:jc w:val="center"/>
                    <w:rPr>
                      <w:rFonts w:ascii="Times New Roman" w:hAnsi="Times New Roman" w:eastAsia="宋体"/>
                    </w:rPr>
                  </w:pPr>
                  <w:r>
                    <w:rPr>
                      <w:rFonts w:hint="eastAsia" w:ascii="Times New Roman" w:hAnsi="Times New Roman" w:eastAsia="宋体"/>
                    </w:rPr>
                    <w:t>4</w:t>
                  </w:r>
                </w:p>
              </w:tc>
              <w:tc>
                <w:tcPr>
                  <w:tcW w:w="154" w:type="pct"/>
                  <w:vAlign w:val="center"/>
                </w:tcPr>
                <w:p>
                  <w:pPr>
                    <w:jc w:val="center"/>
                    <w:rPr>
                      <w:rFonts w:ascii="Times New Roman" w:hAnsi="Times New Roman" w:eastAsia="宋体"/>
                    </w:rPr>
                  </w:pPr>
                  <w:r>
                    <w:rPr>
                      <w:rFonts w:hint="eastAsia" w:ascii="Times New Roman" w:hAnsi="Times New Roman" w:eastAsia="宋体"/>
                    </w:rPr>
                    <w:t>6</w:t>
                  </w:r>
                </w:p>
              </w:tc>
              <w:tc>
                <w:tcPr>
                  <w:tcW w:w="187" w:type="pct"/>
                  <w:vAlign w:val="center"/>
                </w:tcPr>
                <w:p>
                  <w:pPr>
                    <w:jc w:val="center"/>
                    <w:rPr>
                      <w:rFonts w:ascii="Times New Roman" w:hAnsi="Times New Roman" w:eastAsia="宋体"/>
                    </w:rPr>
                  </w:pPr>
                  <w:r>
                    <w:rPr>
                      <w:rFonts w:hint="eastAsia" w:ascii="Times New Roman" w:hAnsi="Times New Roman" w:eastAsia="宋体"/>
                    </w:rPr>
                    <w:t>3</w:t>
                  </w:r>
                  <w:r>
                    <w:rPr>
                      <w:rFonts w:ascii="Times New Roman" w:hAnsi="Times New Roman" w:eastAsia="宋体"/>
                    </w:rPr>
                    <w:t>6</w:t>
                  </w:r>
                </w:p>
              </w:tc>
              <w:tc>
                <w:tcPr>
                  <w:tcW w:w="196" w:type="pct"/>
                  <w:vAlign w:val="center"/>
                </w:tcPr>
                <w:p>
                  <w:pPr>
                    <w:jc w:val="center"/>
                    <w:rPr>
                      <w:rFonts w:ascii="Times New Roman" w:hAnsi="Times New Roman" w:eastAsia="宋体"/>
                    </w:rPr>
                  </w:pPr>
                  <w:r>
                    <w:rPr>
                      <w:rFonts w:hint="eastAsia" w:ascii="Times New Roman" w:hAnsi="Times New Roman" w:eastAsia="宋体"/>
                    </w:rPr>
                    <w:t>24</w:t>
                  </w:r>
                </w:p>
              </w:tc>
              <w:tc>
                <w:tcPr>
                  <w:tcW w:w="152" w:type="pct"/>
                  <w:vAlign w:val="center"/>
                </w:tcPr>
                <w:p>
                  <w:pPr>
                    <w:jc w:val="center"/>
                    <w:rPr>
                      <w:rFonts w:ascii="Times New Roman" w:hAnsi="Times New Roman" w:eastAsia="宋体"/>
                    </w:rPr>
                  </w:pPr>
                  <w:r>
                    <w:rPr>
                      <w:rFonts w:hint="eastAsia" w:ascii="Times New Roman" w:hAnsi="Times New Roman" w:eastAsia="宋体"/>
                    </w:rPr>
                    <w:t>6</w:t>
                  </w:r>
                  <w:r>
                    <w:rPr>
                      <w:rFonts w:ascii="Times New Roman" w:hAnsi="Times New Roman" w:eastAsia="宋体"/>
                    </w:rPr>
                    <w:t>3</w:t>
                  </w:r>
                </w:p>
              </w:tc>
              <w:tc>
                <w:tcPr>
                  <w:tcW w:w="151"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9</w:t>
                  </w:r>
                </w:p>
              </w:tc>
              <w:tc>
                <w:tcPr>
                  <w:tcW w:w="151"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4</w:t>
                  </w:r>
                </w:p>
              </w:tc>
              <w:tc>
                <w:tcPr>
                  <w:tcW w:w="152"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7</w:t>
                  </w:r>
                </w:p>
              </w:tc>
              <w:tc>
                <w:tcPr>
                  <w:tcW w:w="151" w:type="pct"/>
                  <w:vMerge w:val="continue"/>
                  <w:vAlign w:val="center"/>
                </w:tcPr>
                <w:p>
                  <w:pPr>
                    <w:jc w:val="center"/>
                    <w:rPr>
                      <w:rFonts w:ascii="Times New Roman" w:hAnsi="Times New Roman" w:eastAsia="宋体"/>
                    </w:rPr>
                  </w:pPr>
                </w:p>
              </w:tc>
              <w:tc>
                <w:tcPr>
                  <w:tcW w:w="294" w:type="pct"/>
                  <w:vAlign w:val="center"/>
                </w:tcPr>
                <w:p>
                  <w:pPr>
                    <w:jc w:val="center"/>
                    <w:rPr>
                      <w:rFonts w:ascii="Times New Roman" w:hAnsi="Times New Roman" w:eastAsia="宋体"/>
                    </w:rPr>
                  </w:pPr>
                  <w:r>
                    <w:rPr>
                      <w:rFonts w:ascii="Times New Roman" w:hAnsi="Times New Roman" w:eastAsia="宋体"/>
                    </w:rPr>
                    <w:t>10</w:t>
                  </w:r>
                </w:p>
              </w:tc>
              <w:tc>
                <w:tcPr>
                  <w:tcW w:w="172" w:type="pct"/>
                  <w:vAlign w:val="center"/>
                </w:tcPr>
                <w:p>
                  <w:pPr>
                    <w:jc w:val="center"/>
                    <w:rPr>
                      <w:rFonts w:ascii="Times New Roman" w:hAnsi="Times New Roman" w:eastAsia="宋体"/>
                    </w:rPr>
                  </w:pPr>
                  <w:r>
                    <w:rPr>
                      <w:rFonts w:hint="eastAsia" w:ascii="Times New Roman" w:hAnsi="Times New Roman" w:eastAsia="宋体"/>
                    </w:rPr>
                    <w:t>53</w:t>
                  </w:r>
                </w:p>
              </w:tc>
              <w:tc>
                <w:tcPr>
                  <w:tcW w:w="163" w:type="pct"/>
                  <w:vAlign w:val="center"/>
                </w:tcPr>
                <w:p>
                  <w:pPr>
                    <w:jc w:val="center"/>
                    <w:rPr>
                      <w:rFonts w:ascii="Times New Roman" w:hAnsi="Times New Roman" w:eastAsia="宋体"/>
                    </w:rPr>
                  </w:pPr>
                  <w:r>
                    <w:rPr>
                      <w:rFonts w:hint="eastAsia" w:ascii="Times New Roman" w:hAnsi="Times New Roman" w:eastAsia="宋体"/>
                    </w:rPr>
                    <w:t>49</w:t>
                  </w:r>
                </w:p>
              </w:tc>
              <w:tc>
                <w:tcPr>
                  <w:tcW w:w="151" w:type="pct"/>
                  <w:vAlign w:val="center"/>
                </w:tcPr>
                <w:p>
                  <w:pPr>
                    <w:jc w:val="center"/>
                    <w:rPr>
                      <w:rFonts w:ascii="Times New Roman" w:hAnsi="Times New Roman" w:eastAsia="宋体"/>
                    </w:rPr>
                  </w:pPr>
                  <w:r>
                    <w:rPr>
                      <w:rFonts w:hint="eastAsia" w:ascii="Times New Roman" w:hAnsi="Times New Roman" w:eastAsia="宋体"/>
                    </w:rPr>
                    <w:t>34</w:t>
                  </w:r>
                </w:p>
              </w:tc>
              <w:tc>
                <w:tcPr>
                  <w:tcW w:w="155" w:type="pct"/>
                  <w:vAlign w:val="center"/>
                </w:tcPr>
                <w:p>
                  <w:pPr>
                    <w:jc w:val="center"/>
                    <w:rPr>
                      <w:rFonts w:ascii="Times New Roman" w:hAnsi="Times New Roman" w:eastAsia="宋体"/>
                    </w:rPr>
                  </w:pPr>
                  <w:r>
                    <w:rPr>
                      <w:rFonts w:hint="eastAsia" w:ascii="Times New Roman" w:hAnsi="Times New Roman" w:eastAsia="宋体"/>
                    </w:rPr>
                    <w:t>37</w:t>
                  </w:r>
                </w:p>
              </w:tc>
              <w:tc>
                <w:tcPr>
                  <w:tcW w:w="304" w:type="pct"/>
                  <w:vAlign w:val="center"/>
                </w:tcPr>
                <w:p>
                  <w:pPr>
                    <w:jc w:val="center"/>
                    <w:rPr>
                      <w:rFonts w:ascii="Times New Roman" w:hAnsi="Times New Roman" w:eastAsia="宋体"/>
                    </w:rPr>
                  </w:pPr>
                  <w:r>
                    <w:rPr>
                      <w:rFonts w:hint="eastAsia" w:ascii="Times New Roman" w:hAnsi="Times New Roman"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Align w:val="center"/>
                </w:tcPr>
                <w:p>
                  <w:pPr>
                    <w:jc w:val="center"/>
                    <w:rPr>
                      <w:rFonts w:ascii="Times New Roman" w:hAnsi="Times New Roman" w:eastAsia="宋体"/>
                    </w:rPr>
                  </w:pPr>
                  <w:r>
                    <w:rPr>
                      <w:rFonts w:hint="eastAsia" w:ascii="Times New Roman" w:hAnsi="Times New Roman" w:eastAsia="宋体"/>
                    </w:rPr>
                    <w:t>5</w:t>
                  </w:r>
                </w:p>
              </w:tc>
              <w:tc>
                <w:tcPr>
                  <w:tcW w:w="530" w:type="pct"/>
                  <w:vAlign w:val="center"/>
                </w:tcPr>
                <w:p>
                  <w:pPr>
                    <w:jc w:val="center"/>
                    <w:rPr>
                      <w:rFonts w:ascii="Times New Roman" w:hAnsi="Times New Roman" w:eastAsia="宋体"/>
                    </w:rPr>
                  </w:pPr>
                  <w:r>
                    <w:rPr>
                      <w:rFonts w:ascii="Times New Roman" w:hAnsi="Times New Roman" w:eastAsia="宋体"/>
                      <w:bCs/>
                    </w:rPr>
                    <w:t>喷砂机</w:t>
                  </w:r>
                </w:p>
              </w:tc>
              <w:tc>
                <w:tcPr>
                  <w:tcW w:w="504" w:type="pct"/>
                  <w:vAlign w:val="center"/>
                </w:tcPr>
                <w:p>
                  <w:pPr>
                    <w:jc w:val="center"/>
                    <w:rPr>
                      <w:rFonts w:ascii="Times New Roman" w:hAnsi="Times New Roman" w:eastAsia="宋体"/>
                      <w:bCs/>
                    </w:rPr>
                  </w:pPr>
                  <w:r>
                    <w:rPr>
                      <w:rFonts w:ascii="Times New Roman" w:hAnsi="Times New Roman" w:eastAsia="宋体"/>
                      <w:bCs/>
                    </w:rPr>
                    <w:t>/</w:t>
                  </w:r>
                </w:p>
              </w:tc>
              <w:tc>
                <w:tcPr>
                  <w:tcW w:w="404" w:type="pct"/>
                  <w:vAlign w:val="center"/>
                </w:tcPr>
                <w:p>
                  <w:pPr>
                    <w:jc w:val="center"/>
                    <w:rPr>
                      <w:rFonts w:ascii="Times New Roman" w:hAnsi="Times New Roman" w:eastAsia="宋体"/>
                    </w:rPr>
                  </w:pPr>
                  <w:r>
                    <w:rPr>
                      <w:rFonts w:ascii="Times New Roman" w:hAnsi="Times New Roman" w:eastAsia="宋体"/>
                    </w:rPr>
                    <w:t>80/1</w:t>
                  </w:r>
                </w:p>
              </w:tc>
              <w:tc>
                <w:tcPr>
                  <w:tcW w:w="225" w:type="pct"/>
                  <w:vMerge w:val="continue"/>
                  <w:vAlign w:val="center"/>
                </w:tcPr>
                <w:p>
                  <w:pPr>
                    <w:jc w:val="center"/>
                    <w:rPr>
                      <w:rFonts w:ascii="Times New Roman" w:hAnsi="Times New Roman" w:eastAsia="宋体"/>
                    </w:rPr>
                  </w:pPr>
                </w:p>
              </w:tc>
              <w:tc>
                <w:tcPr>
                  <w:tcW w:w="151" w:type="pct"/>
                  <w:vAlign w:val="center"/>
                </w:tcPr>
                <w:p>
                  <w:pPr>
                    <w:jc w:val="center"/>
                    <w:rPr>
                      <w:rFonts w:ascii="Times New Roman" w:hAnsi="Times New Roman" w:eastAsia="宋体"/>
                    </w:rPr>
                  </w:pPr>
                  <w:r>
                    <w:rPr>
                      <w:rFonts w:ascii="Times New Roman" w:hAnsi="Times New Roman" w:eastAsia="宋体"/>
                    </w:rPr>
                    <w:t>42</w:t>
                  </w:r>
                </w:p>
              </w:tc>
              <w:tc>
                <w:tcPr>
                  <w:tcW w:w="186" w:type="pct"/>
                  <w:vAlign w:val="center"/>
                </w:tcPr>
                <w:p>
                  <w:pPr>
                    <w:jc w:val="center"/>
                    <w:rPr>
                      <w:rFonts w:ascii="Times New Roman" w:hAnsi="Times New Roman" w:eastAsia="宋体"/>
                    </w:rPr>
                  </w:pPr>
                  <w:r>
                    <w:rPr>
                      <w:rFonts w:ascii="Times New Roman" w:hAnsi="Times New Roman" w:eastAsia="宋体"/>
                    </w:rPr>
                    <w:t>13</w:t>
                  </w:r>
                </w:p>
              </w:tc>
              <w:tc>
                <w:tcPr>
                  <w:tcW w:w="128" w:type="pct"/>
                  <w:vAlign w:val="center"/>
                </w:tcPr>
                <w:p>
                  <w:pPr>
                    <w:jc w:val="center"/>
                    <w:rPr>
                      <w:rFonts w:ascii="Times New Roman" w:hAnsi="Times New Roman" w:eastAsia="宋体"/>
                    </w:rPr>
                  </w:pPr>
                  <w:r>
                    <w:rPr>
                      <w:rFonts w:ascii="Times New Roman" w:hAnsi="Times New Roman" w:eastAsia="宋体"/>
                    </w:rPr>
                    <w:t>1</w:t>
                  </w:r>
                </w:p>
              </w:tc>
              <w:tc>
                <w:tcPr>
                  <w:tcW w:w="188" w:type="pct"/>
                  <w:vAlign w:val="center"/>
                </w:tcPr>
                <w:p>
                  <w:pPr>
                    <w:jc w:val="center"/>
                    <w:rPr>
                      <w:rFonts w:ascii="Times New Roman" w:hAnsi="Times New Roman" w:eastAsia="宋体"/>
                    </w:rPr>
                  </w:pPr>
                  <w:r>
                    <w:rPr>
                      <w:rFonts w:hint="eastAsia" w:ascii="Times New Roman" w:hAnsi="Times New Roman" w:eastAsia="宋体"/>
                    </w:rPr>
                    <w:t>17</w:t>
                  </w:r>
                </w:p>
              </w:tc>
              <w:tc>
                <w:tcPr>
                  <w:tcW w:w="154" w:type="pct"/>
                  <w:vAlign w:val="center"/>
                </w:tcPr>
                <w:p>
                  <w:pPr>
                    <w:jc w:val="center"/>
                    <w:rPr>
                      <w:rFonts w:ascii="Times New Roman" w:hAnsi="Times New Roman" w:eastAsia="宋体"/>
                    </w:rPr>
                  </w:pPr>
                  <w:r>
                    <w:rPr>
                      <w:rFonts w:hint="eastAsia" w:ascii="Times New Roman" w:hAnsi="Times New Roman" w:eastAsia="宋体"/>
                    </w:rPr>
                    <w:t>11</w:t>
                  </w:r>
                </w:p>
              </w:tc>
              <w:tc>
                <w:tcPr>
                  <w:tcW w:w="187" w:type="pct"/>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3</w:t>
                  </w:r>
                </w:p>
              </w:tc>
              <w:tc>
                <w:tcPr>
                  <w:tcW w:w="196" w:type="pct"/>
                  <w:vAlign w:val="center"/>
                </w:tcPr>
                <w:p>
                  <w:pPr>
                    <w:jc w:val="center"/>
                    <w:rPr>
                      <w:rFonts w:ascii="Times New Roman" w:hAnsi="Times New Roman" w:eastAsia="宋体"/>
                    </w:rPr>
                  </w:pPr>
                  <w:r>
                    <w:rPr>
                      <w:rFonts w:hint="eastAsia" w:ascii="Times New Roman" w:hAnsi="Times New Roman" w:eastAsia="宋体"/>
                    </w:rPr>
                    <w:t>19</w:t>
                  </w:r>
                </w:p>
              </w:tc>
              <w:tc>
                <w:tcPr>
                  <w:tcW w:w="152"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5</w:t>
                  </w:r>
                </w:p>
              </w:tc>
              <w:tc>
                <w:tcPr>
                  <w:tcW w:w="151"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9</w:t>
                  </w:r>
                </w:p>
              </w:tc>
              <w:tc>
                <w:tcPr>
                  <w:tcW w:w="151"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3</w:t>
                  </w:r>
                </w:p>
              </w:tc>
              <w:tc>
                <w:tcPr>
                  <w:tcW w:w="152"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4</w:t>
                  </w:r>
                </w:p>
              </w:tc>
              <w:tc>
                <w:tcPr>
                  <w:tcW w:w="151" w:type="pct"/>
                  <w:vMerge w:val="continue"/>
                  <w:vAlign w:val="center"/>
                </w:tcPr>
                <w:p>
                  <w:pPr>
                    <w:jc w:val="center"/>
                    <w:rPr>
                      <w:rFonts w:ascii="Times New Roman" w:hAnsi="Times New Roman" w:eastAsia="宋体"/>
                    </w:rPr>
                  </w:pPr>
                </w:p>
              </w:tc>
              <w:tc>
                <w:tcPr>
                  <w:tcW w:w="294" w:type="pct"/>
                  <w:vAlign w:val="center"/>
                </w:tcPr>
                <w:p>
                  <w:pPr>
                    <w:jc w:val="center"/>
                    <w:rPr>
                      <w:rFonts w:ascii="Times New Roman" w:hAnsi="Times New Roman" w:eastAsia="宋体"/>
                    </w:rPr>
                  </w:pPr>
                  <w:r>
                    <w:rPr>
                      <w:rFonts w:ascii="Times New Roman" w:hAnsi="Times New Roman" w:eastAsia="宋体"/>
                    </w:rPr>
                    <w:t>10</w:t>
                  </w:r>
                </w:p>
              </w:tc>
              <w:tc>
                <w:tcPr>
                  <w:tcW w:w="172" w:type="pct"/>
                  <w:vAlign w:val="center"/>
                </w:tcPr>
                <w:p>
                  <w:pPr>
                    <w:jc w:val="center"/>
                    <w:rPr>
                      <w:rFonts w:ascii="Times New Roman" w:hAnsi="Times New Roman" w:eastAsia="宋体"/>
                    </w:rPr>
                  </w:pPr>
                  <w:r>
                    <w:rPr>
                      <w:rFonts w:hint="eastAsia" w:ascii="Times New Roman" w:hAnsi="Times New Roman" w:eastAsia="宋体"/>
                    </w:rPr>
                    <w:t>45</w:t>
                  </w:r>
                </w:p>
              </w:tc>
              <w:tc>
                <w:tcPr>
                  <w:tcW w:w="163" w:type="pct"/>
                  <w:vAlign w:val="center"/>
                </w:tcPr>
                <w:p>
                  <w:pPr>
                    <w:jc w:val="center"/>
                    <w:rPr>
                      <w:rFonts w:ascii="Times New Roman" w:hAnsi="Times New Roman" w:eastAsia="宋体"/>
                    </w:rPr>
                  </w:pPr>
                  <w:r>
                    <w:rPr>
                      <w:rFonts w:hint="eastAsia" w:ascii="Times New Roman" w:hAnsi="Times New Roman" w:eastAsia="宋体"/>
                    </w:rPr>
                    <w:t>49</w:t>
                  </w:r>
                </w:p>
              </w:tc>
              <w:tc>
                <w:tcPr>
                  <w:tcW w:w="151" w:type="pct"/>
                  <w:vAlign w:val="center"/>
                </w:tcPr>
                <w:p>
                  <w:pPr>
                    <w:jc w:val="center"/>
                    <w:rPr>
                      <w:rFonts w:ascii="Times New Roman" w:hAnsi="Times New Roman" w:eastAsia="宋体"/>
                    </w:rPr>
                  </w:pPr>
                  <w:r>
                    <w:rPr>
                      <w:rFonts w:hint="eastAsia" w:ascii="Times New Roman" w:hAnsi="Times New Roman" w:eastAsia="宋体"/>
                    </w:rPr>
                    <w:t>43</w:t>
                  </w:r>
                </w:p>
              </w:tc>
              <w:tc>
                <w:tcPr>
                  <w:tcW w:w="155" w:type="pct"/>
                  <w:vAlign w:val="center"/>
                </w:tcPr>
                <w:p>
                  <w:pPr>
                    <w:jc w:val="center"/>
                    <w:rPr>
                      <w:rFonts w:ascii="Times New Roman" w:hAnsi="Times New Roman" w:eastAsia="宋体"/>
                    </w:rPr>
                  </w:pPr>
                  <w:r>
                    <w:rPr>
                      <w:rFonts w:hint="eastAsia" w:ascii="Times New Roman" w:hAnsi="Times New Roman" w:eastAsia="宋体"/>
                    </w:rPr>
                    <w:t>44</w:t>
                  </w:r>
                </w:p>
              </w:tc>
              <w:tc>
                <w:tcPr>
                  <w:tcW w:w="304" w:type="pct"/>
                  <w:vAlign w:val="center"/>
                </w:tcPr>
                <w:p>
                  <w:pPr>
                    <w:jc w:val="center"/>
                    <w:rPr>
                      <w:rFonts w:ascii="Times New Roman" w:hAnsi="Times New Roman" w:eastAsia="宋体"/>
                    </w:rPr>
                  </w:pPr>
                  <w:r>
                    <w:rPr>
                      <w:rFonts w:hint="eastAsia" w:ascii="Times New Roman" w:hAnsi="Times New Roman"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Align w:val="center"/>
                </w:tcPr>
                <w:p>
                  <w:pPr>
                    <w:jc w:val="center"/>
                    <w:rPr>
                      <w:rFonts w:ascii="Times New Roman" w:hAnsi="Times New Roman" w:eastAsia="宋体"/>
                    </w:rPr>
                  </w:pPr>
                  <w:r>
                    <w:rPr>
                      <w:rFonts w:hint="eastAsia" w:ascii="Times New Roman" w:hAnsi="Times New Roman" w:eastAsia="宋体"/>
                    </w:rPr>
                    <w:t>6</w:t>
                  </w:r>
                </w:p>
              </w:tc>
              <w:tc>
                <w:tcPr>
                  <w:tcW w:w="530" w:type="pct"/>
                  <w:vAlign w:val="center"/>
                </w:tcPr>
                <w:p>
                  <w:pPr>
                    <w:jc w:val="center"/>
                    <w:rPr>
                      <w:rFonts w:ascii="Times New Roman" w:hAnsi="Times New Roman" w:eastAsia="宋体"/>
                    </w:rPr>
                  </w:pPr>
                  <w:r>
                    <w:rPr>
                      <w:rFonts w:hint="eastAsia" w:ascii="Times New Roman" w:hAnsi="Times New Roman" w:eastAsia="宋体"/>
                      <w:bCs/>
                    </w:rPr>
                    <w:t>台车自转式抛丸毛化设备</w:t>
                  </w:r>
                </w:p>
              </w:tc>
              <w:tc>
                <w:tcPr>
                  <w:tcW w:w="504" w:type="pct"/>
                  <w:vAlign w:val="center"/>
                </w:tcPr>
                <w:p>
                  <w:pPr>
                    <w:jc w:val="center"/>
                    <w:rPr>
                      <w:rFonts w:ascii="Times New Roman" w:hAnsi="Times New Roman" w:eastAsia="宋体"/>
                      <w:bCs/>
                    </w:rPr>
                  </w:pPr>
                  <w:r>
                    <w:rPr>
                      <w:rFonts w:hint="eastAsia" w:ascii="Times New Roman" w:hAnsi="Times New Roman" w:eastAsia="宋体"/>
                      <w:bCs/>
                    </w:rPr>
                    <w:t>QCZ1200</w:t>
                  </w:r>
                </w:p>
              </w:tc>
              <w:tc>
                <w:tcPr>
                  <w:tcW w:w="404" w:type="pct"/>
                  <w:vAlign w:val="center"/>
                </w:tcPr>
                <w:p>
                  <w:pPr>
                    <w:jc w:val="center"/>
                    <w:rPr>
                      <w:rFonts w:ascii="Times New Roman" w:hAnsi="Times New Roman" w:eastAsia="宋体"/>
                    </w:rPr>
                  </w:pPr>
                  <w:r>
                    <w:rPr>
                      <w:rFonts w:ascii="Times New Roman" w:hAnsi="Times New Roman" w:eastAsia="宋体"/>
                    </w:rPr>
                    <w:t>80/1</w:t>
                  </w:r>
                </w:p>
              </w:tc>
              <w:tc>
                <w:tcPr>
                  <w:tcW w:w="225" w:type="pct"/>
                  <w:vMerge w:val="continue"/>
                  <w:vAlign w:val="center"/>
                </w:tcPr>
                <w:p>
                  <w:pPr>
                    <w:jc w:val="center"/>
                    <w:rPr>
                      <w:rFonts w:ascii="Times New Roman" w:hAnsi="Times New Roman" w:eastAsia="宋体"/>
                    </w:rPr>
                  </w:pPr>
                </w:p>
              </w:tc>
              <w:tc>
                <w:tcPr>
                  <w:tcW w:w="151" w:type="pct"/>
                  <w:vAlign w:val="center"/>
                </w:tcPr>
                <w:p>
                  <w:pPr>
                    <w:jc w:val="center"/>
                    <w:rPr>
                      <w:rFonts w:ascii="Times New Roman" w:hAnsi="Times New Roman" w:eastAsia="宋体"/>
                    </w:rPr>
                  </w:pPr>
                  <w:r>
                    <w:rPr>
                      <w:rFonts w:hint="eastAsia" w:ascii="Times New Roman" w:hAnsi="Times New Roman" w:eastAsia="宋体"/>
                    </w:rPr>
                    <w:t>3</w:t>
                  </w:r>
                  <w:r>
                    <w:rPr>
                      <w:rFonts w:ascii="Times New Roman" w:hAnsi="Times New Roman" w:eastAsia="宋体"/>
                    </w:rPr>
                    <w:t>9</w:t>
                  </w:r>
                </w:p>
              </w:tc>
              <w:tc>
                <w:tcPr>
                  <w:tcW w:w="186" w:type="pct"/>
                  <w:vAlign w:val="center"/>
                </w:tcPr>
                <w:p>
                  <w:pPr>
                    <w:jc w:val="center"/>
                    <w:rPr>
                      <w:rFonts w:ascii="Times New Roman" w:hAnsi="Times New Roman" w:eastAsia="宋体"/>
                    </w:rPr>
                  </w:pPr>
                  <w:r>
                    <w:rPr>
                      <w:rFonts w:hint="eastAsia" w:ascii="Times New Roman" w:hAnsi="Times New Roman" w:eastAsia="宋体"/>
                    </w:rPr>
                    <w:t>6</w:t>
                  </w:r>
                </w:p>
              </w:tc>
              <w:tc>
                <w:tcPr>
                  <w:tcW w:w="128" w:type="pct"/>
                  <w:vAlign w:val="center"/>
                </w:tcPr>
                <w:p>
                  <w:pPr>
                    <w:jc w:val="center"/>
                    <w:rPr>
                      <w:rFonts w:ascii="Times New Roman" w:hAnsi="Times New Roman" w:eastAsia="宋体"/>
                    </w:rPr>
                  </w:pPr>
                  <w:r>
                    <w:rPr>
                      <w:rFonts w:hint="eastAsia" w:ascii="Times New Roman" w:hAnsi="Times New Roman" w:eastAsia="宋体"/>
                    </w:rPr>
                    <w:t>1</w:t>
                  </w:r>
                </w:p>
              </w:tc>
              <w:tc>
                <w:tcPr>
                  <w:tcW w:w="188" w:type="pct"/>
                  <w:vAlign w:val="center"/>
                </w:tcPr>
                <w:p>
                  <w:pPr>
                    <w:jc w:val="center"/>
                    <w:rPr>
                      <w:rFonts w:ascii="Times New Roman" w:hAnsi="Times New Roman" w:eastAsia="宋体"/>
                    </w:rPr>
                  </w:pPr>
                  <w:r>
                    <w:rPr>
                      <w:rFonts w:hint="eastAsia" w:ascii="Times New Roman" w:hAnsi="Times New Roman" w:eastAsia="宋体"/>
                    </w:rPr>
                    <w:t>20</w:t>
                  </w:r>
                </w:p>
              </w:tc>
              <w:tc>
                <w:tcPr>
                  <w:tcW w:w="154" w:type="pct"/>
                  <w:vAlign w:val="center"/>
                </w:tcPr>
                <w:p>
                  <w:pPr>
                    <w:jc w:val="center"/>
                    <w:rPr>
                      <w:rFonts w:ascii="Times New Roman" w:hAnsi="Times New Roman" w:eastAsia="宋体"/>
                    </w:rPr>
                  </w:pPr>
                  <w:r>
                    <w:rPr>
                      <w:rFonts w:hint="eastAsia" w:ascii="Times New Roman" w:hAnsi="Times New Roman" w:eastAsia="宋体"/>
                    </w:rPr>
                    <w:t>4</w:t>
                  </w:r>
                </w:p>
              </w:tc>
              <w:tc>
                <w:tcPr>
                  <w:tcW w:w="187" w:type="pct"/>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0</w:t>
                  </w:r>
                </w:p>
              </w:tc>
              <w:tc>
                <w:tcPr>
                  <w:tcW w:w="196" w:type="pct"/>
                  <w:vAlign w:val="center"/>
                </w:tcPr>
                <w:p>
                  <w:pPr>
                    <w:jc w:val="center"/>
                    <w:rPr>
                      <w:rFonts w:ascii="Times New Roman" w:hAnsi="Times New Roman" w:eastAsia="宋体"/>
                    </w:rPr>
                  </w:pPr>
                  <w:r>
                    <w:rPr>
                      <w:rFonts w:hint="eastAsia" w:ascii="Times New Roman" w:hAnsi="Times New Roman" w:eastAsia="宋体"/>
                    </w:rPr>
                    <w:t>26</w:t>
                  </w:r>
                </w:p>
              </w:tc>
              <w:tc>
                <w:tcPr>
                  <w:tcW w:w="152"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4</w:t>
                  </w:r>
                </w:p>
              </w:tc>
              <w:tc>
                <w:tcPr>
                  <w:tcW w:w="151" w:type="pct"/>
                  <w:vAlign w:val="center"/>
                </w:tcPr>
                <w:p>
                  <w:pPr>
                    <w:jc w:val="center"/>
                    <w:rPr>
                      <w:rFonts w:ascii="Times New Roman" w:hAnsi="Times New Roman" w:eastAsia="宋体"/>
                    </w:rPr>
                  </w:pPr>
                  <w:r>
                    <w:rPr>
                      <w:rFonts w:hint="eastAsia" w:ascii="Times New Roman" w:hAnsi="Times New Roman" w:eastAsia="宋体"/>
                    </w:rPr>
                    <w:t>6</w:t>
                  </w:r>
                  <w:r>
                    <w:rPr>
                      <w:rFonts w:ascii="Times New Roman" w:hAnsi="Times New Roman" w:eastAsia="宋体"/>
                    </w:rPr>
                    <w:t>8</w:t>
                  </w:r>
                </w:p>
              </w:tc>
              <w:tc>
                <w:tcPr>
                  <w:tcW w:w="151"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4</w:t>
                  </w:r>
                </w:p>
              </w:tc>
              <w:tc>
                <w:tcPr>
                  <w:tcW w:w="152"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2</w:t>
                  </w:r>
                </w:p>
              </w:tc>
              <w:tc>
                <w:tcPr>
                  <w:tcW w:w="151" w:type="pct"/>
                  <w:vMerge w:val="continue"/>
                  <w:vAlign w:val="center"/>
                </w:tcPr>
                <w:p>
                  <w:pPr>
                    <w:jc w:val="center"/>
                    <w:rPr>
                      <w:rFonts w:ascii="Times New Roman" w:hAnsi="Times New Roman" w:eastAsia="宋体"/>
                    </w:rPr>
                  </w:pPr>
                </w:p>
              </w:tc>
              <w:tc>
                <w:tcPr>
                  <w:tcW w:w="294" w:type="pct"/>
                  <w:vAlign w:val="center"/>
                </w:tcPr>
                <w:p>
                  <w:pPr>
                    <w:jc w:val="center"/>
                    <w:rPr>
                      <w:rFonts w:ascii="Times New Roman" w:hAnsi="Times New Roman" w:eastAsia="宋体"/>
                    </w:rPr>
                  </w:pPr>
                  <w:r>
                    <w:rPr>
                      <w:rFonts w:ascii="Times New Roman" w:hAnsi="Times New Roman" w:eastAsia="宋体"/>
                    </w:rPr>
                    <w:t>10</w:t>
                  </w:r>
                </w:p>
              </w:tc>
              <w:tc>
                <w:tcPr>
                  <w:tcW w:w="172" w:type="pct"/>
                  <w:vAlign w:val="center"/>
                </w:tcPr>
                <w:p>
                  <w:pPr>
                    <w:jc w:val="center"/>
                    <w:rPr>
                      <w:rFonts w:ascii="Times New Roman" w:hAnsi="Times New Roman" w:eastAsia="宋体"/>
                    </w:rPr>
                  </w:pPr>
                  <w:r>
                    <w:rPr>
                      <w:rFonts w:hint="eastAsia" w:ascii="Times New Roman" w:hAnsi="Times New Roman" w:eastAsia="宋体"/>
                    </w:rPr>
                    <w:t>44</w:t>
                  </w:r>
                </w:p>
              </w:tc>
              <w:tc>
                <w:tcPr>
                  <w:tcW w:w="163" w:type="pct"/>
                  <w:vAlign w:val="center"/>
                </w:tcPr>
                <w:p>
                  <w:pPr>
                    <w:jc w:val="center"/>
                    <w:rPr>
                      <w:rFonts w:ascii="Times New Roman" w:hAnsi="Times New Roman" w:eastAsia="宋体"/>
                    </w:rPr>
                  </w:pPr>
                  <w:r>
                    <w:rPr>
                      <w:rFonts w:hint="eastAsia" w:ascii="Times New Roman" w:hAnsi="Times New Roman" w:eastAsia="宋体"/>
                    </w:rPr>
                    <w:t>58</w:t>
                  </w:r>
                </w:p>
              </w:tc>
              <w:tc>
                <w:tcPr>
                  <w:tcW w:w="151" w:type="pct"/>
                  <w:vAlign w:val="center"/>
                </w:tcPr>
                <w:p>
                  <w:pPr>
                    <w:jc w:val="center"/>
                    <w:rPr>
                      <w:rFonts w:ascii="Times New Roman" w:hAnsi="Times New Roman" w:eastAsia="宋体"/>
                    </w:rPr>
                  </w:pPr>
                  <w:r>
                    <w:rPr>
                      <w:rFonts w:hint="eastAsia" w:ascii="Times New Roman" w:hAnsi="Times New Roman" w:eastAsia="宋体"/>
                    </w:rPr>
                    <w:t>44</w:t>
                  </w:r>
                </w:p>
              </w:tc>
              <w:tc>
                <w:tcPr>
                  <w:tcW w:w="155" w:type="pct"/>
                  <w:vAlign w:val="center"/>
                </w:tcPr>
                <w:p>
                  <w:pPr>
                    <w:jc w:val="center"/>
                    <w:rPr>
                      <w:rFonts w:ascii="Times New Roman" w:hAnsi="Times New Roman" w:eastAsia="宋体"/>
                    </w:rPr>
                  </w:pPr>
                  <w:r>
                    <w:rPr>
                      <w:rFonts w:hint="eastAsia" w:ascii="Times New Roman" w:hAnsi="Times New Roman" w:eastAsia="宋体"/>
                    </w:rPr>
                    <w:t>42</w:t>
                  </w:r>
                </w:p>
              </w:tc>
              <w:tc>
                <w:tcPr>
                  <w:tcW w:w="304" w:type="pct"/>
                  <w:vAlign w:val="center"/>
                </w:tcPr>
                <w:p>
                  <w:pPr>
                    <w:jc w:val="center"/>
                    <w:rPr>
                      <w:rFonts w:ascii="Times New Roman" w:hAnsi="Times New Roman" w:eastAsia="宋体"/>
                    </w:rPr>
                  </w:pPr>
                  <w:r>
                    <w:rPr>
                      <w:rFonts w:hint="eastAsia" w:ascii="Times New Roman" w:hAnsi="Times New Roman"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Align w:val="center"/>
                </w:tcPr>
                <w:p>
                  <w:pPr>
                    <w:jc w:val="center"/>
                    <w:rPr>
                      <w:rFonts w:ascii="Times New Roman" w:hAnsi="Times New Roman" w:eastAsia="宋体"/>
                    </w:rPr>
                  </w:pPr>
                  <w:r>
                    <w:rPr>
                      <w:rFonts w:hint="eastAsia" w:ascii="Times New Roman" w:hAnsi="Times New Roman" w:eastAsia="宋体"/>
                    </w:rPr>
                    <w:t>7</w:t>
                  </w:r>
                </w:p>
              </w:tc>
              <w:tc>
                <w:tcPr>
                  <w:tcW w:w="530" w:type="pct"/>
                  <w:vAlign w:val="center"/>
                </w:tcPr>
                <w:p>
                  <w:pPr>
                    <w:jc w:val="center"/>
                    <w:rPr>
                      <w:rFonts w:ascii="Times New Roman" w:hAnsi="Times New Roman" w:eastAsia="宋体"/>
                    </w:rPr>
                  </w:pPr>
                  <w:r>
                    <w:rPr>
                      <w:rFonts w:ascii="Times New Roman" w:hAnsi="Times New Roman" w:eastAsia="宋体"/>
                      <w:bCs/>
                    </w:rPr>
                    <w:t>打磨机</w:t>
                  </w:r>
                </w:p>
              </w:tc>
              <w:tc>
                <w:tcPr>
                  <w:tcW w:w="504" w:type="pct"/>
                  <w:vAlign w:val="center"/>
                </w:tcPr>
                <w:p>
                  <w:pPr>
                    <w:jc w:val="center"/>
                    <w:rPr>
                      <w:rFonts w:ascii="Times New Roman" w:hAnsi="Times New Roman" w:eastAsia="宋体"/>
                      <w:bCs/>
                    </w:rPr>
                  </w:pPr>
                  <w:r>
                    <w:rPr>
                      <w:rFonts w:ascii="Times New Roman" w:hAnsi="Times New Roman" w:eastAsia="宋体"/>
                      <w:bCs/>
                    </w:rPr>
                    <w:t>/</w:t>
                  </w:r>
                </w:p>
              </w:tc>
              <w:tc>
                <w:tcPr>
                  <w:tcW w:w="404" w:type="pct"/>
                  <w:vAlign w:val="center"/>
                </w:tcPr>
                <w:p>
                  <w:pPr>
                    <w:jc w:val="center"/>
                    <w:rPr>
                      <w:rFonts w:ascii="Times New Roman" w:hAnsi="Times New Roman" w:eastAsia="宋体"/>
                    </w:rPr>
                  </w:pPr>
                  <w:r>
                    <w:rPr>
                      <w:rFonts w:ascii="Times New Roman" w:hAnsi="Times New Roman" w:eastAsia="宋体"/>
                    </w:rPr>
                    <w:t>75/1</w:t>
                  </w:r>
                </w:p>
              </w:tc>
              <w:tc>
                <w:tcPr>
                  <w:tcW w:w="225" w:type="pct"/>
                  <w:vMerge w:val="continue"/>
                  <w:vAlign w:val="center"/>
                </w:tcPr>
                <w:p>
                  <w:pPr>
                    <w:jc w:val="center"/>
                    <w:rPr>
                      <w:rFonts w:ascii="Times New Roman" w:hAnsi="Times New Roman" w:eastAsia="宋体"/>
                    </w:rPr>
                  </w:pPr>
                </w:p>
              </w:tc>
              <w:tc>
                <w:tcPr>
                  <w:tcW w:w="151" w:type="pct"/>
                  <w:vAlign w:val="center"/>
                </w:tcPr>
                <w:p>
                  <w:pPr>
                    <w:jc w:val="center"/>
                    <w:rPr>
                      <w:rFonts w:ascii="Times New Roman" w:hAnsi="Times New Roman" w:eastAsia="宋体"/>
                    </w:rPr>
                  </w:pPr>
                  <w:r>
                    <w:rPr>
                      <w:rFonts w:ascii="Times New Roman" w:hAnsi="Times New Roman" w:eastAsia="宋体"/>
                    </w:rPr>
                    <w:t>48</w:t>
                  </w:r>
                </w:p>
              </w:tc>
              <w:tc>
                <w:tcPr>
                  <w:tcW w:w="186" w:type="pct"/>
                  <w:vAlign w:val="center"/>
                </w:tcPr>
                <w:p>
                  <w:pPr>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0</w:t>
                  </w:r>
                </w:p>
              </w:tc>
              <w:tc>
                <w:tcPr>
                  <w:tcW w:w="128" w:type="pct"/>
                  <w:vAlign w:val="center"/>
                </w:tcPr>
                <w:p>
                  <w:pPr>
                    <w:jc w:val="center"/>
                    <w:rPr>
                      <w:rFonts w:ascii="Times New Roman" w:hAnsi="Times New Roman" w:eastAsia="宋体"/>
                    </w:rPr>
                  </w:pPr>
                  <w:r>
                    <w:rPr>
                      <w:rFonts w:hint="eastAsia" w:ascii="Times New Roman" w:hAnsi="Times New Roman" w:eastAsia="宋体"/>
                    </w:rPr>
                    <w:t>1</w:t>
                  </w:r>
                </w:p>
              </w:tc>
              <w:tc>
                <w:tcPr>
                  <w:tcW w:w="188" w:type="pct"/>
                  <w:vAlign w:val="center"/>
                </w:tcPr>
                <w:p>
                  <w:pPr>
                    <w:jc w:val="center"/>
                    <w:rPr>
                      <w:rFonts w:ascii="Times New Roman" w:hAnsi="Times New Roman" w:eastAsia="宋体"/>
                    </w:rPr>
                  </w:pPr>
                  <w:r>
                    <w:rPr>
                      <w:rFonts w:hint="eastAsia" w:ascii="Times New Roman" w:hAnsi="Times New Roman" w:eastAsia="宋体"/>
                    </w:rPr>
                    <w:t>11</w:t>
                  </w:r>
                </w:p>
              </w:tc>
              <w:tc>
                <w:tcPr>
                  <w:tcW w:w="154" w:type="pct"/>
                  <w:vAlign w:val="center"/>
                </w:tcPr>
                <w:p>
                  <w:pPr>
                    <w:jc w:val="center"/>
                    <w:rPr>
                      <w:rFonts w:ascii="Times New Roman" w:hAnsi="Times New Roman" w:eastAsia="宋体"/>
                    </w:rPr>
                  </w:pPr>
                  <w:r>
                    <w:rPr>
                      <w:rFonts w:hint="eastAsia" w:ascii="Times New Roman" w:hAnsi="Times New Roman" w:eastAsia="宋体"/>
                    </w:rPr>
                    <w:t>8</w:t>
                  </w:r>
                </w:p>
              </w:tc>
              <w:tc>
                <w:tcPr>
                  <w:tcW w:w="187" w:type="pct"/>
                  <w:vAlign w:val="center"/>
                </w:tcPr>
                <w:p>
                  <w:pPr>
                    <w:jc w:val="center"/>
                    <w:rPr>
                      <w:rFonts w:ascii="Times New Roman" w:hAnsi="Times New Roman" w:eastAsia="宋体"/>
                    </w:rPr>
                  </w:pPr>
                  <w:r>
                    <w:rPr>
                      <w:rFonts w:hint="eastAsia" w:ascii="Times New Roman" w:hAnsi="Times New Roman" w:eastAsia="宋体"/>
                    </w:rPr>
                    <w:t>31</w:t>
                  </w:r>
                </w:p>
              </w:tc>
              <w:tc>
                <w:tcPr>
                  <w:tcW w:w="196" w:type="pct"/>
                  <w:vAlign w:val="center"/>
                </w:tcPr>
                <w:p>
                  <w:pPr>
                    <w:jc w:val="center"/>
                    <w:rPr>
                      <w:rFonts w:ascii="Times New Roman" w:hAnsi="Times New Roman" w:eastAsia="宋体"/>
                    </w:rPr>
                  </w:pPr>
                  <w:r>
                    <w:rPr>
                      <w:rFonts w:hint="eastAsia" w:ascii="Times New Roman" w:hAnsi="Times New Roman" w:eastAsia="宋体"/>
                    </w:rPr>
                    <w:t>22</w:t>
                  </w:r>
                </w:p>
              </w:tc>
              <w:tc>
                <w:tcPr>
                  <w:tcW w:w="152"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4</w:t>
                  </w:r>
                </w:p>
              </w:tc>
              <w:tc>
                <w:tcPr>
                  <w:tcW w:w="151"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7</w:t>
                  </w:r>
                </w:p>
              </w:tc>
              <w:tc>
                <w:tcPr>
                  <w:tcW w:w="151"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5</w:t>
                  </w:r>
                </w:p>
              </w:tc>
              <w:tc>
                <w:tcPr>
                  <w:tcW w:w="152"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8</w:t>
                  </w:r>
                </w:p>
              </w:tc>
              <w:tc>
                <w:tcPr>
                  <w:tcW w:w="151" w:type="pct"/>
                  <w:vMerge w:val="continue"/>
                  <w:vAlign w:val="center"/>
                </w:tcPr>
                <w:p>
                  <w:pPr>
                    <w:jc w:val="center"/>
                    <w:rPr>
                      <w:rFonts w:ascii="Times New Roman" w:hAnsi="Times New Roman" w:eastAsia="宋体"/>
                    </w:rPr>
                  </w:pPr>
                </w:p>
              </w:tc>
              <w:tc>
                <w:tcPr>
                  <w:tcW w:w="294" w:type="pct"/>
                  <w:vAlign w:val="center"/>
                </w:tcPr>
                <w:p>
                  <w:pPr>
                    <w:jc w:val="center"/>
                    <w:rPr>
                      <w:rFonts w:ascii="Times New Roman" w:hAnsi="Times New Roman" w:eastAsia="宋体"/>
                    </w:rPr>
                  </w:pPr>
                  <w:r>
                    <w:rPr>
                      <w:rFonts w:ascii="Times New Roman" w:hAnsi="Times New Roman" w:eastAsia="宋体"/>
                    </w:rPr>
                    <w:t>10</w:t>
                  </w:r>
                </w:p>
              </w:tc>
              <w:tc>
                <w:tcPr>
                  <w:tcW w:w="172" w:type="pct"/>
                  <w:vAlign w:val="center"/>
                </w:tcPr>
                <w:p>
                  <w:pPr>
                    <w:jc w:val="center"/>
                    <w:rPr>
                      <w:rFonts w:ascii="Times New Roman" w:hAnsi="Times New Roman" w:eastAsia="宋体"/>
                    </w:rPr>
                  </w:pPr>
                  <w:r>
                    <w:rPr>
                      <w:rFonts w:hint="eastAsia" w:ascii="Times New Roman" w:hAnsi="Times New Roman" w:eastAsia="宋体"/>
                    </w:rPr>
                    <w:t>44</w:t>
                  </w:r>
                </w:p>
              </w:tc>
              <w:tc>
                <w:tcPr>
                  <w:tcW w:w="163" w:type="pct"/>
                  <w:vAlign w:val="center"/>
                </w:tcPr>
                <w:p>
                  <w:pPr>
                    <w:jc w:val="center"/>
                    <w:rPr>
                      <w:rFonts w:ascii="Times New Roman" w:hAnsi="Times New Roman" w:eastAsia="宋体"/>
                    </w:rPr>
                  </w:pPr>
                  <w:r>
                    <w:rPr>
                      <w:rFonts w:hint="eastAsia" w:ascii="Times New Roman" w:hAnsi="Times New Roman" w:eastAsia="宋体"/>
                    </w:rPr>
                    <w:t>47</w:t>
                  </w:r>
                </w:p>
              </w:tc>
              <w:tc>
                <w:tcPr>
                  <w:tcW w:w="151" w:type="pct"/>
                  <w:vAlign w:val="center"/>
                </w:tcPr>
                <w:p>
                  <w:pPr>
                    <w:jc w:val="center"/>
                    <w:rPr>
                      <w:rFonts w:ascii="Times New Roman" w:hAnsi="Times New Roman" w:eastAsia="宋体"/>
                    </w:rPr>
                  </w:pPr>
                  <w:r>
                    <w:rPr>
                      <w:rFonts w:hint="eastAsia" w:ascii="Times New Roman" w:hAnsi="Times New Roman" w:eastAsia="宋体"/>
                    </w:rPr>
                    <w:t>35</w:t>
                  </w:r>
                </w:p>
              </w:tc>
              <w:tc>
                <w:tcPr>
                  <w:tcW w:w="155" w:type="pct"/>
                  <w:vAlign w:val="center"/>
                </w:tcPr>
                <w:p>
                  <w:pPr>
                    <w:jc w:val="center"/>
                    <w:rPr>
                      <w:rFonts w:ascii="Times New Roman" w:hAnsi="Times New Roman" w:eastAsia="宋体"/>
                    </w:rPr>
                  </w:pPr>
                  <w:r>
                    <w:rPr>
                      <w:rFonts w:hint="eastAsia" w:ascii="Times New Roman" w:hAnsi="Times New Roman" w:eastAsia="宋体"/>
                    </w:rPr>
                    <w:t>38</w:t>
                  </w:r>
                </w:p>
              </w:tc>
              <w:tc>
                <w:tcPr>
                  <w:tcW w:w="304" w:type="pct"/>
                  <w:vAlign w:val="center"/>
                </w:tcPr>
                <w:p>
                  <w:pPr>
                    <w:jc w:val="center"/>
                    <w:rPr>
                      <w:rFonts w:ascii="Times New Roman" w:hAnsi="Times New Roman" w:eastAsia="宋体"/>
                    </w:rPr>
                  </w:pPr>
                  <w:r>
                    <w:rPr>
                      <w:rFonts w:hint="eastAsia" w:ascii="Times New Roman" w:hAnsi="Times New Roman"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Align w:val="center"/>
                </w:tcPr>
                <w:p>
                  <w:pPr>
                    <w:jc w:val="center"/>
                    <w:rPr>
                      <w:rFonts w:ascii="Times New Roman" w:hAnsi="Times New Roman" w:eastAsia="宋体"/>
                    </w:rPr>
                  </w:pPr>
                  <w:r>
                    <w:rPr>
                      <w:rFonts w:hint="eastAsia" w:ascii="Times New Roman" w:hAnsi="Times New Roman" w:eastAsia="宋体"/>
                    </w:rPr>
                    <w:t>8</w:t>
                  </w:r>
                </w:p>
              </w:tc>
              <w:tc>
                <w:tcPr>
                  <w:tcW w:w="530" w:type="pct"/>
                  <w:vAlign w:val="center"/>
                </w:tcPr>
                <w:p>
                  <w:pPr>
                    <w:jc w:val="center"/>
                    <w:rPr>
                      <w:rFonts w:ascii="Times New Roman" w:hAnsi="Times New Roman" w:eastAsia="宋体"/>
                    </w:rPr>
                  </w:pPr>
                  <w:r>
                    <w:rPr>
                      <w:rFonts w:ascii="Times New Roman" w:hAnsi="Times New Roman" w:eastAsia="宋体"/>
                      <w:bCs/>
                    </w:rPr>
                    <w:t>打磨机</w:t>
                  </w:r>
                </w:p>
              </w:tc>
              <w:tc>
                <w:tcPr>
                  <w:tcW w:w="504" w:type="pct"/>
                  <w:vAlign w:val="center"/>
                </w:tcPr>
                <w:p>
                  <w:pPr>
                    <w:jc w:val="center"/>
                    <w:rPr>
                      <w:rFonts w:ascii="Times New Roman" w:hAnsi="Times New Roman" w:eastAsia="宋体"/>
                      <w:bCs/>
                    </w:rPr>
                  </w:pPr>
                  <w:r>
                    <w:rPr>
                      <w:rFonts w:ascii="Times New Roman" w:hAnsi="Times New Roman" w:eastAsia="宋体"/>
                      <w:bCs/>
                    </w:rPr>
                    <w:t>/</w:t>
                  </w:r>
                </w:p>
              </w:tc>
              <w:tc>
                <w:tcPr>
                  <w:tcW w:w="404" w:type="pct"/>
                  <w:vAlign w:val="center"/>
                </w:tcPr>
                <w:p>
                  <w:pPr>
                    <w:jc w:val="center"/>
                    <w:rPr>
                      <w:rFonts w:ascii="Times New Roman" w:hAnsi="Times New Roman" w:eastAsia="宋体"/>
                    </w:rPr>
                  </w:pPr>
                  <w:r>
                    <w:rPr>
                      <w:rFonts w:ascii="Times New Roman" w:hAnsi="Times New Roman" w:eastAsia="宋体"/>
                    </w:rPr>
                    <w:t>75/1</w:t>
                  </w:r>
                </w:p>
              </w:tc>
              <w:tc>
                <w:tcPr>
                  <w:tcW w:w="225" w:type="pct"/>
                  <w:vMerge w:val="continue"/>
                  <w:vAlign w:val="center"/>
                </w:tcPr>
                <w:p>
                  <w:pPr>
                    <w:jc w:val="center"/>
                    <w:rPr>
                      <w:rFonts w:ascii="Times New Roman" w:hAnsi="Times New Roman" w:eastAsia="宋体"/>
                    </w:rPr>
                  </w:pPr>
                </w:p>
              </w:tc>
              <w:tc>
                <w:tcPr>
                  <w:tcW w:w="151"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8</w:t>
                  </w:r>
                </w:p>
              </w:tc>
              <w:tc>
                <w:tcPr>
                  <w:tcW w:w="186" w:type="pct"/>
                  <w:vAlign w:val="center"/>
                </w:tcPr>
                <w:p>
                  <w:pPr>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0</w:t>
                  </w:r>
                </w:p>
              </w:tc>
              <w:tc>
                <w:tcPr>
                  <w:tcW w:w="128" w:type="pct"/>
                  <w:vAlign w:val="center"/>
                </w:tcPr>
                <w:p>
                  <w:pPr>
                    <w:jc w:val="center"/>
                    <w:rPr>
                      <w:rFonts w:ascii="Times New Roman" w:hAnsi="Times New Roman" w:eastAsia="宋体"/>
                    </w:rPr>
                  </w:pPr>
                  <w:r>
                    <w:rPr>
                      <w:rFonts w:hint="eastAsia" w:ascii="Times New Roman" w:hAnsi="Times New Roman" w:eastAsia="宋体"/>
                    </w:rPr>
                    <w:t>1</w:t>
                  </w:r>
                </w:p>
              </w:tc>
              <w:tc>
                <w:tcPr>
                  <w:tcW w:w="188" w:type="pct"/>
                  <w:vAlign w:val="center"/>
                </w:tcPr>
                <w:p>
                  <w:pPr>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0</w:t>
                  </w:r>
                </w:p>
              </w:tc>
              <w:tc>
                <w:tcPr>
                  <w:tcW w:w="154" w:type="pct"/>
                  <w:vAlign w:val="center"/>
                </w:tcPr>
                <w:p>
                  <w:pPr>
                    <w:jc w:val="center"/>
                    <w:rPr>
                      <w:rFonts w:ascii="Times New Roman" w:hAnsi="Times New Roman" w:eastAsia="宋体"/>
                    </w:rPr>
                  </w:pPr>
                  <w:r>
                    <w:rPr>
                      <w:rFonts w:hint="eastAsia" w:ascii="Times New Roman" w:hAnsi="Times New Roman" w:eastAsia="宋体"/>
                    </w:rPr>
                    <w:t>8</w:t>
                  </w:r>
                </w:p>
              </w:tc>
              <w:tc>
                <w:tcPr>
                  <w:tcW w:w="187" w:type="pct"/>
                  <w:vAlign w:val="center"/>
                </w:tcPr>
                <w:p>
                  <w:pPr>
                    <w:jc w:val="center"/>
                    <w:rPr>
                      <w:rFonts w:ascii="Times New Roman" w:hAnsi="Times New Roman" w:eastAsia="宋体"/>
                    </w:rPr>
                  </w:pPr>
                  <w:r>
                    <w:rPr>
                      <w:rFonts w:hint="eastAsia" w:ascii="Times New Roman" w:hAnsi="Times New Roman" w:eastAsia="宋体"/>
                    </w:rPr>
                    <w:t>3</w:t>
                  </w:r>
                  <w:r>
                    <w:rPr>
                      <w:rFonts w:ascii="Times New Roman" w:hAnsi="Times New Roman" w:eastAsia="宋体"/>
                    </w:rPr>
                    <w:t>2</w:t>
                  </w:r>
                </w:p>
              </w:tc>
              <w:tc>
                <w:tcPr>
                  <w:tcW w:w="196" w:type="pct"/>
                  <w:vAlign w:val="center"/>
                </w:tcPr>
                <w:p>
                  <w:pPr>
                    <w:jc w:val="center"/>
                    <w:rPr>
                      <w:rFonts w:ascii="Times New Roman" w:hAnsi="Times New Roman" w:eastAsia="宋体"/>
                    </w:rPr>
                  </w:pPr>
                  <w:r>
                    <w:rPr>
                      <w:rFonts w:hint="eastAsia" w:ascii="Times New Roman" w:hAnsi="Times New Roman" w:eastAsia="宋体"/>
                    </w:rPr>
                    <w:t>22</w:t>
                  </w:r>
                </w:p>
              </w:tc>
              <w:tc>
                <w:tcPr>
                  <w:tcW w:w="152"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4</w:t>
                  </w:r>
                </w:p>
              </w:tc>
              <w:tc>
                <w:tcPr>
                  <w:tcW w:w="151"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7</w:t>
                  </w:r>
                </w:p>
              </w:tc>
              <w:tc>
                <w:tcPr>
                  <w:tcW w:w="151"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5</w:t>
                  </w:r>
                </w:p>
              </w:tc>
              <w:tc>
                <w:tcPr>
                  <w:tcW w:w="152"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8</w:t>
                  </w:r>
                </w:p>
              </w:tc>
              <w:tc>
                <w:tcPr>
                  <w:tcW w:w="151" w:type="pct"/>
                  <w:vMerge w:val="continue"/>
                  <w:vAlign w:val="center"/>
                </w:tcPr>
                <w:p>
                  <w:pPr>
                    <w:jc w:val="center"/>
                    <w:rPr>
                      <w:rFonts w:ascii="Times New Roman" w:hAnsi="Times New Roman" w:eastAsia="宋体"/>
                    </w:rPr>
                  </w:pPr>
                </w:p>
              </w:tc>
              <w:tc>
                <w:tcPr>
                  <w:tcW w:w="294" w:type="pct"/>
                  <w:vAlign w:val="center"/>
                </w:tcPr>
                <w:p>
                  <w:pPr>
                    <w:jc w:val="center"/>
                    <w:rPr>
                      <w:rFonts w:ascii="Times New Roman" w:hAnsi="Times New Roman" w:eastAsia="宋体"/>
                    </w:rPr>
                  </w:pPr>
                  <w:r>
                    <w:rPr>
                      <w:rFonts w:ascii="Times New Roman" w:hAnsi="Times New Roman" w:eastAsia="宋体"/>
                    </w:rPr>
                    <w:t>10</w:t>
                  </w:r>
                </w:p>
              </w:tc>
              <w:tc>
                <w:tcPr>
                  <w:tcW w:w="172" w:type="pct"/>
                  <w:vAlign w:val="center"/>
                </w:tcPr>
                <w:p>
                  <w:pPr>
                    <w:jc w:val="center"/>
                    <w:rPr>
                      <w:rFonts w:ascii="Times New Roman" w:hAnsi="Times New Roman" w:eastAsia="宋体"/>
                    </w:rPr>
                  </w:pPr>
                  <w:r>
                    <w:rPr>
                      <w:rFonts w:hint="eastAsia" w:ascii="Times New Roman" w:hAnsi="Times New Roman" w:eastAsia="宋体"/>
                    </w:rPr>
                    <w:t>44</w:t>
                  </w:r>
                </w:p>
              </w:tc>
              <w:tc>
                <w:tcPr>
                  <w:tcW w:w="163" w:type="pct"/>
                  <w:vAlign w:val="center"/>
                </w:tcPr>
                <w:p>
                  <w:pPr>
                    <w:jc w:val="center"/>
                    <w:rPr>
                      <w:rFonts w:ascii="Times New Roman" w:hAnsi="Times New Roman" w:eastAsia="宋体"/>
                    </w:rPr>
                  </w:pPr>
                  <w:r>
                    <w:rPr>
                      <w:rFonts w:hint="eastAsia" w:ascii="Times New Roman" w:hAnsi="Times New Roman" w:eastAsia="宋体"/>
                    </w:rPr>
                    <w:t>47</w:t>
                  </w:r>
                </w:p>
              </w:tc>
              <w:tc>
                <w:tcPr>
                  <w:tcW w:w="151" w:type="pct"/>
                  <w:vAlign w:val="center"/>
                </w:tcPr>
                <w:p>
                  <w:pPr>
                    <w:jc w:val="center"/>
                    <w:rPr>
                      <w:rFonts w:ascii="Times New Roman" w:hAnsi="Times New Roman" w:eastAsia="宋体"/>
                    </w:rPr>
                  </w:pPr>
                  <w:r>
                    <w:rPr>
                      <w:rFonts w:hint="eastAsia" w:ascii="Times New Roman" w:hAnsi="Times New Roman" w:eastAsia="宋体"/>
                    </w:rPr>
                    <w:t>35</w:t>
                  </w:r>
                </w:p>
              </w:tc>
              <w:tc>
                <w:tcPr>
                  <w:tcW w:w="155" w:type="pct"/>
                  <w:vAlign w:val="center"/>
                </w:tcPr>
                <w:p>
                  <w:pPr>
                    <w:jc w:val="center"/>
                    <w:rPr>
                      <w:rFonts w:ascii="Times New Roman" w:hAnsi="Times New Roman" w:eastAsia="宋体"/>
                    </w:rPr>
                  </w:pPr>
                  <w:r>
                    <w:rPr>
                      <w:rFonts w:hint="eastAsia" w:ascii="Times New Roman" w:hAnsi="Times New Roman" w:eastAsia="宋体"/>
                    </w:rPr>
                    <w:t>38</w:t>
                  </w:r>
                </w:p>
              </w:tc>
              <w:tc>
                <w:tcPr>
                  <w:tcW w:w="304" w:type="pct"/>
                  <w:vAlign w:val="center"/>
                </w:tcPr>
                <w:p>
                  <w:pPr>
                    <w:jc w:val="center"/>
                    <w:rPr>
                      <w:rFonts w:ascii="Times New Roman" w:hAnsi="Times New Roman" w:eastAsia="宋体"/>
                    </w:rPr>
                  </w:pPr>
                  <w:r>
                    <w:rPr>
                      <w:rFonts w:hint="eastAsia" w:ascii="Times New Roman" w:hAnsi="Times New Roman"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Align w:val="center"/>
                </w:tcPr>
                <w:p>
                  <w:pPr>
                    <w:jc w:val="center"/>
                    <w:rPr>
                      <w:rFonts w:ascii="Times New Roman" w:hAnsi="Times New Roman" w:eastAsia="宋体"/>
                    </w:rPr>
                  </w:pPr>
                  <w:r>
                    <w:rPr>
                      <w:rFonts w:hint="eastAsia" w:ascii="Times New Roman" w:hAnsi="Times New Roman" w:eastAsia="宋体"/>
                    </w:rPr>
                    <w:t>9</w:t>
                  </w:r>
                </w:p>
              </w:tc>
              <w:tc>
                <w:tcPr>
                  <w:tcW w:w="530" w:type="pct"/>
                  <w:vAlign w:val="center"/>
                </w:tcPr>
                <w:p>
                  <w:pPr>
                    <w:jc w:val="center"/>
                    <w:rPr>
                      <w:rFonts w:ascii="Times New Roman" w:hAnsi="Times New Roman" w:eastAsia="宋体"/>
                    </w:rPr>
                  </w:pPr>
                  <w:r>
                    <w:rPr>
                      <w:rFonts w:ascii="Times New Roman" w:hAnsi="Times New Roman" w:eastAsia="宋体"/>
                      <w:bCs/>
                    </w:rPr>
                    <w:t>打磨机</w:t>
                  </w:r>
                </w:p>
              </w:tc>
              <w:tc>
                <w:tcPr>
                  <w:tcW w:w="504" w:type="pct"/>
                </w:tcPr>
                <w:p>
                  <w:pPr>
                    <w:jc w:val="center"/>
                    <w:rPr>
                      <w:rFonts w:ascii="Times New Roman" w:hAnsi="Times New Roman" w:eastAsia="宋体"/>
                    </w:rPr>
                  </w:pPr>
                  <w:r>
                    <w:rPr>
                      <w:rFonts w:ascii="Times New Roman" w:hAnsi="Times New Roman" w:eastAsia="宋体"/>
                      <w:bCs/>
                    </w:rPr>
                    <w:t>/</w:t>
                  </w:r>
                </w:p>
              </w:tc>
              <w:tc>
                <w:tcPr>
                  <w:tcW w:w="404" w:type="pct"/>
                  <w:vAlign w:val="center"/>
                </w:tcPr>
                <w:p>
                  <w:pPr>
                    <w:jc w:val="center"/>
                    <w:rPr>
                      <w:rFonts w:ascii="Times New Roman" w:hAnsi="Times New Roman" w:eastAsia="宋体"/>
                    </w:rPr>
                  </w:pPr>
                  <w:r>
                    <w:rPr>
                      <w:rFonts w:ascii="Times New Roman" w:hAnsi="Times New Roman" w:eastAsia="宋体"/>
                    </w:rPr>
                    <w:t>75/</w:t>
                  </w:r>
                  <w:r>
                    <w:rPr>
                      <w:rFonts w:hint="eastAsia" w:ascii="Times New Roman" w:hAnsi="Times New Roman" w:eastAsia="宋体"/>
                    </w:rPr>
                    <w:t>1</w:t>
                  </w:r>
                </w:p>
              </w:tc>
              <w:tc>
                <w:tcPr>
                  <w:tcW w:w="225" w:type="pct"/>
                  <w:vMerge w:val="continue"/>
                  <w:vAlign w:val="center"/>
                </w:tcPr>
                <w:p>
                  <w:pPr>
                    <w:jc w:val="center"/>
                    <w:rPr>
                      <w:rFonts w:ascii="Times New Roman" w:hAnsi="Times New Roman" w:eastAsia="宋体"/>
                    </w:rPr>
                  </w:pPr>
                </w:p>
              </w:tc>
              <w:tc>
                <w:tcPr>
                  <w:tcW w:w="151"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8</w:t>
                  </w:r>
                </w:p>
              </w:tc>
              <w:tc>
                <w:tcPr>
                  <w:tcW w:w="186" w:type="pct"/>
                  <w:vAlign w:val="center"/>
                </w:tcPr>
                <w:p>
                  <w:pPr>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0</w:t>
                  </w:r>
                </w:p>
              </w:tc>
              <w:tc>
                <w:tcPr>
                  <w:tcW w:w="128" w:type="pct"/>
                  <w:vAlign w:val="center"/>
                </w:tcPr>
                <w:p>
                  <w:pPr>
                    <w:jc w:val="center"/>
                    <w:rPr>
                      <w:rFonts w:ascii="Times New Roman" w:hAnsi="Times New Roman" w:eastAsia="宋体"/>
                    </w:rPr>
                  </w:pPr>
                  <w:r>
                    <w:rPr>
                      <w:rFonts w:hint="eastAsia" w:ascii="Times New Roman" w:hAnsi="Times New Roman" w:eastAsia="宋体"/>
                    </w:rPr>
                    <w:t>1</w:t>
                  </w:r>
                </w:p>
              </w:tc>
              <w:tc>
                <w:tcPr>
                  <w:tcW w:w="188" w:type="pct"/>
                  <w:vAlign w:val="center"/>
                </w:tcPr>
                <w:p>
                  <w:pPr>
                    <w:jc w:val="center"/>
                    <w:rPr>
                      <w:rFonts w:ascii="Times New Roman" w:hAnsi="Times New Roman" w:eastAsia="宋体"/>
                    </w:rPr>
                  </w:pPr>
                  <w:r>
                    <w:rPr>
                      <w:rFonts w:ascii="Times New Roman" w:hAnsi="Times New Roman" w:eastAsia="宋体"/>
                    </w:rPr>
                    <w:t>12</w:t>
                  </w:r>
                </w:p>
              </w:tc>
              <w:tc>
                <w:tcPr>
                  <w:tcW w:w="154" w:type="pct"/>
                  <w:vAlign w:val="center"/>
                </w:tcPr>
                <w:p>
                  <w:pPr>
                    <w:jc w:val="center"/>
                    <w:rPr>
                      <w:rFonts w:ascii="Times New Roman" w:hAnsi="Times New Roman" w:eastAsia="宋体"/>
                    </w:rPr>
                  </w:pPr>
                  <w:r>
                    <w:rPr>
                      <w:rFonts w:hint="eastAsia" w:ascii="Times New Roman" w:hAnsi="Times New Roman" w:eastAsia="宋体"/>
                    </w:rPr>
                    <w:t>8</w:t>
                  </w:r>
                </w:p>
              </w:tc>
              <w:tc>
                <w:tcPr>
                  <w:tcW w:w="187" w:type="pct"/>
                  <w:vAlign w:val="center"/>
                </w:tcPr>
                <w:p>
                  <w:pPr>
                    <w:jc w:val="center"/>
                    <w:rPr>
                      <w:rFonts w:ascii="Times New Roman" w:hAnsi="Times New Roman" w:eastAsia="宋体"/>
                    </w:rPr>
                  </w:pPr>
                  <w:r>
                    <w:rPr>
                      <w:rFonts w:ascii="Times New Roman" w:hAnsi="Times New Roman" w:eastAsia="宋体"/>
                    </w:rPr>
                    <w:t>30</w:t>
                  </w:r>
                </w:p>
              </w:tc>
              <w:tc>
                <w:tcPr>
                  <w:tcW w:w="196" w:type="pct"/>
                  <w:vAlign w:val="center"/>
                </w:tcPr>
                <w:p>
                  <w:pPr>
                    <w:jc w:val="center"/>
                    <w:rPr>
                      <w:rFonts w:ascii="Times New Roman" w:hAnsi="Times New Roman" w:eastAsia="宋体"/>
                    </w:rPr>
                  </w:pPr>
                  <w:r>
                    <w:rPr>
                      <w:rFonts w:hint="eastAsia" w:ascii="Times New Roman" w:hAnsi="Times New Roman" w:eastAsia="宋体"/>
                    </w:rPr>
                    <w:t>22</w:t>
                  </w:r>
                </w:p>
              </w:tc>
              <w:tc>
                <w:tcPr>
                  <w:tcW w:w="152"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3</w:t>
                  </w:r>
                </w:p>
              </w:tc>
              <w:tc>
                <w:tcPr>
                  <w:tcW w:w="151"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7</w:t>
                  </w:r>
                </w:p>
              </w:tc>
              <w:tc>
                <w:tcPr>
                  <w:tcW w:w="151"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5</w:t>
                  </w:r>
                </w:p>
              </w:tc>
              <w:tc>
                <w:tcPr>
                  <w:tcW w:w="152" w:type="pct"/>
                  <w:vAlign w:val="center"/>
                </w:tcPr>
                <w:p>
                  <w:pPr>
                    <w:jc w:val="center"/>
                    <w:rPr>
                      <w:rFonts w:ascii="Times New Roman" w:hAnsi="Times New Roman" w:eastAsia="宋体"/>
                    </w:rPr>
                  </w:pPr>
                  <w:r>
                    <w:rPr>
                      <w:rFonts w:ascii="Times New Roman" w:hAnsi="Times New Roman" w:eastAsia="宋体"/>
                    </w:rPr>
                    <w:t>48</w:t>
                  </w:r>
                </w:p>
              </w:tc>
              <w:tc>
                <w:tcPr>
                  <w:tcW w:w="151" w:type="pct"/>
                  <w:vMerge w:val="continue"/>
                  <w:vAlign w:val="center"/>
                </w:tcPr>
                <w:p>
                  <w:pPr>
                    <w:jc w:val="center"/>
                    <w:rPr>
                      <w:rFonts w:ascii="Times New Roman" w:hAnsi="Times New Roman" w:eastAsia="宋体"/>
                    </w:rPr>
                  </w:pPr>
                </w:p>
              </w:tc>
              <w:tc>
                <w:tcPr>
                  <w:tcW w:w="294" w:type="pct"/>
                  <w:vAlign w:val="center"/>
                </w:tcPr>
                <w:p>
                  <w:pPr>
                    <w:jc w:val="center"/>
                    <w:rPr>
                      <w:rFonts w:ascii="Times New Roman" w:hAnsi="Times New Roman" w:eastAsia="宋体"/>
                    </w:rPr>
                  </w:pPr>
                  <w:r>
                    <w:rPr>
                      <w:rFonts w:ascii="Times New Roman" w:hAnsi="Times New Roman" w:eastAsia="宋体"/>
                    </w:rPr>
                    <w:t>10</w:t>
                  </w:r>
                </w:p>
              </w:tc>
              <w:tc>
                <w:tcPr>
                  <w:tcW w:w="172" w:type="pct"/>
                  <w:vAlign w:val="center"/>
                </w:tcPr>
                <w:p>
                  <w:pPr>
                    <w:jc w:val="center"/>
                    <w:rPr>
                      <w:rFonts w:ascii="Times New Roman" w:hAnsi="Times New Roman" w:eastAsia="宋体"/>
                    </w:rPr>
                  </w:pPr>
                  <w:r>
                    <w:rPr>
                      <w:rFonts w:hint="eastAsia" w:ascii="Times New Roman" w:hAnsi="Times New Roman" w:eastAsia="宋体"/>
                    </w:rPr>
                    <w:t>43</w:t>
                  </w:r>
                </w:p>
              </w:tc>
              <w:tc>
                <w:tcPr>
                  <w:tcW w:w="163" w:type="pct"/>
                  <w:vAlign w:val="center"/>
                </w:tcPr>
                <w:p>
                  <w:pPr>
                    <w:jc w:val="center"/>
                    <w:rPr>
                      <w:rFonts w:ascii="Times New Roman" w:hAnsi="Times New Roman" w:eastAsia="宋体"/>
                    </w:rPr>
                  </w:pPr>
                  <w:r>
                    <w:rPr>
                      <w:rFonts w:hint="eastAsia" w:ascii="Times New Roman" w:hAnsi="Times New Roman" w:eastAsia="宋体"/>
                    </w:rPr>
                    <w:t>47</w:t>
                  </w:r>
                </w:p>
              </w:tc>
              <w:tc>
                <w:tcPr>
                  <w:tcW w:w="151" w:type="pct"/>
                  <w:vAlign w:val="center"/>
                </w:tcPr>
                <w:p>
                  <w:pPr>
                    <w:jc w:val="center"/>
                    <w:rPr>
                      <w:rFonts w:ascii="Times New Roman" w:hAnsi="Times New Roman" w:eastAsia="宋体"/>
                    </w:rPr>
                  </w:pPr>
                  <w:r>
                    <w:rPr>
                      <w:rFonts w:hint="eastAsia" w:ascii="Times New Roman" w:hAnsi="Times New Roman" w:eastAsia="宋体"/>
                    </w:rPr>
                    <w:t>35</w:t>
                  </w:r>
                </w:p>
              </w:tc>
              <w:tc>
                <w:tcPr>
                  <w:tcW w:w="155" w:type="pct"/>
                  <w:vAlign w:val="center"/>
                </w:tcPr>
                <w:p>
                  <w:pPr>
                    <w:jc w:val="center"/>
                    <w:rPr>
                      <w:rFonts w:ascii="Times New Roman" w:hAnsi="Times New Roman" w:eastAsia="宋体"/>
                    </w:rPr>
                  </w:pPr>
                  <w:r>
                    <w:rPr>
                      <w:rFonts w:hint="eastAsia" w:ascii="Times New Roman" w:hAnsi="Times New Roman" w:eastAsia="宋体"/>
                    </w:rPr>
                    <w:t>38</w:t>
                  </w:r>
                </w:p>
              </w:tc>
              <w:tc>
                <w:tcPr>
                  <w:tcW w:w="304" w:type="pct"/>
                  <w:vAlign w:val="center"/>
                </w:tcPr>
                <w:p>
                  <w:pPr>
                    <w:jc w:val="center"/>
                    <w:rPr>
                      <w:rFonts w:ascii="Times New Roman" w:hAnsi="Times New Roman" w:eastAsia="宋体"/>
                    </w:rPr>
                  </w:pPr>
                  <w:r>
                    <w:rPr>
                      <w:rFonts w:hint="eastAsia" w:ascii="Times New Roman" w:hAnsi="Times New Roman"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1" w:type="pct"/>
                  <w:vAlign w:val="center"/>
                </w:tcPr>
                <w:p>
                  <w:pPr>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0</w:t>
                  </w:r>
                </w:p>
              </w:tc>
              <w:tc>
                <w:tcPr>
                  <w:tcW w:w="530" w:type="pct"/>
                  <w:vAlign w:val="center"/>
                </w:tcPr>
                <w:p>
                  <w:pPr>
                    <w:jc w:val="center"/>
                    <w:rPr>
                      <w:rFonts w:ascii="Times New Roman" w:hAnsi="Times New Roman" w:eastAsia="宋体"/>
                      <w:bCs/>
                    </w:rPr>
                  </w:pPr>
                  <w:r>
                    <w:rPr>
                      <w:rFonts w:ascii="Times New Roman" w:hAnsi="Times New Roman" w:eastAsia="宋体"/>
                      <w:lang w:val="zh-CN"/>
                    </w:rPr>
                    <w:t>烘干机</w:t>
                  </w:r>
                </w:p>
              </w:tc>
              <w:tc>
                <w:tcPr>
                  <w:tcW w:w="504" w:type="pct"/>
                </w:tcPr>
                <w:p>
                  <w:pPr>
                    <w:jc w:val="center"/>
                    <w:rPr>
                      <w:rFonts w:ascii="Times New Roman" w:hAnsi="Times New Roman" w:eastAsia="宋体"/>
                      <w:bCs/>
                    </w:rPr>
                  </w:pPr>
                  <w:r>
                    <w:rPr>
                      <w:rFonts w:hint="eastAsia" w:ascii="Times New Roman" w:hAnsi="Times New Roman" w:eastAsia="宋体"/>
                      <w:bCs/>
                    </w:rPr>
                    <w:t>/</w:t>
                  </w:r>
                </w:p>
              </w:tc>
              <w:tc>
                <w:tcPr>
                  <w:tcW w:w="404" w:type="pct"/>
                  <w:vAlign w:val="center"/>
                </w:tcPr>
                <w:p>
                  <w:pPr>
                    <w:jc w:val="center"/>
                    <w:rPr>
                      <w:rFonts w:ascii="Times New Roman" w:hAnsi="Times New Roman" w:eastAsia="宋体"/>
                    </w:rPr>
                  </w:pPr>
                  <w:r>
                    <w:rPr>
                      <w:rFonts w:ascii="Times New Roman" w:hAnsi="Times New Roman" w:eastAsia="宋体"/>
                    </w:rPr>
                    <w:t>80/</w:t>
                  </w:r>
                  <w:r>
                    <w:rPr>
                      <w:rFonts w:hint="eastAsia" w:ascii="Times New Roman" w:hAnsi="Times New Roman" w:eastAsia="宋体"/>
                    </w:rPr>
                    <w:t>1</w:t>
                  </w:r>
                </w:p>
              </w:tc>
              <w:tc>
                <w:tcPr>
                  <w:tcW w:w="225" w:type="pct"/>
                  <w:vMerge w:val="continue"/>
                  <w:vAlign w:val="center"/>
                </w:tcPr>
                <w:p>
                  <w:pPr>
                    <w:jc w:val="center"/>
                    <w:rPr>
                      <w:rFonts w:ascii="Times New Roman" w:hAnsi="Times New Roman" w:eastAsia="宋体"/>
                    </w:rPr>
                  </w:pPr>
                </w:p>
              </w:tc>
              <w:tc>
                <w:tcPr>
                  <w:tcW w:w="151"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7</w:t>
                  </w:r>
                </w:p>
              </w:tc>
              <w:tc>
                <w:tcPr>
                  <w:tcW w:w="186" w:type="pct"/>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2</w:t>
                  </w:r>
                </w:p>
              </w:tc>
              <w:tc>
                <w:tcPr>
                  <w:tcW w:w="128" w:type="pct"/>
                  <w:vAlign w:val="center"/>
                </w:tcPr>
                <w:p>
                  <w:pPr>
                    <w:jc w:val="center"/>
                    <w:rPr>
                      <w:rFonts w:ascii="Times New Roman" w:hAnsi="Times New Roman" w:eastAsia="宋体"/>
                    </w:rPr>
                  </w:pPr>
                  <w:r>
                    <w:rPr>
                      <w:rFonts w:hint="eastAsia" w:ascii="Times New Roman" w:hAnsi="Times New Roman" w:eastAsia="宋体"/>
                    </w:rPr>
                    <w:t>1</w:t>
                  </w:r>
                </w:p>
              </w:tc>
              <w:tc>
                <w:tcPr>
                  <w:tcW w:w="188" w:type="pct"/>
                  <w:vAlign w:val="center"/>
                </w:tcPr>
                <w:p>
                  <w:pPr>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6</w:t>
                  </w:r>
                </w:p>
              </w:tc>
              <w:tc>
                <w:tcPr>
                  <w:tcW w:w="154" w:type="pct"/>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2</w:t>
                  </w:r>
                </w:p>
              </w:tc>
              <w:tc>
                <w:tcPr>
                  <w:tcW w:w="187" w:type="pct"/>
                  <w:vAlign w:val="center"/>
                </w:tcPr>
                <w:p>
                  <w:pPr>
                    <w:jc w:val="center"/>
                    <w:rPr>
                      <w:rFonts w:ascii="Times New Roman" w:hAnsi="Times New Roman" w:eastAsia="宋体"/>
                    </w:rPr>
                  </w:pPr>
                  <w:r>
                    <w:rPr>
                      <w:rFonts w:hint="eastAsia" w:ascii="Times New Roman" w:hAnsi="Times New Roman" w:eastAsia="宋体"/>
                    </w:rPr>
                    <w:t>3</w:t>
                  </w:r>
                  <w:r>
                    <w:rPr>
                      <w:rFonts w:ascii="Times New Roman" w:hAnsi="Times New Roman" w:eastAsia="宋体"/>
                    </w:rPr>
                    <w:t>0</w:t>
                  </w:r>
                </w:p>
              </w:tc>
              <w:tc>
                <w:tcPr>
                  <w:tcW w:w="196" w:type="pct"/>
                  <w:vAlign w:val="center"/>
                </w:tcPr>
                <w:p>
                  <w:pPr>
                    <w:jc w:val="center"/>
                    <w:rPr>
                      <w:rFonts w:ascii="Times New Roman" w:hAnsi="Times New Roman" w:eastAsia="宋体"/>
                    </w:rPr>
                  </w:pPr>
                  <w:r>
                    <w:rPr>
                      <w:rFonts w:hint="eastAsia" w:ascii="Times New Roman" w:hAnsi="Times New Roman" w:eastAsia="宋体"/>
                    </w:rPr>
                    <w:t>7</w:t>
                  </w:r>
                </w:p>
              </w:tc>
              <w:tc>
                <w:tcPr>
                  <w:tcW w:w="152"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6</w:t>
                  </w:r>
                </w:p>
              </w:tc>
              <w:tc>
                <w:tcPr>
                  <w:tcW w:w="151"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3</w:t>
                  </w:r>
                </w:p>
              </w:tc>
              <w:tc>
                <w:tcPr>
                  <w:tcW w:w="151"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0</w:t>
                  </w:r>
                </w:p>
              </w:tc>
              <w:tc>
                <w:tcPr>
                  <w:tcW w:w="152" w:type="pct"/>
                  <w:vAlign w:val="center"/>
                </w:tcPr>
                <w:p>
                  <w:pPr>
                    <w:jc w:val="center"/>
                    <w:rPr>
                      <w:rFonts w:ascii="Times New Roman" w:hAnsi="Times New Roman" w:eastAsia="宋体"/>
                    </w:rPr>
                  </w:pPr>
                  <w:r>
                    <w:rPr>
                      <w:rFonts w:hint="eastAsia" w:ascii="Times New Roman" w:hAnsi="Times New Roman" w:eastAsia="宋体"/>
                    </w:rPr>
                    <w:t>6</w:t>
                  </w:r>
                  <w:r>
                    <w:rPr>
                      <w:rFonts w:ascii="Times New Roman" w:hAnsi="Times New Roman" w:eastAsia="宋体"/>
                    </w:rPr>
                    <w:t>3</w:t>
                  </w:r>
                </w:p>
              </w:tc>
              <w:tc>
                <w:tcPr>
                  <w:tcW w:w="151" w:type="pct"/>
                  <w:vMerge w:val="continue"/>
                  <w:vAlign w:val="center"/>
                </w:tcPr>
                <w:p>
                  <w:pPr>
                    <w:jc w:val="center"/>
                    <w:rPr>
                      <w:rFonts w:ascii="Times New Roman" w:hAnsi="Times New Roman" w:eastAsia="宋体"/>
                    </w:rPr>
                  </w:pPr>
                </w:p>
              </w:tc>
              <w:tc>
                <w:tcPr>
                  <w:tcW w:w="294" w:type="pct"/>
                  <w:vAlign w:val="center"/>
                </w:tcPr>
                <w:p>
                  <w:pPr>
                    <w:jc w:val="center"/>
                    <w:rPr>
                      <w:rFonts w:ascii="Times New Roman" w:hAnsi="Times New Roman" w:eastAsia="宋体"/>
                    </w:rPr>
                  </w:pPr>
                  <w:r>
                    <w:rPr>
                      <w:rFonts w:hint="eastAsia" w:ascii="Times New Roman" w:hAnsi="Times New Roman" w:eastAsia="宋体"/>
                    </w:rPr>
                    <w:t>1</w:t>
                  </w:r>
                  <w:r>
                    <w:rPr>
                      <w:rFonts w:ascii="Times New Roman" w:hAnsi="Times New Roman" w:eastAsia="宋体"/>
                    </w:rPr>
                    <w:t>0</w:t>
                  </w:r>
                </w:p>
              </w:tc>
              <w:tc>
                <w:tcPr>
                  <w:tcW w:w="172"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6</w:t>
                  </w:r>
                </w:p>
              </w:tc>
              <w:tc>
                <w:tcPr>
                  <w:tcW w:w="163"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3</w:t>
                  </w:r>
                </w:p>
              </w:tc>
              <w:tc>
                <w:tcPr>
                  <w:tcW w:w="151" w:type="pct"/>
                  <w:vAlign w:val="center"/>
                </w:tcPr>
                <w:p>
                  <w:pPr>
                    <w:jc w:val="center"/>
                    <w:rPr>
                      <w:rFonts w:ascii="Times New Roman" w:hAnsi="Times New Roman" w:eastAsia="宋体"/>
                    </w:rPr>
                  </w:pPr>
                  <w:r>
                    <w:rPr>
                      <w:rFonts w:hint="eastAsia" w:ascii="Times New Roman" w:hAnsi="Times New Roman" w:eastAsia="宋体"/>
                    </w:rPr>
                    <w:t>4</w:t>
                  </w:r>
                  <w:r>
                    <w:rPr>
                      <w:rFonts w:ascii="Times New Roman" w:hAnsi="Times New Roman" w:eastAsia="宋体"/>
                    </w:rPr>
                    <w:t>0</w:t>
                  </w:r>
                </w:p>
              </w:tc>
              <w:tc>
                <w:tcPr>
                  <w:tcW w:w="155" w:type="pct"/>
                  <w:vAlign w:val="center"/>
                </w:tcPr>
                <w:p>
                  <w:pPr>
                    <w:jc w:val="center"/>
                    <w:rPr>
                      <w:rFonts w:ascii="Times New Roman" w:hAnsi="Times New Roman" w:eastAsia="宋体"/>
                    </w:rPr>
                  </w:pPr>
                  <w:r>
                    <w:rPr>
                      <w:rFonts w:hint="eastAsia" w:ascii="Times New Roman" w:hAnsi="Times New Roman" w:eastAsia="宋体"/>
                    </w:rPr>
                    <w:t>5</w:t>
                  </w:r>
                  <w:r>
                    <w:rPr>
                      <w:rFonts w:ascii="Times New Roman" w:hAnsi="Times New Roman" w:eastAsia="宋体"/>
                    </w:rPr>
                    <w:t>3</w:t>
                  </w:r>
                </w:p>
              </w:tc>
              <w:tc>
                <w:tcPr>
                  <w:tcW w:w="304" w:type="pct"/>
                  <w:vAlign w:val="center"/>
                </w:tcPr>
                <w:p>
                  <w:pPr>
                    <w:jc w:val="center"/>
                    <w:rPr>
                      <w:rFonts w:ascii="Times New Roman" w:hAnsi="Times New Roman" w:eastAsia="宋体"/>
                    </w:rPr>
                  </w:pPr>
                  <w:r>
                    <w:rPr>
                      <w:rFonts w:hint="eastAsia" w:ascii="Times New Roman" w:hAnsi="Times New Roman" w:eastAsia="宋体"/>
                    </w:rPr>
                    <w:t>1</w:t>
                  </w:r>
                </w:p>
              </w:tc>
            </w:tr>
          </w:tbl>
          <w:p>
            <w:pPr>
              <w:spacing w:before="156" w:beforeLines="50"/>
              <w:jc w:val="center"/>
              <w:rPr>
                <w:rFonts w:ascii="Times New Roman" w:hAnsi="Times New Roman" w:eastAsia="宋体"/>
                <w:b/>
                <w:bCs/>
                <w:sz w:val="24"/>
                <w:szCs w:val="24"/>
              </w:rPr>
            </w:pPr>
            <w:r>
              <w:rPr>
                <w:rFonts w:ascii="Times New Roman" w:hAnsi="Times New Roman" w:eastAsia="宋体"/>
                <w:b/>
                <w:bCs/>
                <w:sz w:val="24"/>
                <w:szCs w:val="24"/>
              </w:rPr>
              <w:t>表4-11  项目噪声情况一览表    单位：dB</w:t>
            </w:r>
            <w:r>
              <w:rPr>
                <w:rFonts w:hint="eastAsia" w:ascii="Times New Roman" w:hAnsi="Times New Roman" w:eastAsia="宋体"/>
                <w:b/>
                <w:bCs/>
                <w:sz w:val="24"/>
                <w:szCs w:val="24"/>
              </w:rPr>
              <w:t>（</w:t>
            </w:r>
            <w:r>
              <w:rPr>
                <w:rFonts w:ascii="Times New Roman" w:hAnsi="Times New Roman" w:eastAsia="宋体"/>
                <w:b/>
                <w:bCs/>
                <w:sz w:val="24"/>
                <w:szCs w:val="24"/>
              </w:rPr>
              <w:t>A）</w:t>
            </w:r>
            <w:r>
              <w:rPr>
                <w:rFonts w:hint="eastAsia" w:ascii="Times New Roman" w:hAnsi="Times New Roman" w:eastAsia="宋体"/>
                <w:b/>
                <w:bCs/>
                <w:sz w:val="24"/>
                <w:szCs w:val="24"/>
              </w:rPr>
              <w:t>（室外声源）</w:t>
            </w:r>
          </w:p>
          <w:tbl>
            <w:tblPr>
              <w:tblStyle w:val="26"/>
              <w:tblpPr w:leftFromText="180" w:rightFromText="180" w:vertAnchor="text" w:tblpXSpec="center" w:tblpY="1"/>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559"/>
              <w:gridCol w:w="992"/>
              <w:gridCol w:w="1134"/>
              <w:gridCol w:w="1134"/>
              <w:gridCol w:w="1276"/>
              <w:gridCol w:w="2125"/>
              <w:gridCol w:w="2986"/>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22" w:type="pct"/>
                  <w:vMerge w:val="restart"/>
                  <w:vAlign w:val="center"/>
                </w:tcPr>
                <w:p>
                  <w:pPr>
                    <w:jc w:val="center"/>
                    <w:rPr>
                      <w:rFonts w:ascii="Times New Roman" w:hAnsi="Times New Roman" w:eastAsia="宋体"/>
                      <w:b/>
                      <w:bCs/>
                      <w:sz w:val="20"/>
                      <w:szCs w:val="20"/>
                    </w:rPr>
                  </w:pPr>
                  <w:r>
                    <w:rPr>
                      <w:rFonts w:ascii="Times New Roman" w:hAnsi="Times New Roman" w:eastAsia="宋体"/>
                      <w:b/>
                      <w:bCs/>
                      <w:sz w:val="20"/>
                      <w:szCs w:val="20"/>
                    </w:rPr>
                    <w:t>序号</w:t>
                  </w:r>
                </w:p>
              </w:tc>
              <w:tc>
                <w:tcPr>
                  <w:tcW w:w="593" w:type="pct"/>
                  <w:vMerge w:val="restart"/>
                  <w:vAlign w:val="center"/>
                </w:tcPr>
                <w:p>
                  <w:pPr>
                    <w:jc w:val="center"/>
                    <w:rPr>
                      <w:rFonts w:ascii="Times New Roman" w:hAnsi="Times New Roman" w:eastAsia="宋体"/>
                      <w:b/>
                      <w:bCs/>
                      <w:sz w:val="20"/>
                      <w:szCs w:val="20"/>
                    </w:rPr>
                  </w:pPr>
                  <w:r>
                    <w:rPr>
                      <w:rFonts w:ascii="Times New Roman" w:hAnsi="Times New Roman" w:eastAsia="宋体"/>
                      <w:b/>
                      <w:bCs/>
                      <w:sz w:val="20"/>
                      <w:szCs w:val="20"/>
                    </w:rPr>
                    <w:t>声源名称</w:t>
                  </w:r>
                </w:p>
              </w:tc>
              <w:tc>
                <w:tcPr>
                  <w:tcW w:w="377" w:type="pct"/>
                  <w:vMerge w:val="restart"/>
                  <w:vAlign w:val="center"/>
                </w:tcPr>
                <w:p>
                  <w:pPr>
                    <w:jc w:val="center"/>
                    <w:rPr>
                      <w:rFonts w:ascii="Times New Roman" w:hAnsi="Times New Roman" w:eastAsia="宋体"/>
                      <w:b/>
                      <w:bCs/>
                      <w:sz w:val="20"/>
                      <w:szCs w:val="20"/>
                    </w:rPr>
                  </w:pPr>
                  <w:r>
                    <w:rPr>
                      <w:rFonts w:ascii="Times New Roman" w:hAnsi="Times New Roman" w:eastAsia="宋体"/>
                      <w:b/>
                      <w:bCs/>
                      <w:sz w:val="20"/>
                      <w:szCs w:val="20"/>
                    </w:rPr>
                    <w:t>型号</w:t>
                  </w:r>
                </w:p>
              </w:tc>
              <w:tc>
                <w:tcPr>
                  <w:tcW w:w="1347" w:type="pct"/>
                  <w:gridSpan w:val="3"/>
                  <w:vAlign w:val="center"/>
                </w:tcPr>
                <w:p>
                  <w:pPr>
                    <w:jc w:val="center"/>
                    <w:rPr>
                      <w:rFonts w:ascii="Times New Roman" w:hAnsi="Times New Roman" w:eastAsia="宋体"/>
                      <w:b/>
                      <w:bCs/>
                      <w:sz w:val="20"/>
                      <w:szCs w:val="20"/>
                    </w:rPr>
                  </w:pPr>
                  <w:r>
                    <w:rPr>
                      <w:rFonts w:ascii="Times New Roman" w:hAnsi="Times New Roman" w:eastAsia="宋体"/>
                      <w:b/>
                      <w:bCs/>
                      <w:sz w:val="20"/>
                      <w:szCs w:val="20"/>
                    </w:rPr>
                    <w:t>空间相对位置/m</w:t>
                  </w:r>
                </w:p>
              </w:tc>
              <w:tc>
                <w:tcPr>
                  <w:tcW w:w="808" w:type="pct"/>
                  <w:vMerge w:val="restart"/>
                  <w:vAlign w:val="center"/>
                </w:tcPr>
                <w:p>
                  <w:pPr>
                    <w:jc w:val="center"/>
                    <w:rPr>
                      <w:rFonts w:ascii="Times New Roman" w:hAnsi="Times New Roman" w:eastAsia="宋体"/>
                      <w:b/>
                      <w:bCs/>
                      <w:sz w:val="20"/>
                      <w:szCs w:val="20"/>
                    </w:rPr>
                  </w:pPr>
                  <w:r>
                    <w:rPr>
                      <w:rFonts w:ascii="Times New Roman" w:hAnsi="Times New Roman" w:eastAsia="宋体"/>
                      <w:b/>
                      <w:bCs/>
                      <w:sz w:val="20"/>
                      <w:szCs w:val="20"/>
                    </w:rPr>
                    <w:t>声功率级/dB(A)</w:t>
                  </w:r>
                </w:p>
              </w:tc>
              <w:tc>
                <w:tcPr>
                  <w:tcW w:w="1135" w:type="pct"/>
                  <w:vMerge w:val="restart"/>
                  <w:vAlign w:val="center"/>
                </w:tcPr>
                <w:p>
                  <w:pPr>
                    <w:jc w:val="center"/>
                    <w:rPr>
                      <w:rFonts w:ascii="Times New Roman" w:hAnsi="Times New Roman" w:eastAsia="宋体"/>
                      <w:b/>
                      <w:bCs/>
                      <w:sz w:val="20"/>
                      <w:szCs w:val="20"/>
                    </w:rPr>
                  </w:pPr>
                  <w:r>
                    <w:rPr>
                      <w:rFonts w:hint="eastAsia" w:ascii="Times New Roman" w:hAnsi="Times New Roman" w:eastAsia="宋体"/>
                      <w:b/>
                      <w:bCs/>
                      <w:sz w:val="20"/>
                      <w:szCs w:val="20"/>
                    </w:rPr>
                    <w:t>声源控制措施</w:t>
                  </w:r>
                </w:p>
              </w:tc>
              <w:tc>
                <w:tcPr>
                  <w:tcW w:w="418" w:type="pct"/>
                  <w:vMerge w:val="restart"/>
                  <w:vAlign w:val="center"/>
                </w:tcPr>
                <w:p>
                  <w:pPr>
                    <w:jc w:val="center"/>
                    <w:rPr>
                      <w:rFonts w:ascii="Times New Roman" w:hAnsi="Times New Roman" w:eastAsia="宋体"/>
                      <w:b/>
                      <w:bCs/>
                      <w:sz w:val="20"/>
                      <w:szCs w:val="20"/>
                    </w:rPr>
                  </w:pPr>
                  <w:r>
                    <w:rPr>
                      <w:rFonts w:ascii="Times New Roman" w:hAnsi="Times New Roman" w:eastAsia="宋体"/>
                      <w:b/>
                      <w:bCs/>
                      <w:sz w:val="20"/>
                      <w:szCs w:val="20"/>
                    </w:rPr>
                    <w:t>运行时段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22" w:type="pct"/>
                  <w:vMerge w:val="continue"/>
                  <w:vAlign w:val="center"/>
                </w:tcPr>
                <w:p>
                  <w:pPr>
                    <w:jc w:val="center"/>
                    <w:rPr>
                      <w:rFonts w:ascii="Times New Roman" w:hAnsi="Times New Roman" w:eastAsia="宋体"/>
                      <w:b/>
                      <w:bCs/>
                      <w:sz w:val="20"/>
                      <w:szCs w:val="20"/>
                    </w:rPr>
                  </w:pPr>
                </w:p>
              </w:tc>
              <w:tc>
                <w:tcPr>
                  <w:tcW w:w="593" w:type="pct"/>
                  <w:vMerge w:val="continue"/>
                  <w:vAlign w:val="center"/>
                </w:tcPr>
                <w:p>
                  <w:pPr>
                    <w:jc w:val="center"/>
                    <w:rPr>
                      <w:rFonts w:ascii="Times New Roman" w:hAnsi="Times New Roman" w:eastAsia="宋体"/>
                      <w:b/>
                      <w:bCs/>
                      <w:sz w:val="20"/>
                      <w:szCs w:val="20"/>
                    </w:rPr>
                  </w:pPr>
                </w:p>
              </w:tc>
              <w:tc>
                <w:tcPr>
                  <w:tcW w:w="377" w:type="pct"/>
                  <w:vMerge w:val="continue"/>
                  <w:vAlign w:val="center"/>
                </w:tcPr>
                <w:p>
                  <w:pPr>
                    <w:jc w:val="center"/>
                    <w:rPr>
                      <w:rFonts w:ascii="Times New Roman" w:hAnsi="Times New Roman" w:eastAsia="宋体"/>
                      <w:b/>
                      <w:bCs/>
                      <w:sz w:val="20"/>
                      <w:szCs w:val="20"/>
                    </w:rPr>
                  </w:pPr>
                </w:p>
              </w:tc>
              <w:tc>
                <w:tcPr>
                  <w:tcW w:w="431" w:type="pct"/>
                  <w:vAlign w:val="center"/>
                </w:tcPr>
                <w:p>
                  <w:pPr>
                    <w:jc w:val="center"/>
                    <w:rPr>
                      <w:rFonts w:ascii="Times New Roman" w:hAnsi="Times New Roman" w:eastAsia="宋体"/>
                      <w:b/>
                      <w:bCs/>
                      <w:sz w:val="20"/>
                      <w:szCs w:val="20"/>
                    </w:rPr>
                  </w:pPr>
                  <w:r>
                    <w:rPr>
                      <w:rFonts w:ascii="Times New Roman" w:hAnsi="Times New Roman" w:eastAsia="宋体"/>
                      <w:b/>
                      <w:bCs/>
                      <w:sz w:val="20"/>
                      <w:szCs w:val="20"/>
                    </w:rPr>
                    <w:t>X</w:t>
                  </w:r>
                </w:p>
              </w:tc>
              <w:tc>
                <w:tcPr>
                  <w:tcW w:w="431" w:type="pct"/>
                  <w:vAlign w:val="center"/>
                </w:tcPr>
                <w:p>
                  <w:pPr>
                    <w:jc w:val="center"/>
                    <w:rPr>
                      <w:rFonts w:ascii="Times New Roman" w:hAnsi="Times New Roman" w:eastAsia="宋体"/>
                      <w:b/>
                      <w:bCs/>
                      <w:sz w:val="20"/>
                      <w:szCs w:val="20"/>
                    </w:rPr>
                  </w:pPr>
                  <w:r>
                    <w:rPr>
                      <w:rFonts w:ascii="Times New Roman" w:hAnsi="Times New Roman" w:eastAsia="宋体"/>
                      <w:b/>
                      <w:bCs/>
                      <w:sz w:val="20"/>
                      <w:szCs w:val="20"/>
                    </w:rPr>
                    <w:t>Y</w:t>
                  </w:r>
                </w:p>
              </w:tc>
              <w:tc>
                <w:tcPr>
                  <w:tcW w:w="485" w:type="pct"/>
                  <w:vAlign w:val="center"/>
                </w:tcPr>
                <w:p>
                  <w:pPr>
                    <w:jc w:val="center"/>
                    <w:rPr>
                      <w:rFonts w:ascii="Times New Roman" w:hAnsi="Times New Roman" w:eastAsia="宋体"/>
                      <w:b/>
                      <w:bCs/>
                      <w:sz w:val="20"/>
                      <w:szCs w:val="20"/>
                    </w:rPr>
                  </w:pPr>
                  <w:r>
                    <w:rPr>
                      <w:rFonts w:ascii="Times New Roman" w:hAnsi="Times New Roman" w:eastAsia="宋体"/>
                      <w:b/>
                      <w:bCs/>
                      <w:sz w:val="20"/>
                      <w:szCs w:val="20"/>
                    </w:rPr>
                    <w:t>Z</w:t>
                  </w:r>
                </w:p>
              </w:tc>
              <w:tc>
                <w:tcPr>
                  <w:tcW w:w="808" w:type="pct"/>
                  <w:vMerge w:val="continue"/>
                  <w:vAlign w:val="center"/>
                </w:tcPr>
                <w:p>
                  <w:pPr>
                    <w:jc w:val="center"/>
                    <w:rPr>
                      <w:rFonts w:ascii="Times New Roman" w:hAnsi="Times New Roman" w:eastAsia="宋体"/>
                      <w:b/>
                      <w:bCs/>
                      <w:sz w:val="20"/>
                      <w:szCs w:val="20"/>
                    </w:rPr>
                  </w:pPr>
                </w:p>
              </w:tc>
              <w:tc>
                <w:tcPr>
                  <w:tcW w:w="1135" w:type="pct"/>
                  <w:vMerge w:val="continue"/>
                  <w:vAlign w:val="center"/>
                </w:tcPr>
                <w:p>
                  <w:pPr>
                    <w:jc w:val="center"/>
                    <w:rPr>
                      <w:rFonts w:ascii="Times New Roman" w:hAnsi="Times New Roman" w:eastAsia="宋体"/>
                      <w:b/>
                      <w:bCs/>
                      <w:sz w:val="20"/>
                      <w:szCs w:val="20"/>
                    </w:rPr>
                  </w:pPr>
                </w:p>
              </w:tc>
              <w:tc>
                <w:tcPr>
                  <w:tcW w:w="418" w:type="pct"/>
                  <w:vMerge w:val="continue"/>
                  <w:vAlign w:val="center"/>
                </w:tcPr>
                <w:p>
                  <w:pPr>
                    <w:jc w:val="center"/>
                    <w:rPr>
                      <w:rFonts w:ascii="Times New Roman" w:hAnsi="Times New Roman"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22" w:type="pct"/>
                  <w:vAlign w:val="center"/>
                </w:tcPr>
                <w:p>
                  <w:pPr>
                    <w:jc w:val="center"/>
                    <w:rPr>
                      <w:rFonts w:ascii="Times New Roman" w:hAnsi="Times New Roman" w:eastAsia="宋体"/>
                      <w:sz w:val="20"/>
                      <w:szCs w:val="20"/>
                    </w:rPr>
                  </w:pPr>
                  <w:r>
                    <w:rPr>
                      <w:rFonts w:ascii="Times New Roman" w:hAnsi="Times New Roman" w:eastAsia="宋体"/>
                      <w:sz w:val="20"/>
                      <w:szCs w:val="20"/>
                    </w:rPr>
                    <w:t>1</w:t>
                  </w:r>
                </w:p>
              </w:tc>
              <w:tc>
                <w:tcPr>
                  <w:tcW w:w="593" w:type="pct"/>
                  <w:vAlign w:val="center"/>
                </w:tcPr>
                <w:p>
                  <w:pPr>
                    <w:pStyle w:val="116"/>
                    <w:spacing w:before="62" w:after="62"/>
                    <w:rPr>
                      <w:rFonts w:hint="default"/>
                    </w:rPr>
                  </w:pPr>
                  <w:r>
                    <w:rPr>
                      <w:bCs/>
                      <w:szCs w:val="21"/>
                    </w:rPr>
                    <w:t>除尘器风机</w:t>
                  </w:r>
                </w:p>
              </w:tc>
              <w:tc>
                <w:tcPr>
                  <w:tcW w:w="377" w:type="pct"/>
                  <w:vAlign w:val="center"/>
                </w:tcPr>
                <w:p>
                  <w:pPr>
                    <w:jc w:val="center"/>
                    <w:rPr>
                      <w:rFonts w:ascii="Times New Roman" w:hAnsi="Times New Roman" w:eastAsia="宋体"/>
                      <w:sz w:val="20"/>
                      <w:szCs w:val="20"/>
                    </w:rPr>
                  </w:pPr>
                  <w:r>
                    <w:rPr>
                      <w:rFonts w:ascii="Times New Roman" w:hAnsi="Times New Roman" w:eastAsia="宋体"/>
                      <w:sz w:val="20"/>
                      <w:szCs w:val="20"/>
                    </w:rPr>
                    <w:t>/</w:t>
                  </w:r>
                </w:p>
              </w:tc>
              <w:tc>
                <w:tcPr>
                  <w:tcW w:w="431" w:type="pct"/>
                  <w:vAlign w:val="center"/>
                </w:tcPr>
                <w:p>
                  <w:pPr>
                    <w:jc w:val="center"/>
                    <w:rPr>
                      <w:rFonts w:ascii="Times New Roman" w:hAnsi="Times New Roman" w:eastAsia="宋体"/>
                      <w:sz w:val="20"/>
                      <w:szCs w:val="20"/>
                    </w:rPr>
                  </w:pPr>
                  <w:r>
                    <w:rPr>
                      <w:rFonts w:hint="eastAsia" w:ascii="Times New Roman" w:hAnsi="Times New Roman" w:eastAsia="宋体"/>
                      <w:sz w:val="20"/>
                      <w:szCs w:val="20"/>
                    </w:rPr>
                    <w:t>3</w:t>
                  </w:r>
                  <w:r>
                    <w:rPr>
                      <w:rFonts w:ascii="Times New Roman" w:hAnsi="Times New Roman" w:eastAsia="宋体"/>
                      <w:sz w:val="20"/>
                      <w:szCs w:val="20"/>
                    </w:rPr>
                    <w:t>9</w:t>
                  </w:r>
                </w:p>
              </w:tc>
              <w:tc>
                <w:tcPr>
                  <w:tcW w:w="431" w:type="pct"/>
                  <w:vAlign w:val="center"/>
                </w:tcPr>
                <w:p>
                  <w:pPr>
                    <w:jc w:val="center"/>
                    <w:rPr>
                      <w:rFonts w:ascii="Times New Roman" w:hAnsi="Times New Roman" w:eastAsia="宋体"/>
                      <w:sz w:val="20"/>
                      <w:szCs w:val="20"/>
                    </w:rPr>
                  </w:pPr>
                  <w:r>
                    <w:rPr>
                      <w:rFonts w:ascii="Times New Roman" w:hAnsi="Times New Roman" w:eastAsia="宋体"/>
                      <w:sz w:val="20"/>
                      <w:szCs w:val="20"/>
                    </w:rPr>
                    <w:t>5</w:t>
                  </w:r>
                </w:p>
              </w:tc>
              <w:tc>
                <w:tcPr>
                  <w:tcW w:w="485" w:type="pct"/>
                  <w:vAlign w:val="center"/>
                </w:tcPr>
                <w:p>
                  <w:pPr>
                    <w:jc w:val="center"/>
                    <w:rPr>
                      <w:rFonts w:ascii="Times New Roman" w:hAnsi="Times New Roman" w:eastAsia="宋体"/>
                      <w:sz w:val="20"/>
                      <w:szCs w:val="20"/>
                    </w:rPr>
                  </w:pPr>
                  <w:r>
                    <w:rPr>
                      <w:rFonts w:ascii="Times New Roman" w:hAnsi="Times New Roman" w:eastAsia="宋体"/>
                      <w:sz w:val="20"/>
                      <w:szCs w:val="20"/>
                    </w:rPr>
                    <w:t>1</w:t>
                  </w:r>
                </w:p>
              </w:tc>
              <w:tc>
                <w:tcPr>
                  <w:tcW w:w="808" w:type="pct"/>
                  <w:vAlign w:val="center"/>
                </w:tcPr>
                <w:p>
                  <w:pPr>
                    <w:jc w:val="center"/>
                    <w:rPr>
                      <w:rFonts w:ascii="Times New Roman" w:hAnsi="Times New Roman" w:eastAsia="宋体"/>
                      <w:sz w:val="20"/>
                      <w:szCs w:val="20"/>
                    </w:rPr>
                  </w:pPr>
                  <w:r>
                    <w:rPr>
                      <w:rFonts w:ascii="Times New Roman" w:hAnsi="Times New Roman" w:eastAsia="宋体"/>
                      <w:sz w:val="20"/>
                      <w:szCs w:val="20"/>
                    </w:rPr>
                    <w:t>90/</w:t>
                  </w:r>
                  <w:r>
                    <w:rPr>
                      <w:rFonts w:hint="eastAsia" w:ascii="Times New Roman" w:hAnsi="Times New Roman" w:eastAsia="宋体"/>
                      <w:sz w:val="20"/>
                      <w:szCs w:val="20"/>
                    </w:rPr>
                    <w:t>1</w:t>
                  </w:r>
                </w:p>
              </w:tc>
              <w:tc>
                <w:tcPr>
                  <w:tcW w:w="1135" w:type="pct"/>
                  <w:vMerge w:val="restart"/>
                  <w:vAlign w:val="center"/>
                </w:tcPr>
                <w:p>
                  <w:pPr>
                    <w:jc w:val="center"/>
                    <w:rPr>
                      <w:rFonts w:ascii="Times New Roman" w:hAnsi="Times New Roman" w:eastAsia="宋体"/>
                      <w:sz w:val="20"/>
                      <w:szCs w:val="20"/>
                    </w:rPr>
                  </w:pPr>
                  <w:r>
                    <w:rPr>
                      <w:rFonts w:ascii="Times New Roman" w:hAnsi="Times New Roman" w:eastAsia="宋体"/>
                      <w:sz w:val="20"/>
                      <w:szCs w:val="20"/>
                    </w:rPr>
                    <w:t>选用</w:t>
                  </w:r>
                  <w:r>
                    <w:rPr>
                      <w:rFonts w:hint="eastAsia" w:ascii="Times New Roman" w:hAnsi="Times New Roman" w:eastAsia="宋体"/>
                      <w:sz w:val="20"/>
                      <w:szCs w:val="20"/>
                    </w:rPr>
                    <w:t>变频风机、基础减振</w:t>
                  </w:r>
                </w:p>
              </w:tc>
              <w:tc>
                <w:tcPr>
                  <w:tcW w:w="418" w:type="pct"/>
                  <w:vMerge w:val="restart"/>
                  <w:vAlign w:val="center"/>
                </w:tcPr>
                <w:p>
                  <w:pPr>
                    <w:jc w:val="center"/>
                    <w:rPr>
                      <w:rFonts w:ascii="Times New Roman" w:hAnsi="Times New Roman" w:eastAsia="宋体"/>
                      <w:sz w:val="20"/>
                      <w:szCs w:val="20"/>
                    </w:rPr>
                  </w:pPr>
                  <w:r>
                    <w:rPr>
                      <w:rFonts w:ascii="Times New Roman" w:hAnsi="Times New Roman" w:eastAsia="宋体"/>
                      <w:sz w:val="20"/>
                      <w:szCs w:val="20"/>
                    </w:rPr>
                    <w:t>昼间</w:t>
                  </w:r>
                  <w:r>
                    <w:rPr>
                      <w:rFonts w:hint="eastAsia" w:ascii="Times New Roman" w:hAnsi="Times New Roman" w:eastAsia="宋体"/>
                      <w:sz w:val="20"/>
                      <w:szCs w:val="20"/>
                    </w:rPr>
                    <w:t>间断</w:t>
                  </w:r>
                  <w:r>
                    <w:rPr>
                      <w:rFonts w:ascii="Times New Roman" w:hAnsi="Times New Roman" w:eastAsia="宋体"/>
                      <w:sz w:val="20"/>
                      <w:szCs w:val="20"/>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22" w:type="pct"/>
                  <w:vAlign w:val="center"/>
                </w:tcPr>
                <w:p>
                  <w:pPr>
                    <w:jc w:val="center"/>
                    <w:rPr>
                      <w:rFonts w:ascii="Times New Roman" w:hAnsi="Times New Roman" w:eastAsia="宋体"/>
                      <w:sz w:val="20"/>
                      <w:szCs w:val="20"/>
                    </w:rPr>
                  </w:pPr>
                  <w:r>
                    <w:rPr>
                      <w:rFonts w:hint="eastAsia" w:ascii="Times New Roman" w:hAnsi="Times New Roman" w:eastAsia="宋体"/>
                      <w:sz w:val="20"/>
                      <w:szCs w:val="20"/>
                    </w:rPr>
                    <w:t>2</w:t>
                  </w:r>
                </w:p>
              </w:tc>
              <w:tc>
                <w:tcPr>
                  <w:tcW w:w="593" w:type="pct"/>
                  <w:vAlign w:val="center"/>
                </w:tcPr>
                <w:p>
                  <w:pPr>
                    <w:jc w:val="center"/>
                    <w:rPr>
                      <w:rFonts w:ascii="Times New Roman" w:hAnsi="Times New Roman" w:eastAsia="宋体"/>
                      <w:bCs/>
                    </w:rPr>
                  </w:pPr>
                  <w:r>
                    <w:rPr>
                      <w:rFonts w:hint="eastAsia" w:ascii="Times New Roman" w:hAnsi="Times New Roman" w:eastAsia="宋体"/>
                      <w:bCs/>
                    </w:rPr>
                    <w:t>催化燃烧风机</w:t>
                  </w:r>
                </w:p>
              </w:tc>
              <w:tc>
                <w:tcPr>
                  <w:tcW w:w="377" w:type="pct"/>
                  <w:vAlign w:val="center"/>
                </w:tcPr>
                <w:p>
                  <w:pPr>
                    <w:jc w:val="center"/>
                    <w:rPr>
                      <w:rFonts w:ascii="Times New Roman" w:hAnsi="Times New Roman" w:eastAsia="宋体"/>
                      <w:sz w:val="20"/>
                      <w:szCs w:val="20"/>
                    </w:rPr>
                  </w:pPr>
                  <w:r>
                    <w:rPr>
                      <w:rFonts w:ascii="Times New Roman" w:hAnsi="Times New Roman" w:eastAsia="宋体"/>
                      <w:sz w:val="20"/>
                      <w:szCs w:val="20"/>
                    </w:rPr>
                    <w:t>/</w:t>
                  </w:r>
                </w:p>
              </w:tc>
              <w:tc>
                <w:tcPr>
                  <w:tcW w:w="431" w:type="pct"/>
                  <w:vAlign w:val="center"/>
                </w:tcPr>
                <w:p>
                  <w:pPr>
                    <w:jc w:val="center"/>
                    <w:rPr>
                      <w:rFonts w:ascii="Times New Roman" w:hAnsi="Times New Roman" w:eastAsia="宋体"/>
                      <w:sz w:val="20"/>
                      <w:szCs w:val="20"/>
                    </w:rPr>
                  </w:pPr>
                  <w:r>
                    <w:rPr>
                      <w:rFonts w:hint="eastAsia" w:ascii="Times New Roman" w:hAnsi="Times New Roman" w:eastAsia="宋体"/>
                      <w:sz w:val="20"/>
                      <w:szCs w:val="20"/>
                    </w:rPr>
                    <w:t>4</w:t>
                  </w:r>
                  <w:r>
                    <w:rPr>
                      <w:rFonts w:ascii="Times New Roman" w:hAnsi="Times New Roman" w:eastAsia="宋体"/>
                      <w:sz w:val="20"/>
                      <w:szCs w:val="20"/>
                    </w:rPr>
                    <w:t>7</w:t>
                  </w:r>
                </w:p>
              </w:tc>
              <w:tc>
                <w:tcPr>
                  <w:tcW w:w="431" w:type="pct"/>
                  <w:vAlign w:val="center"/>
                </w:tcPr>
                <w:p>
                  <w:pPr>
                    <w:jc w:val="center"/>
                    <w:rPr>
                      <w:rFonts w:ascii="Times New Roman" w:hAnsi="Times New Roman" w:eastAsia="宋体"/>
                      <w:sz w:val="20"/>
                      <w:szCs w:val="20"/>
                    </w:rPr>
                  </w:pPr>
                  <w:r>
                    <w:rPr>
                      <w:rFonts w:ascii="Times New Roman" w:hAnsi="Times New Roman" w:eastAsia="宋体"/>
                      <w:sz w:val="20"/>
                      <w:szCs w:val="20"/>
                    </w:rPr>
                    <w:t>5</w:t>
                  </w:r>
                </w:p>
              </w:tc>
              <w:tc>
                <w:tcPr>
                  <w:tcW w:w="485" w:type="pct"/>
                  <w:vAlign w:val="center"/>
                </w:tcPr>
                <w:p>
                  <w:pPr>
                    <w:jc w:val="center"/>
                    <w:rPr>
                      <w:rFonts w:ascii="Times New Roman" w:hAnsi="Times New Roman" w:eastAsia="宋体"/>
                      <w:sz w:val="20"/>
                      <w:szCs w:val="20"/>
                    </w:rPr>
                  </w:pPr>
                  <w:r>
                    <w:rPr>
                      <w:rFonts w:ascii="Times New Roman" w:hAnsi="Times New Roman" w:eastAsia="宋体"/>
                      <w:sz w:val="20"/>
                      <w:szCs w:val="20"/>
                    </w:rPr>
                    <w:t>1</w:t>
                  </w:r>
                </w:p>
              </w:tc>
              <w:tc>
                <w:tcPr>
                  <w:tcW w:w="808" w:type="pct"/>
                  <w:vAlign w:val="center"/>
                </w:tcPr>
                <w:p>
                  <w:pPr>
                    <w:jc w:val="center"/>
                    <w:rPr>
                      <w:rFonts w:ascii="Times New Roman" w:hAnsi="Times New Roman" w:eastAsia="宋体"/>
                      <w:sz w:val="20"/>
                      <w:szCs w:val="20"/>
                    </w:rPr>
                  </w:pPr>
                  <w:r>
                    <w:rPr>
                      <w:rFonts w:hint="eastAsia" w:ascii="Times New Roman" w:hAnsi="Times New Roman" w:eastAsia="宋体"/>
                      <w:sz w:val="20"/>
                      <w:szCs w:val="20"/>
                    </w:rPr>
                    <w:t>9</w:t>
                  </w:r>
                  <w:r>
                    <w:rPr>
                      <w:rFonts w:ascii="Times New Roman" w:hAnsi="Times New Roman" w:eastAsia="宋体"/>
                      <w:sz w:val="20"/>
                      <w:szCs w:val="20"/>
                    </w:rPr>
                    <w:t>0/</w:t>
                  </w:r>
                  <w:r>
                    <w:rPr>
                      <w:rFonts w:hint="eastAsia" w:ascii="Times New Roman" w:hAnsi="Times New Roman" w:eastAsia="宋体"/>
                      <w:sz w:val="20"/>
                      <w:szCs w:val="20"/>
                    </w:rPr>
                    <w:t>1</w:t>
                  </w:r>
                </w:p>
              </w:tc>
              <w:tc>
                <w:tcPr>
                  <w:tcW w:w="1135" w:type="pct"/>
                  <w:vMerge w:val="continue"/>
                  <w:vAlign w:val="center"/>
                </w:tcPr>
                <w:p>
                  <w:pPr>
                    <w:jc w:val="center"/>
                    <w:rPr>
                      <w:rFonts w:ascii="Times New Roman" w:hAnsi="Times New Roman" w:eastAsia="宋体"/>
                      <w:sz w:val="20"/>
                      <w:szCs w:val="20"/>
                    </w:rPr>
                  </w:pPr>
                </w:p>
              </w:tc>
              <w:tc>
                <w:tcPr>
                  <w:tcW w:w="418" w:type="pct"/>
                  <w:vMerge w:val="continue"/>
                  <w:vAlign w:val="center"/>
                </w:tcPr>
                <w:p>
                  <w:pPr>
                    <w:jc w:val="center"/>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22" w:type="pct"/>
                  <w:vAlign w:val="center"/>
                </w:tcPr>
                <w:p>
                  <w:pPr>
                    <w:jc w:val="center"/>
                    <w:rPr>
                      <w:rFonts w:ascii="Times New Roman" w:hAnsi="Times New Roman" w:eastAsia="宋体"/>
                      <w:sz w:val="20"/>
                      <w:szCs w:val="20"/>
                    </w:rPr>
                  </w:pPr>
                  <w:r>
                    <w:rPr>
                      <w:rFonts w:hint="eastAsia" w:ascii="Times New Roman" w:hAnsi="Times New Roman" w:eastAsia="宋体"/>
                      <w:sz w:val="20"/>
                      <w:szCs w:val="20"/>
                    </w:rPr>
                    <w:t>3</w:t>
                  </w:r>
                </w:p>
              </w:tc>
              <w:tc>
                <w:tcPr>
                  <w:tcW w:w="593" w:type="pct"/>
                  <w:vAlign w:val="center"/>
                </w:tcPr>
                <w:p>
                  <w:pPr>
                    <w:jc w:val="center"/>
                    <w:rPr>
                      <w:rFonts w:ascii="Times New Roman" w:hAnsi="Times New Roman" w:eastAsia="宋体"/>
                      <w:bCs/>
                    </w:rPr>
                  </w:pPr>
                  <w:r>
                    <w:rPr>
                      <w:rFonts w:ascii="Times New Roman" w:hAnsi="Times New Roman" w:eastAsia="宋体"/>
                      <w:bCs/>
                    </w:rPr>
                    <w:t>空压机</w:t>
                  </w:r>
                </w:p>
              </w:tc>
              <w:tc>
                <w:tcPr>
                  <w:tcW w:w="377" w:type="pct"/>
                  <w:vAlign w:val="center"/>
                </w:tcPr>
                <w:p>
                  <w:pPr>
                    <w:jc w:val="center"/>
                    <w:rPr>
                      <w:rFonts w:ascii="Times New Roman" w:hAnsi="Times New Roman" w:eastAsia="宋体"/>
                      <w:sz w:val="20"/>
                      <w:szCs w:val="20"/>
                    </w:rPr>
                  </w:pPr>
                  <w:r>
                    <w:rPr>
                      <w:rFonts w:ascii="Times New Roman" w:hAnsi="Times New Roman" w:eastAsia="宋体"/>
                      <w:sz w:val="20"/>
                      <w:szCs w:val="20"/>
                    </w:rPr>
                    <w:t>/</w:t>
                  </w:r>
                </w:p>
              </w:tc>
              <w:tc>
                <w:tcPr>
                  <w:tcW w:w="431" w:type="pct"/>
                  <w:vAlign w:val="center"/>
                </w:tcPr>
                <w:p>
                  <w:pPr>
                    <w:jc w:val="center"/>
                    <w:rPr>
                      <w:rFonts w:ascii="Times New Roman" w:hAnsi="Times New Roman" w:eastAsia="宋体"/>
                      <w:sz w:val="20"/>
                      <w:szCs w:val="20"/>
                    </w:rPr>
                  </w:pPr>
                  <w:r>
                    <w:rPr>
                      <w:rFonts w:hint="eastAsia" w:ascii="Times New Roman" w:hAnsi="Times New Roman" w:eastAsia="宋体"/>
                      <w:sz w:val="20"/>
                      <w:szCs w:val="20"/>
                    </w:rPr>
                    <w:t>3</w:t>
                  </w:r>
                  <w:r>
                    <w:rPr>
                      <w:rFonts w:ascii="Times New Roman" w:hAnsi="Times New Roman" w:eastAsia="宋体"/>
                      <w:sz w:val="20"/>
                      <w:szCs w:val="20"/>
                    </w:rPr>
                    <w:t>8</w:t>
                  </w:r>
                </w:p>
              </w:tc>
              <w:tc>
                <w:tcPr>
                  <w:tcW w:w="431" w:type="pct"/>
                  <w:vAlign w:val="center"/>
                </w:tcPr>
                <w:p>
                  <w:pPr>
                    <w:jc w:val="center"/>
                    <w:rPr>
                      <w:rFonts w:ascii="Times New Roman" w:hAnsi="Times New Roman" w:eastAsia="宋体"/>
                      <w:sz w:val="20"/>
                      <w:szCs w:val="20"/>
                    </w:rPr>
                  </w:pPr>
                  <w:r>
                    <w:rPr>
                      <w:rFonts w:ascii="Times New Roman" w:hAnsi="Times New Roman" w:eastAsia="宋体"/>
                      <w:sz w:val="20"/>
                      <w:szCs w:val="20"/>
                    </w:rPr>
                    <w:t>5</w:t>
                  </w:r>
                </w:p>
              </w:tc>
              <w:tc>
                <w:tcPr>
                  <w:tcW w:w="485" w:type="pct"/>
                  <w:vAlign w:val="center"/>
                </w:tcPr>
                <w:p>
                  <w:pPr>
                    <w:jc w:val="center"/>
                    <w:rPr>
                      <w:rFonts w:ascii="Times New Roman" w:hAnsi="Times New Roman" w:eastAsia="宋体"/>
                      <w:sz w:val="20"/>
                      <w:szCs w:val="20"/>
                    </w:rPr>
                  </w:pPr>
                  <w:r>
                    <w:rPr>
                      <w:rFonts w:hint="eastAsia" w:ascii="Times New Roman" w:hAnsi="Times New Roman" w:eastAsia="宋体"/>
                      <w:sz w:val="20"/>
                      <w:szCs w:val="20"/>
                    </w:rPr>
                    <w:t>1</w:t>
                  </w:r>
                </w:p>
              </w:tc>
              <w:tc>
                <w:tcPr>
                  <w:tcW w:w="808" w:type="pct"/>
                  <w:vAlign w:val="center"/>
                </w:tcPr>
                <w:p>
                  <w:pPr>
                    <w:jc w:val="center"/>
                    <w:rPr>
                      <w:rFonts w:ascii="Times New Roman" w:hAnsi="Times New Roman" w:eastAsia="宋体"/>
                      <w:sz w:val="20"/>
                      <w:szCs w:val="20"/>
                    </w:rPr>
                  </w:pPr>
                  <w:r>
                    <w:rPr>
                      <w:rFonts w:ascii="Times New Roman" w:hAnsi="Times New Roman" w:eastAsia="宋体"/>
                      <w:sz w:val="20"/>
                      <w:szCs w:val="20"/>
                    </w:rPr>
                    <w:t>85/</w:t>
                  </w:r>
                  <w:r>
                    <w:rPr>
                      <w:rFonts w:hint="eastAsia" w:ascii="Times New Roman" w:hAnsi="Times New Roman" w:eastAsia="宋体"/>
                      <w:sz w:val="20"/>
                      <w:szCs w:val="20"/>
                    </w:rPr>
                    <w:t>1</w:t>
                  </w:r>
                </w:p>
              </w:tc>
              <w:tc>
                <w:tcPr>
                  <w:tcW w:w="1135" w:type="pct"/>
                  <w:vAlign w:val="center"/>
                </w:tcPr>
                <w:p>
                  <w:pPr>
                    <w:jc w:val="center"/>
                    <w:rPr>
                      <w:rFonts w:ascii="Times New Roman" w:hAnsi="Times New Roman" w:eastAsia="宋体"/>
                      <w:sz w:val="20"/>
                      <w:szCs w:val="20"/>
                    </w:rPr>
                  </w:pPr>
                  <w:r>
                    <w:rPr>
                      <w:rFonts w:hint="eastAsia" w:ascii="Times New Roman" w:hAnsi="Times New Roman" w:eastAsia="宋体" w:cs="Times New Roman"/>
                    </w:rPr>
                    <w:t>基础减振</w:t>
                  </w:r>
                </w:p>
              </w:tc>
              <w:tc>
                <w:tcPr>
                  <w:tcW w:w="418" w:type="pct"/>
                  <w:vMerge w:val="continue"/>
                  <w:vAlign w:val="center"/>
                </w:tcPr>
                <w:p>
                  <w:pPr>
                    <w:jc w:val="center"/>
                    <w:rPr>
                      <w:rFonts w:ascii="Times New Roman" w:hAnsi="Times New Roman" w:eastAsia="宋体"/>
                      <w:sz w:val="20"/>
                      <w:szCs w:val="20"/>
                    </w:rPr>
                  </w:pPr>
                </w:p>
              </w:tc>
            </w:tr>
          </w:tbl>
          <w:p>
            <w:pPr>
              <w:adjustRightInd w:val="0"/>
              <w:snapToGrid w:val="0"/>
              <w:spacing w:line="360" w:lineRule="auto"/>
              <w:rPr>
                <w:rFonts w:ascii="Times New Roman" w:hAnsi="Times New Roman" w:eastAsia="宋体"/>
                <w:b/>
                <w:sz w:val="18"/>
                <w:szCs w:val="18"/>
              </w:rPr>
            </w:pPr>
            <w:r>
              <w:rPr>
                <w:rFonts w:hint="eastAsia" w:ascii="Times New Roman" w:hAnsi="Times New Roman" w:eastAsia="宋体"/>
                <w:b/>
                <w:sz w:val="18"/>
                <w:szCs w:val="18"/>
              </w:rPr>
              <w:t>备注：坐标原点为厂区西南角，X轴为正东方向，Y轴为正北方向</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根据《环境影响评价技术导则 声环境》（HJ2.4-20</w:t>
            </w:r>
            <w:r>
              <w:rPr>
                <w:rFonts w:ascii="Times New Roman" w:hAnsi="Times New Roman" w:eastAsia="宋体"/>
                <w:sz w:val="24"/>
              </w:rPr>
              <w:t>21</w:t>
            </w:r>
            <w:r>
              <w:rPr>
                <w:rFonts w:hint="eastAsia" w:ascii="Times New Roman" w:hAnsi="Times New Roman" w:eastAsia="宋体"/>
                <w:sz w:val="24"/>
              </w:rPr>
              <w:t>）噪声预测计算模式，项目厂界噪声预测结果见表4-</w:t>
            </w:r>
            <w:r>
              <w:rPr>
                <w:rFonts w:ascii="Times New Roman" w:hAnsi="Times New Roman" w:eastAsia="宋体"/>
                <w:sz w:val="24"/>
              </w:rPr>
              <w:t>12</w:t>
            </w:r>
            <w:r>
              <w:rPr>
                <w:rFonts w:hint="eastAsia" w:ascii="Times New Roman" w:hAnsi="Times New Roman" w:eastAsia="宋体"/>
                <w:sz w:val="24"/>
              </w:rPr>
              <w:t>。</w:t>
            </w:r>
          </w:p>
          <w:p>
            <w:pPr>
              <w:pStyle w:val="84"/>
            </w:pPr>
            <w:r>
              <w:t>表4-</w:t>
            </w:r>
            <w:r>
              <w:rPr>
                <w:rFonts w:hint="eastAsia"/>
              </w:rPr>
              <w:t>1</w:t>
            </w:r>
            <w:r>
              <w:t xml:space="preserve">2  </w:t>
            </w:r>
            <w:r>
              <w:rPr>
                <w:rFonts w:hint="eastAsia"/>
              </w:rPr>
              <w:t>厂界</w:t>
            </w:r>
            <w:r>
              <w:t>达标判定  单位：dB</w:t>
            </w:r>
            <w:r>
              <w:rPr>
                <w:rFonts w:hint="eastAsia"/>
              </w:rPr>
              <w:t>（A）</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9"/>
              <w:gridCol w:w="2635"/>
              <w:gridCol w:w="2635"/>
              <w:gridCol w:w="2632"/>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00" w:type="pct"/>
                  <w:gridSpan w:val="2"/>
                  <w:vAlign w:val="center"/>
                </w:tcPr>
                <w:p>
                  <w:pPr>
                    <w:pStyle w:val="41"/>
                    <w:rPr>
                      <w:b/>
                      <w:bCs w:val="0"/>
                    </w:rPr>
                  </w:pPr>
                  <w:r>
                    <w:rPr>
                      <w:b/>
                      <w:bCs w:val="0"/>
                    </w:rPr>
                    <w:t>分类</w:t>
                  </w:r>
                </w:p>
              </w:tc>
              <w:tc>
                <w:tcPr>
                  <w:tcW w:w="1001" w:type="pct"/>
                  <w:vAlign w:val="center"/>
                </w:tcPr>
                <w:p>
                  <w:pPr>
                    <w:pStyle w:val="41"/>
                    <w:rPr>
                      <w:b/>
                      <w:bCs w:val="0"/>
                    </w:rPr>
                  </w:pPr>
                  <w:r>
                    <w:rPr>
                      <w:rFonts w:hint="eastAsia"/>
                      <w:b/>
                      <w:bCs w:val="0"/>
                    </w:rPr>
                    <w:t>昼间贡献值</w:t>
                  </w:r>
                </w:p>
              </w:tc>
              <w:tc>
                <w:tcPr>
                  <w:tcW w:w="1000" w:type="pct"/>
                  <w:vAlign w:val="center"/>
                </w:tcPr>
                <w:p>
                  <w:pPr>
                    <w:pStyle w:val="41"/>
                    <w:rPr>
                      <w:b/>
                      <w:bCs w:val="0"/>
                    </w:rPr>
                  </w:pPr>
                  <w:r>
                    <w:rPr>
                      <w:b/>
                      <w:bCs w:val="0"/>
                    </w:rPr>
                    <w:t>标准值</w:t>
                  </w:r>
                  <w:r>
                    <w:rPr>
                      <w:rFonts w:hint="eastAsia"/>
                      <w:b/>
                      <w:bCs w:val="0"/>
                    </w:rPr>
                    <w:t>（</w:t>
                  </w:r>
                  <w:r>
                    <w:rPr>
                      <w:b/>
                      <w:bCs w:val="0"/>
                    </w:rPr>
                    <w:t>昼间</w:t>
                  </w:r>
                  <w:r>
                    <w:rPr>
                      <w:rFonts w:hint="eastAsia"/>
                      <w:b/>
                      <w:bCs w:val="0"/>
                    </w:rPr>
                    <w:t>）</w:t>
                  </w:r>
                </w:p>
              </w:tc>
              <w:tc>
                <w:tcPr>
                  <w:tcW w:w="999" w:type="pct"/>
                  <w:vAlign w:val="center"/>
                </w:tcPr>
                <w:p>
                  <w:pPr>
                    <w:pStyle w:val="41"/>
                    <w:rPr>
                      <w:b/>
                      <w:bCs w:val="0"/>
                    </w:rPr>
                  </w:pPr>
                  <w:r>
                    <w:rPr>
                      <w:b/>
                      <w:bCs w:val="0"/>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9" w:type="pct"/>
                  <w:vMerge w:val="restart"/>
                  <w:vAlign w:val="center"/>
                </w:tcPr>
                <w:p>
                  <w:pPr>
                    <w:pStyle w:val="41"/>
                  </w:pPr>
                  <w:r>
                    <w:t>厂界</w:t>
                  </w:r>
                </w:p>
              </w:tc>
              <w:tc>
                <w:tcPr>
                  <w:tcW w:w="1001" w:type="pct"/>
                  <w:vAlign w:val="center"/>
                </w:tcPr>
                <w:p>
                  <w:pPr>
                    <w:pStyle w:val="41"/>
                  </w:pPr>
                  <w:r>
                    <w:t>东厂界</w:t>
                  </w:r>
                </w:p>
              </w:tc>
              <w:tc>
                <w:tcPr>
                  <w:tcW w:w="1001"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4</w:t>
                  </w:r>
                </w:p>
              </w:tc>
              <w:tc>
                <w:tcPr>
                  <w:tcW w:w="1000" w:type="pct"/>
                  <w:vAlign w:val="center"/>
                </w:tcPr>
                <w:p>
                  <w:pPr>
                    <w:pStyle w:val="41"/>
                  </w:pPr>
                  <w:r>
                    <w:rPr>
                      <w:rFonts w:hint="eastAsia"/>
                    </w:rPr>
                    <w:t>6</w:t>
                  </w:r>
                  <w:r>
                    <w:t>5</w:t>
                  </w:r>
                </w:p>
              </w:tc>
              <w:tc>
                <w:tcPr>
                  <w:tcW w:w="999" w:type="pct"/>
                  <w:vAlign w:val="center"/>
                </w:tcPr>
                <w:p>
                  <w:pPr>
                    <w:pStyle w:val="41"/>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9" w:type="pct"/>
                  <w:vMerge w:val="continue"/>
                  <w:vAlign w:val="center"/>
                </w:tcPr>
                <w:p>
                  <w:pPr>
                    <w:pStyle w:val="41"/>
                  </w:pPr>
                </w:p>
              </w:tc>
              <w:tc>
                <w:tcPr>
                  <w:tcW w:w="1001" w:type="pct"/>
                  <w:vAlign w:val="center"/>
                </w:tcPr>
                <w:p>
                  <w:pPr>
                    <w:pStyle w:val="41"/>
                  </w:pPr>
                  <w:r>
                    <w:t>南厂界</w:t>
                  </w:r>
                </w:p>
              </w:tc>
              <w:tc>
                <w:tcPr>
                  <w:tcW w:w="1001" w:type="pct"/>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60</w:t>
                  </w:r>
                </w:p>
              </w:tc>
              <w:tc>
                <w:tcPr>
                  <w:tcW w:w="1000" w:type="pct"/>
                  <w:vAlign w:val="center"/>
                </w:tcPr>
                <w:p>
                  <w:pPr>
                    <w:pStyle w:val="41"/>
                  </w:pPr>
                  <w:r>
                    <w:rPr>
                      <w:rFonts w:hint="eastAsia"/>
                    </w:rPr>
                    <w:t>6</w:t>
                  </w:r>
                  <w:r>
                    <w:t>5</w:t>
                  </w:r>
                </w:p>
              </w:tc>
              <w:tc>
                <w:tcPr>
                  <w:tcW w:w="999" w:type="pct"/>
                  <w:vAlign w:val="center"/>
                </w:tcPr>
                <w:p>
                  <w:pPr>
                    <w:pStyle w:val="41"/>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9" w:type="pct"/>
                  <w:vMerge w:val="continue"/>
                  <w:vAlign w:val="center"/>
                </w:tcPr>
                <w:p>
                  <w:pPr>
                    <w:pStyle w:val="41"/>
                  </w:pPr>
                </w:p>
              </w:tc>
              <w:tc>
                <w:tcPr>
                  <w:tcW w:w="1001" w:type="pct"/>
                  <w:vAlign w:val="center"/>
                </w:tcPr>
                <w:p>
                  <w:pPr>
                    <w:pStyle w:val="41"/>
                  </w:pPr>
                  <w:r>
                    <w:t>西厂界</w:t>
                  </w:r>
                </w:p>
              </w:tc>
              <w:tc>
                <w:tcPr>
                  <w:tcW w:w="1001"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0</w:t>
                  </w:r>
                </w:p>
              </w:tc>
              <w:tc>
                <w:tcPr>
                  <w:tcW w:w="1000" w:type="pct"/>
                  <w:vAlign w:val="center"/>
                </w:tcPr>
                <w:p>
                  <w:pPr>
                    <w:pStyle w:val="41"/>
                  </w:pPr>
                  <w:r>
                    <w:rPr>
                      <w:rFonts w:hint="eastAsia"/>
                    </w:rPr>
                    <w:t>6</w:t>
                  </w:r>
                  <w:r>
                    <w:t>5</w:t>
                  </w:r>
                </w:p>
              </w:tc>
              <w:tc>
                <w:tcPr>
                  <w:tcW w:w="999" w:type="pct"/>
                  <w:vAlign w:val="center"/>
                </w:tcPr>
                <w:p>
                  <w:pPr>
                    <w:pStyle w:val="41"/>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9" w:type="pct"/>
                  <w:vMerge w:val="continue"/>
                  <w:vAlign w:val="center"/>
                </w:tcPr>
                <w:p>
                  <w:pPr>
                    <w:pStyle w:val="41"/>
                  </w:pPr>
                </w:p>
              </w:tc>
              <w:tc>
                <w:tcPr>
                  <w:tcW w:w="1001" w:type="pct"/>
                  <w:vAlign w:val="center"/>
                </w:tcPr>
                <w:p>
                  <w:pPr>
                    <w:pStyle w:val="41"/>
                  </w:pPr>
                  <w:r>
                    <w:t>北厂界</w:t>
                  </w:r>
                </w:p>
              </w:tc>
              <w:tc>
                <w:tcPr>
                  <w:tcW w:w="1001" w:type="pct"/>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6</w:t>
                  </w:r>
                </w:p>
              </w:tc>
              <w:tc>
                <w:tcPr>
                  <w:tcW w:w="1000" w:type="pct"/>
                  <w:vAlign w:val="center"/>
                </w:tcPr>
                <w:p>
                  <w:pPr>
                    <w:pStyle w:val="41"/>
                  </w:pPr>
                  <w:r>
                    <w:rPr>
                      <w:rFonts w:hint="eastAsia"/>
                    </w:rPr>
                    <w:t>6</w:t>
                  </w:r>
                  <w:r>
                    <w:t>5</w:t>
                  </w:r>
                </w:p>
              </w:tc>
              <w:tc>
                <w:tcPr>
                  <w:tcW w:w="999" w:type="pct"/>
                  <w:vAlign w:val="center"/>
                </w:tcPr>
                <w:p>
                  <w:pPr>
                    <w:pStyle w:val="41"/>
                  </w:pPr>
                  <w:r>
                    <w:t>达标</w:t>
                  </w:r>
                </w:p>
              </w:tc>
            </w:tr>
          </w:tbl>
          <w:p>
            <w:pPr>
              <w:adjustRightInd w:val="0"/>
              <w:snapToGrid w:val="0"/>
              <w:spacing w:before="156" w:beforeLines="5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由表4-14结果可知，</w:t>
            </w:r>
            <w:r>
              <w:rPr>
                <w:rFonts w:hint="eastAsia" w:ascii="Times New Roman" w:hAnsi="Times New Roman" w:eastAsia="宋体" w:cs="Times New Roman"/>
                <w:sz w:val="24"/>
                <w:szCs w:val="24"/>
              </w:rPr>
              <w:t>本</w:t>
            </w:r>
            <w:r>
              <w:rPr>
                <w:rFonts w:ascii="Times New Roman" w:hAnsi="Times New Roman" w:eastAsia="宋体" w:cs="Times New Roman"/>
                <w:sz w:val="24"/>
                <w:szCs w:val="24"/>
              </w:rPr>
              <w:t>项目夜间不生产</w:t>
            </w:r>
            <w:r>
              <w:rPr>
                <w:rFonts w:hint="eastAsia" w:ascii="Times New Roman" w:hAnsi="Times New Roman" w:eastAsia="宋体" w:cs="Times New Roman"/>
                <w:sz w:val="24"/>
                <w:szCs w:val="24"/>
              </w:rPr>
              <w:t>，</w:t>
            </w:r>
            <w:bookmarkStart w:id="30" w:name="_Hlk153445220"/>
            <w:r>
              <w:rPr>
                <w:rFonts w:ascii="Times New Roman" w:hAnsi="Times New Roman" w:eastAsia="宋体" w:cs="Times New Roman"/>
                <w:sz w:val="24"/>
                <w:szCs w:val="24"/>
              </w:rPr>
              <w:t>厂界噪声贡献值昼间能够达到《工业企业厂界环境噪声排放标准》（GB12348-2008）中3类标准限值要求</w:t>
            </w:r>
            <w:bookmarkEnd w:id="30"/>
            <w:r>
              <w:rPr>
                <w:rFonts w:hint="eastAsia" w:ascii="Times New Roman" w:hAnsi="Times New Roman" w:eastAsia="宋体" w:cs="Times New Roman"/>
                <w:sz w:val="24"/>
                <w:szCs w:val="24"/>
              </w:rPr>
              <w:t>，</w:t>
            </w:r>
            <w:r>
              <w:rPr>
                <w:rFonts w:ascii="Times New Roman" w:hAnsi="Times New Roman" w:eastAsia="宋体" w:cs="Times New Roman"/>
                <w:sz w:val="24"/>
                <w:szCs w:val="24"/>
              </w:rPr>
              <w:t>对周围环境影响较小。</w:t>
            </w:r>
          </w:p>
          <w:p>
            <w:pPr>
              <w:adjustRightInd w:val="0"/>
              <w:snapToGrid w:val="0"/>
              <w:spacing w:line="360" w:lineRule="auto"/>
              <w:ind w:firstLine="480" w:firstLineChars="200"/>
              <w:rPr>
                <w:rFonts w:ascii="Times New Roman" w:hAnsi="Times New Roman" w:eastAsia="宋体" w:cs="Times New Roman"/>
                <w:bCs/>
                <w:sz w:val="24"/>
              </w:rPr>
            </w:pPr>
            <w:r>
              <w:rPr>
                <w:rFonts w:hint="eastAsia" w:ascii="Times New Roman" w:hAnsi="Times New Roman" w:eastAsia="宋体" w:cs="Times New Roman"/>
                <w:bCs/>
                <w:sz w:val="24"/>
              </w:rPr>
              <w:t>噪声监测计划：</w:t>
            </w:r>
          </w:p>
          <w:p>
            <w:pPr>
              <w:adjustRightInd w:val="0"/>
              <w:snapToGrid w:val="0"/>
              <w:spacing w:line="360" w:lineRule="auto"/>
              <w:ind w:firstLine="480" w:firstLineChars="200"/>
              <w:rPr>
                <w:rFonts w:ascii="Times New Roman" w:hAnsi="Times New Roman" w:eastAsia="宋体" w:cs="Times New Roman"/>
                <w:bCs/>
                <w:sz w:val="24"/>
              </w:rPr>
            </w:pPr>
            <w:r>
              <w:rPr>
                <w:rFonts w:hint="eastAsia" w:ascii="Times New Roman" w:hAnsi="Times New Roman" w:eastAsia="宋体" w:cs="Times New Roman"/>
                <w:bCs/>
                <w:sz w:val="24"/>
              </w:rPr>
              <w:t>根据《</w:t>
            </w:r>
            <w:r>
              <w:fldChar w:fldCharType="begin"/>
            </w:r>
            <w:r>
              <w:instrText xml:space="preserve"> HYPERLINK "https://www.eiacloud.com/hpyzs/lawsRegulations/searchDetail?modelName=%E6%8E%92%E6%B1%A1%E5%90%8D%E5%BD%95&amp;id=47d9380ddcb544e1b6d2fd0302d8fe11" \t "_blank" </w:instrText>
            </w:r>
            <w:r>
              <w:fldChar w:fldCharType="separate"/>
            </w:r>
            <w:r>
              <w:rPr>
                <w:rFonts w:ascii="Times New Roman" w:hAnsi="Times New Roman" w:eastAsia="宋体" w:cs="Times New Roman"/>
                <w:bCs/>
                <w:sz w:val="24"/>
              </w:rPr>
              <w:t xml:space="preserve">排污单位自行监测技术指南 </w:t>
            </w:r>
            <w:r>
              <w:rPr>
                <w:rFonts w:hint="eastAsia" w:ascii="Times New Roman" w:hAnsi="Times New Roman" w:eastAsia="宋体" w:cs="Times New Roman"/>
                <w:bCs/>
                <w:sz w:val="24"/>
              </w:rPr>
              <w:t>总则</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t>》（</w:t>
            </w:r>
            <w:r>
              <w:rPr>
                <w:rFonts w:ascii="Times New Roman" w:hAnsi="Times New Roman" w:eastAsia="宋体" w:cs="Times New Roman"/>
                <w:bCs/>
                <w:sz w:val="24"/>
              </w:rPr>
              <w:t>HJ819-2017</w:t>
            </w:r>
            <w:r>
              <w:rPr>
                <w:rFonts w:hint="eastAsia" w:ascii="Times New Roman" w:hAnsi="Times New Roman" w:eastAsia="宋体" w:cs="Times New Roman"/>
                <w:bCs/>
                <w:sz w:val="24"/>
              </w:rPr>
              <w:t>），噪声监测要求见表</w:t>
            </w:r>
            <w:r>
              <w:rPr>
                <w:rFonts w:ascii="Times New Roman" w:hAnsi="Times New Roman" w:eastAsia="宋体" w:cs="Times New Roman"/>
                <w:bCs/>
                <w:sz w:val="24"/>
              </w:rPr>
              <w:t>4-</w:t>
            </w:r>
            <w:r>
              <w:rPr>
                <w:rFonts w:hint="eastAsia" w:ascii="Times New Roman" w:hAnsi="Times New Roman" w:eastAsia="宋体" w:cs="Times New Roman"/>
                <w:bCs/>
                <w:sz w:val="24"/>
              </w:rPr>
              <w:t>1</w:t>
            </w:r>
            <w:r>
              <w:rPr>
                <w:rFonts w:ascii="Times New Roman" w:hAnsi="Times New Roman" w:eastAsia="宋体" w:cs="Times New Roman"/>
                <w:bCs/>
                <w:sz w:val="24"/>
              </w:rPr>
              <w:t>3</w:t>
            </w:r>
            <w:r>
              <w:rPr>
                <w:rFonts w:hint="eastAsia" w:ascii="Times New Roman" w:hAnsi="Times New Roman" w:eastAsia="宋体" w:cs="Times New Roman"/>
                <w:bCs/>
                <w:sz w:val="24"/>
              </w:rPr>
              <w:t>。</w:t>
            </w:r>
          </w:p>
          <w:p>
            <w:pPr>
              <w:pStyle w:val="84"/>
            </w:pPr>
            <w:r>
              <w:rPr>
                <w:rFonts w:hint="eastAsia"/>
              </w:rPr>
              <w:t>表4-1</w:t>
            </w:r>
            <w:r>
              <w:t>3</w:t>
            </w:r>
            <w:r>
              <w:rPr>
                <w:rFonts w:hint="eastAsia"/>
              </w:rPr>
              <w:t xml:space="preserve">  运营期噪声监测计划表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76"/>
              <w:gridCol w:w="1419"/>
              <w:gridCol w:w="1703"/>
              <w:gridCol w:w="1387"/>
              <w:gridCol w:w="1448"/>
              <w:gridCol w:w="6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9" w:type="pct"/>
                  <w:vAlign w:val="center"/>
                </w:tcPr>
                <w:p>
                  <w:pPr>
                    <w:pStyle w:val="41"/>
                    <w:rPr>
                      <w:b/>
                      <w:bCs w:val="0"/>
                    </w:rPr>
                  </w:pPr>
                  <w:r>
                    <w:rPr>
                      <w:b/>
                      <w:bCs w:val="0"/>
                    </w:rPr>
                    <w:t>污染源</w:t>
                  </w:r>
                </w:p>
              </w:tc>
              <w:tc>
                <w:tcPr>
                  <w:tcW w:w="539" w:type="pct"/>
                  <w:vAlign w:val="center"/>
                </w:tcPr>
                <w:p>
                  <w:pPr>
                    <w:pStyle w:val="41"/>
                    <w:rPr>
                      <w:b/>
                      <w:bCs w:val="0"/>
                    </w:rPr>
                  </w:pPr>
                  <w:r>
                    <w:rPr>
                      <w:b/>
                      <w:bCs w:val="0"/>
                    </w:rPr>
                    <w:t>监测项目</w:t>
                  </w:r>
                </w:p>
              </w:tc>
              <w:tc>
                <w:tcPr>
                  <w:tcW w:w="647" w:type="pct"/>
                  <w:vAlign w:val="center"/>
                </w:tcPr>
                <w:p>
                  <w:pPr>
                    <w:pStyle w:val="41"/>
                    <w:rPr>
                      <w:b/>
                      <w:bCs w:val="0"/>
                    </w:rPr>
                  </w:pPr>
                  <w:r>
                    <w:rPr>
                      <w:b/>
                      <w:bCs w:val="0"/>
                    </w:rPr>
                    <w:t>监测点位置</w:t>
                  </w:r>
                </w:p>
              </w:tc>
              <w:tc>
                <w:tcPr>
                  <w:tcW w:w="527" w:type="pct"/>
                  <w:vAlign w:val="center"/>
                </w:tcPr>
                <w:p>
                  <w:pPr>
                    <w:pStyle w:val="41"/>
                    <w:rPr>
                      <w:b/>
                      <w:bCs w:val="0"/>
                    </w:rPr>
                  </w:pPr>
                  <w:r>
                    <w:rPr>
                      <w:b/>
                      <w:bCs w:val="0"/>
                    </w:rPr>
                    <w:t>监测点数</w:t>
                  </w:r>
                </w:p>
              </w:tc>
              <w:tc>
                <w:tcPr>
                  <w:tcW w:w="550" w:type="pct"/>
                  <w:vAlign w:val="center"/>
                </w:tcPr>
                <w:p>
                  <w:pPr>
                    <w:pStyle w:val="41"/>
                    <w:rPr>
                      <w:b/>
                      <w:bCs w:val="0"/>
                    </w:rPr>
                  </w:pPr>
                  <w:r>
                    <w:rPr>
                      <w:b/>
                      <w:bCs w:val="0"/>
                    </w:rPr>
                    <w:t>监测频次</w:t>
                  </w:r>
                </w:p>
              </w:tc>
              <w:tc>
                <w:tcPr>
                  <w:tcW w:w="2328" w:type="pct"/>
                  <w:vAlign w:val="center"/>
                </w:tcPr>
                <w:p>
                  <w:pPr>
                    <w:pStyle w:val="41"/>
                    <w:rPr>
                      <w:b/>
                      <w:bCs w:val="0"/>
                    </w:rPr>
                  </w:pPr>
                  <w:r>
                    <w:rPr>
                      <w:b/>
                      <w:bCs w:val="0"/>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9" w:type="pct"/>
                  <w:vAlign w:val="center"/>
                </w:tcPr>
                <w:p>
                  <w:pPr>
                    <w:pStyle w:val="41"/>
                  </w:pPr>
                  <w:r>
                    <w:t>噪声</w:t>
                  </w:r>
                </w:p>
              </w:tc>
              <w:tc>
                <w:tcPr>
                  <w:tcW w:w="539" w:type="pct"/>
                  <w:vAlign w:val="center"/>
                </w:tcPr>
                <w:p>
                  <w:pPr>
                    <w:pStyle w:val="41"/>
                  </w:pPr>
                  <w:r>
                    <w:t>Leq(A)</w:t>
                  </w:r>
                </w:p>
              </w:tc>
              <w:tc>
                <w:tcPr>
                  <w:tcW w:w="647" w:type="pct"/>
                  <w:vAlign w:val="center"/>
                </w:tcPr>
                <w:p>
                  <w:pPr>
                    <w:pStyle w:val="41"/>
                  </w:pPr>
                  <w:r>
                    <w:t>厂界四周</w:t>
                  </w:r>
                </w:p>
              </w:tc>
              <w:tc>
                <w:tcPr>
                  <w:tcW w:w="527" w:type="pct"/>
                  <w:vAlign w:val="center"/>
                </w:tcPr>
                <w:p>
                  <w:pPr>
                    <w:pStyle w:val="41"/>
                  </w:pPr>
                  <w:r>
                    <w:t>4个</w:t>
                  </w:r>
                </w:p>
              </w:tc>
              <w:tc>
                <w:tcPr>
                  <w:tcW w:w="550" w:type="pct"/>
                  <w:vAlign w:val="center"/>
                </w:tcPr>
                <w:p>
                  <w:pPr>
                    <w:pStyle w:val="41"/>
                  </w:pPr>
                  <w:r>
                    <w:rPr>
                      <w:rFonts w:hint="eastAsia"/>
                    </w:rPr>
                    <w:t>1</w:t>
                  </w:r>
                  <w:r>
                    <w:t>次</w:t>
                  </w:r>
                  <w:r>
                    <w:rPr>
                      <w:rFonts w:hint="eastAsia"/>
                    </w:rPr>
                    <w:t>/季度（昼间）</w:t>
                  </w:r>
                </w:p>
              </w:tc>
              <w:tc>
                <w:tcPr>
                  <w:tcW w:w="2328" w:type="pct"/>
                  <w:vAlign w:val="center"/>
                </w:tcPr>
                <w:p>
                  <w:pPr>
                    <w:pStyle w:val="41"/>
                  </w:pPr>
                  <w:r>
                    <w:t>《工业企业厂界环境噪声排放标准》GB12348-2008）3类</w:t>
                  </w:r>
                  <w:r>
                    <w:rPr>
                      <w:rFonts w:hint="eastAsia"/>
                    </w:rPr>
                    <w:t>标准</w:t>
                  </w:r>
                </w:p>
              </w:tc>
            </w:tr>
          </w:tbl>
          <w:p>
            <w:pPr>
              <w:pStyle w:val="34"/>
              <w:rPr>
                <w:rFonts w:ascii="Times New Roman"/>
                <w:color w:val="auto"/>
              </w:rPr>
            </w:pPr>
          </w:p>
        </w:tc>
      </w:tr>
    </w:tbl>
    <w:p>
      <w:pPr>
        <w:widowControl/>
        <w:jc w:val="left"/>
        <w:rPr>
          <w:rFonts w:ascii="Times New Roman" w:hAnsi="Times New Roman" w:eastAsia="宋体" w:cstheme="majorBidi"/>
          <w:bCs/>
          <w:kern w:val="44"/>
          <w:sz w:val="28"/>
          <w:szCs w:val="32"/>
        </w:rPr>
        <w:sectPr>
          <w:pgSz w:w="16838" w:h="11906" w:orient="landscape"/>
          <w:pgMar w:top="1797" w:right="1440" w:bottom="1797" w:left="1440" w:header="851" w:footer="992" w:gutter="0"/>
          <w:cols w:space="425" w:num="1"/>
          <w:docGrid w:type="lines" w:linePitch="312" w:charSpace="0"/>
        </w:sectPr>
      </w:pP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1"/>
        <w:gridCol w:w="7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53" w:hRule="atLeast"/>
        </w:trPr>
        <w:tc>
          <w:tcPr>
            <w:tcW w:w="411" w:type="dxa"/>
            <w:tcMar>
              <w:left w:w="57" w:type="dxa"/>
              <w:right w:w="57" w:type="dxa"/>
            </w:tcMar>
            <w:vAlign w:val="center"/>
          </w:tcPr>
          <w:p>
            <w:pPr>
              <w:rPr>
                <w:rFonts w:ascii="Times New Roman" w:hAnsi="Times New Roman" w:eastAsia="宋体"/>
              </w:rPr>
            </w:pPr>
          </w:p>
        </w:tc>
        <w:tc>
          <w:tcPr>
            <w:tcW w:w="7865" w:type="dxa"/>
            <w:tcMar>
              <w:left w:w="57" w:type="dxa"/>
              <w:right w:w="57" w:type="dxa"/>
            </w:tcMar>
          </w:tcPr>
          <w:p>
            <w:pPr>
              <w:pStyle w:val="36"/>
            </w:pPr>
            <w:r>
              <w:rPr>
                <w:rFonts w:hint="eastAsia"/>
              </w:rPr>
              <w:t>4、固体废物</w:t>
            </w:r>
          </w:p>
          <w:p>
            <w:pPr>
              <w:adjustRightInd w:val="0"/>
              <w:snapToGrid w:val="0"/>
              <w:spacing w:line="360" w:lineRule="auto"/>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项目运行产生的固体废物主要为</w:t>
            </w:r>
            <w:bookmarkStart w:id="31" w:name="_Hlk153445238"/>
            <w:r>
              <w:rPr>
                <w:rFonts w:hint="eastAsia" w:ascii="Times New Roman" w:hAnsi="Times New Roman" w:eastAsia="宋体" w:cs="Times New Roman"/>
                <w:sz w:val="24"/>
                <w:szCs w:val="24"/>
              </w:rPr>
              <w:t>除尘器收集粉尘</w:t>
            </w:r>
            <w:r>
              <w:rPr>
                <w:rFonts w:ascii="Times New Roman" w:hAnsi="Times New Roman" w:eastAsia="宋体" w:cs="Times New Roman"/>
                <w:sz w:val="24"/>
                <w:szCs w:val="24"/>
              </w:rPr>
              <w:t>、</w:t>
            </w:r>
            <w:r>
              <w:rPr>
                <w:rFonts w:hint="eastAsia" w:ascii="Times New Roman" w:hAnsi="Times New Roman" w:eastAsia="宋体" w:cs="Times New Roman"/>
                <w:sz w:val="24"/>
                <w:szCs w:val="24"/>
              </w:rPr>
              <w:t>废边角料、废砂纸、废抹布及手套、废水性漆桶、废涂料桶、废漆渣、废过滤纸盒、废活性炭、废催化剂、废机油、废切削液</w:t>
            </w:r>
            <w:r>
              <w:rPr>
                <w:rFonts w:ascii="Times New Roman" w:hAnsi="Times New Roman" w:eastAsia="宋体" w:cs="Times New Roman"/>
                <w:sz w:val="24"/>
                <w:szCs w:val="24"/>
              </w:rPr>
              <w:t>及办公人员生活垃圾</w:t>
            </w:r>
            <w:bookmarkEnd w:id="31"/>
            <w:r>
              <w:rPr>
                <w:rFonts w:ascii="Times New Roman" w:hAnsi="Times New Roman" w:eastAsia="宋体" w:cs="Times New Roman"/>
                <w:sz w:val="24"/>
                <w:szCs w:val="24"/>
              </w:rPr>
              <w:t>。</w:t>
            </w:r>
          </w:p>
          <w:p>
            <w:pPr>
              <w:adjustRightInd w:val="0"/>
              <w:snapToGrid w:val="0"/>
              <w:spacing w:line="360" w:lineRule="auto"/>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除尘器收集粉尘</w:t>
            </w:r>
          </w:p>
          <w:p>
            <w:pPr>
              <w:adjustRightInd w:val="0"/>
              <w:snapToGrid w:val="0"/>
              <w:spacing w:line="360" w:lineRule="auto"/>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根据</w:t>
            </w:r>
            <w:r>
              <w:rPr>
                <w:rFonts w:hint="eastAsia" w:ascii="Times New Roman" w:hAnsi="Times New Roman" w:eastAsia="宋体" w:cs="Times New Roman"/>
                <w:sz w:val="24"/>
                <w:szCs w:val="24"/>
              </w:rPr>
              <w:t>源强核算可知，厂区除尘器收集粉尘量共计</w:t>
            </w:r>
            <w:r>
              <w:rPr>
                <w:rFonts w:ascii="Times New Roman" w:hAnsi="Times New Roman" w:eastAsia="宋体" w:cs="Times New Roman"/>
                <w:sz w:val="24"/>
                <w:szCs w:val="24"/>
              </w:rPr>
              <w:t>0.017t/</w:t>
            </w:r>
            <w:r>
              <w:rPr>
                <w:rFonts w:hint="eastAsia" w:ascii="Times New Roman" w:hAnsi="Times New Roman" w:eastAsia="宋体" w:cs="Times New Roman"/>
                <w:sz w:val="24"/>
                <w:szCs w:val="24"/>
              </w:rPr>
              <w:t>a</w:t>
            </w:r>
            <w:r>
              <w:rPr>
                <w:rFonts w:ascii="Times New Roman" w:hAnsi="Times New Roman" w:eastAsia="宋体" w:cs="Times New Roman"/>
                <w:sz w:val="24"/>
                <w:szCs w:val="24"/>
              </w:rPr>
              <w:t>，集中收集后出售给废品回收机构。</w:t>
            </w:r>
          </w:p>
          <w:p>
            <w:pPr>
              <w:adjustRightInd w:val="0"/>
              <w:snapToGrid w:val="0"/>
              <w:spacing w:line="360" w:lineRule="auto"/>
              <w:ind w:firstLine="480" w:firstLineChars="200"/>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rPr>
              <w:t>（2）废边角料</w:t>
            </w:r>
          </w:p>
          <w:p>
            <w:pPr>
              <w:tabs>
                <w:tab w:val="left" w:pos="3000"/>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szCs w:val="24"/>
              </w:rPr>
              <w:t>机加过程中</w:t>
            </w:r>
            <w:r>
              <w:rPr>
                <w:rFonts w:ascii="Times New Roman" w:hAnsi="Times New Roman" w:eastAsia="宋体" w:cs="Times New Roman"/>
                <w:sz w:val="24"/>
                <w:szCs w:val="24"/>
              </w:rPr>
              <w:t>废</w:t>
            </w:r>
            <w:r>
              <w:rPr>
                <w:rFonts w:hint="eastAsia" w:ascii="Times New Roman" w:hAnsi="Times New Roman" w:eastAsia="宋体" w:cs="Times New Roman"/>
                <w:sz w:val="24"/>
                <w:szCs w:val="24"/>
              </w:rPr>
              <w:t>边角料</w:t>
            </w:r>
            <w:r>
              <w:rPr>
                <w:rFonts w:ascii="Times New Roman" w:hAnsi="Times New Roman" w:eastAsia="宋体" w:cs="Times New Roman"/>
                <w:sz w:val="24"/>
                <w:szCs w:val="24"/>
              </w:rPr>
              <w:t>的产生量约为0.8</w:t>
            </w:r>
            <w:r>
              <w:rPr>
                <w:rFonts w:ascii="Times New Roman" w:hAnsi="Times New Roman" w:eastAsia="宋体" w:cs="Times New Roman"/>
                <w:snapToGrid w:val="0"/>
                <w:sz w:val="24"/>
                <w:szCs w:val="24"/>
                <w:lang w:bidi="ar"/>
              </w:rPr>
              <w:t>t/a</w:t>
            </w:r>
            <w:r>
              <w:rPr>
                <w:rFonts w:ascii="Times New Roman" w:hAnsi="Times New Roman" w:eastAsia="宋体" w:cs="Times New Roman"/>
                <w:sz w:val="24"/>
                <w:szCs w:val="24"/>
              </w:rPr>
              <w:t>，集中收集后出售给废品回收机构。</w:t>
            </w:r>
          </w:p>
          <w:p>
            <w:pPr>
              <w:adjustRightInd w:val="0"/>
              <w:snapToGrid w:val="0"/>
              <w:spacing w:line="360" w:lineRule="auto"/>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废砂纸</w:t>
            </w:r>
          </w:p>
          <w:p>
            <w:pPr>
              <w:tabs>
                <w:tab w:val="left" w:pos="3000"/>
              </w:tabs>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w:t>
            </w:r>
            <w:r>
              <w:rPr>
                <w:rFonts w:hint="eastAsia" w:ascii="Times New Roman" w:hAnsi="Times New Roman" w:eastAsia="宋体" w:cs="Times New Roman"/>
                <w:sz w:val="24"/>
                <w:szCs w:val="24"/>
              </w:rPr>
              <w:t>砂纸用量计算</w:t>
            </w:r>
            <w:r>
              <w:rPr>
                <w:rFonts w:ascii="Times New Roman" w:hAnsi="Times New Roman" w:eastAsia="宋体" w:cs="Times New Roman"/>
                <w:sz w:val="24"/>
                <w:szCs w:val="24"/>
              </w:rPr>
              <w:t>，项目</w:t>
            </w:r>
            <w:r>
              <w:rPr>
                <w:rFonts w:hint="eastAsia" w:ascii="Times New Roman" w:hAnsi="Times New Roman" w:eastAsia="宋体" w:cs="Times New Roman"/>
                <w:sz w:val="24"/>
                <w:szCs w:val="24"/>
              </w:rPr>
              <w:t>废砂纸</w:t>
            </w:r>
            <w:r>
              <w:rPr>
                <w:rFonts w:ascii="Times New Roman" w:hAnsi="Times New Roman" w:eastAsia="宋体" w:cs="Times New Roman"/>
                <w:sz w:val="24"/>
                <w:szCs w:val="24"/>
              </w:rPr>
              <w:t>的产生量约为0.1</w:t>
            </w:r>
            <w:r>
              <w:rPr>
                <w:rFonts w:ascii="Times New Roman" w:hAnsi="Times New Roman" w:eastAsia="宋体" w:cs="Times New Roman"/>
                <w:snapToGrid w:val="0"/>
                <w:sz w:val="24"/>
                <w:szCs w:val="24"/>
                <w:lang w:bidi="ar"/>
              </w:rPr>
              <w:t>t/a</w:t>
            </w:r>
            <w:r>
              <w:rPr>
                <w:rFonts w:ascii="Times New Roman" w:hAnsi="Times New Roman" w:eastAsia="宋体" w:cs="Times New Roman"/>
                <w:sz w:val="24"/>
                <w:szCs w:val="24"/>
              </w:rPr>
              <w:t>，集中收集后由环卫统一清运。</w:t>
            </w:r>
          </w:p>
          <w:p>
            <w:pPr>
              <w:tabs>
                <w:tab w:val="left" w:pos="3000"/>
              </w:tabs>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（4）废抹布及手套</w:t>
            </w:r>
          </w:p>
          <w:p>
            <w:pPr>
              <w:tabs>
                <w:tab w:val="left" w:pos="3000"/>
              </w:tabs>
              <w:adjustRightInd w:val="0"/>
              <w:snapToGrid w:val="0"/>
              <w:spacing w:line="360" w:lineRule="auto"/>
              <w:ind w:firstLine="480" w:firstLineChars="200"/>
              <w:rPr>
                <w:rFonts w:ascii="Times New Roman" w:hAnsi="Times New Roman" w:eastAsia="宋体"/>
              </w:rPr>
            </w:pPr>
            <w:r>
              <w:rPr>
                <w:rFonts w:ascii="Times New Roman" w:hAnsi="Times New Roman" w:eastAsia="宋体" w:cs="Times New Roman"/>
                <w:sz w:val="24"/>
                <w:szCs w:val="24"/>
              </w:rPr>
              <w:t>根据</w:t>
            </w:r>
            <w:r>
              <w:rPr>
                <w:rFonts w:hint="eastAsia" w:ascii="Times New Roman" w:hAnsi="Times New Roman" w:eastAsia="宋体" w:cs="Times New Roman"/>
                <w:sz w:val="24"/>
                <w:szCs w:val="24"/>
              </w:rPr>
              <w:t>工艺核算</w:t>
            </w:r>
            <w:r>
              <w:rPr>
                <w:rFonts w:ascii="Times New Roman" w:hAnsi="Times New Roman" w:eastAsia="宋体" w:cs="Times New Roman"/>
                <w:sz w:val="24"/>
                <w:szCs w:val="24"/>
              </w:rPr>
              <w:t>，项目</w:t>
            </w:r>
            <w:r>
              <w:rPr>
                <w:rFonts w:hint="eastAsia" w:ascii="Times New Roman" w:hAnsi="Times New Roman" w:eastAsia="宋体" w:cs="Times New Roman"/>
                <w:sz w:val="24"/>
                <w:szCs w:val="24"/>
              </w:rPr>
              <w:t>使用抹布及手套蘸取</w:t>
            </w:r>
            <w:r>
              <w:rPr>
                <w:rFonts w:hint="eastAsia" w:ascii="Times New Roman" w:hAnsi="Times New Roman" w:eastAsia="宋体"/>
                <w:sz w:val="24"/>
                <w:szCs w:val="24"/>
              </w:rPr>
              <w:t>清洗剂将表面浮灰擦干净以及清理喷枪喷头，清洗剂全部挥发，该过程产生沾染有机物的</w:t>
            </w:r>
            <w:r>
              <w:rPr>
                <w:rFonts w:hint="eastAsia" w:ascii="Times New Roman" w:hAnsi="Times New Roman" w:eastAsia="宋体" w:cs="Times New Roman"/>
                <w:sz w:val="24"/>
                <w:szCs w:val="24"/>
              </w:rPr>
              <w:t>废抹布及手套，</w:t>
            </w:r>
            <w:r>
              <w:rPr>
                <w:rFonts w:ascii="Times New Roman" w:hAnsi="Times New Roman" w:eastAsia="宋体" w:cs="Times New Roman"/>
                <w:sz w:val="24"/>
                <w:szCs w:val="24"/>
              </w:rPr>
              <w:t>产生量约为0.0001t/a，</w:t>
            </w:r>
            <w:r>
              <w:rPr>
                <w:rFonts w:hint="eastAsia" w:ascii="Times New Roman" w:hAnsi="Times New Roman" w:eastAsia="宋体" w:cs="Times New Roman"/>
                <w:sz w:val="24"/>
                <w:szCs w:val="24"/>
              </w:rPr>
              <w:t>属于《国家危险废物名录（2021版）》中HW</w:t>
            </w:r>
            <w:r>
              <w:rPr>
                <w:rFonts w:ascii="Times New Roman" w:hAnsi="Times New Roman" w:eastAsia="宋体" w:cs="Times New Roman"/>
                <w:sz w:val="24"/>
                <w:szCs w:val="24"/>
              </w:rPr>
              <w:t>49</w:t>
            </w:r>
            <w:r>
              <w:rPr>
                <w:rFonts w:hint="eastAsia" w:ascii="Times New Roman" w:hAnsi="Times New Roman" w:eastAsia="宋体" w:cs="Times New Roman"/>
                <w:sz w:val="24"/>
                <w:szCs w:val="24"/>
              </w:rPr>
              <w:t>其他废物，废物代码900-0</w:t>
            </w:r>
            <w:r>
              <w:rPr>
                <w:rFonts w:ascii="Times New Roman" w:hAnsi="Times New Roman" w:eastAsia="宋体" w:cs="Times New Roman"/>
                <w:sz w:val="24"/>
                <w:szCs w:val="24"/>
              </w:rPr>
              <w:t>41</w:t>
            </w:r>
            <w:r>
              <w:rPr>
                <w:rFonts w:hint="eastAsia" w:ascii="Times New Roman" w:hAnsi="Times New Roman" w:eastAsia="宋体" w:cs="Times New Roman"/>
                <w:sz w:val="24"/>
                <w:szCs w:val="24"/>
              </w:rPr>
              <w:t>-</w:t>
            </w:r>
            <w:r>
              <w:rPr>
                <w:rFonts w:ascii="Times New Roman" w:hAnsi="Times New Roman" w:eastAsia="宋体" w:cs="Times New Roman"/>
                <w:sz w:val="24"/>
                <w:szCs w:val="24"/>
              </w:rPr>
              <w:t>49</w:t>
            </w:r>
            <w:r>
              <w:rPr>
                <w:rFonts w:hint="eastAsia" w:ascii="Times New Roman" w:hAnsi="Times New Roman" w:eastAsia="宋体" w:cs="Times New Roman"/>
                <w:sz w:val="24"/>
                <w:szCs w:val="24"/>
              </w:rPr>
              <w:t>，收集于危废暂存间，委托有资质单位定期收集处理</w:t>
            </w:r>
            <w:r>
              <w:rPr>
                <w:rFonts w:ascii="Times New Roman" w:hAnsi="Times New Roman" w:eastAsia="宋体" w:cs="Times New Roman"/>
                <w:sz w:val="24"/>
                <w:szCs w:val="24"/>
              </w:rPr>
              <w:t>。</w:t>
            </w:r>
          </w:p>
          <w:p>
            <w:pPr>
              <w:tabs>
                <w:tab w:val="left" w:pos="3000"/>
              </w:tabs>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（5）废水性漆桶</w:t>
            </w:r>
          </w:p>
          <w:p>
            <w:pPr>
              <w:tabs>
                <w:tab w:val="left" w:pos="3000"/>
              </w:tabs>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项目水性漆用量</w:t>
            </w:r>
            <w:r>
              <w:rPr>
                <w:rFonts w:ascii="Times New Roman" w:hAnsi="Times New Roman" w:eastAsia="宋体" w:cs="Times New Roman"/>
                <w:sz w:val="24"/>
                <w:szCs w:val="24"/>
              </w:rPr>
              <w:t>6.5</w:t>
            </w:r>
            <w:r>
              <w:rPr>
                <w:rFonts w:hint="eastAsia" w:ascii="Times New Roman" w:hAnsi="Times New Roman" w:eastAsia="宋体" w:cs="Times New Roman"/>
                <w:sz w:val="24"/>
                <w:szCs w:val="24"/>
              </w:rPr>
              <w:t>t/a，规格25kg/桶，产生漆桶</w:t>
            </w:r>
            <w:r>
              <w:rPr>
                <w:rFonts w:ascii="Times New Roman" w:hAnsi="Times New Roman" w:eastAsia="宋体" w:cs="Times New Roman"/>
                <w:sz w:val="24"/>
                <w:szCs w:val="24"/>
              </w:rPr>
              <w:t>260</w:t>
            </w:r>
            <w:r>
              <w:rPr>
                <w:rFonts w:hint="eastAsia" w:ascii="Times New Roman" w:hAnsi="Times New Roman" w:eastAsia="宋体" w:cs="Times New Roman"/>
                <w:sz w:val="24"/>
                <w:szCs w:val="24"/>
              </w:rPr>
              <w:t>个，桶重约1.5kg/个，则废水性漆桶产生量约为</w:t>
            </w:r>
            <w:r>
              <w:rPr>
                <w:rFonts w:ascii="Times New Roman" w:hAnsi="Times New Roman" w:eastAsia="宋体" w:cs="Times New Roman"/>
                <w:sz w:val="24"/>
                <w:szCs w:val="24"/>
              </w:rPr>
              <w:t>0.39</w:t>
            </w:r>
            <w:r>
              <w:rPr>
                <w:rFonts w:hint="eastAsia" w:ascii="Times New Roman" w:hAnsi="Times New Roman" w:eastAsia="宋体" w:cs="Times New Roman"/>
                <w:sz w:val="24"/>
                <w:szCs w:val="24"/>
              </w:rPr>
              <w:t>t/a，水性漆桶属于一般工业固废，收集后交由原厂家回收利用。</w:t>
            </w:r>
          </w:p>
          <w:p>
            <w:pPr>
              <w:tabs>
                <w:tab w:val="left" w:pos="3000"/>
              </w:tabs>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（6）废涂料桶</w:t>
            </w:r>
          </w:p>
          <w:p>
            <w:pPr>
              <w:tabs>
                <w:tab w:val="left" w:pos="3000"/>
              </w:tabs>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项目防热涂料、涂料固化剂、涂料稀释剂、油漆、油漆固化剂、油漆稀释剂、清洗剂用量</w:t>
            </w:r>
            <w:r>
              <w:rPr>
                <w:rFonts w:ascii="Times New Roman" w:hAnsi="Times New Roman" w:eastAsia="宋体" w:cs="Times New Roman"/>
                <w:sz w:val="24"/>
                <w:szCs w:val="24"/>
              </w:rPr>
              <w:t>4.314</w:t>
            </w:r>
            <w:r>
              <w:rPr>
                <w:rFonts w:hint="eastAsia" w:ascii="Times New Roman" w:hAnsi="Times New Roman" w:eastAsia="宋体" w:cs="Times New Roman"/>
                <w:sz w:val="24"/>
                <w:szCs w:val="24"/>
              </w:rPr>
              <w:t>t/a，用量0</w:t>
            </w:r>
            <w:r>
              <w:rPr>
                <w:rFonts w:ascii="Times New Roman" w:hAnsi="Times New Roman" w:eastAsia="宋体" w:cs="Times New Roman"/>
                <w:sz w:val="24"/>
                <w:szCs w:val="24"/>
              </w:rPr>
              <w:t>.054</w:t>
            </w:r>
            <w:r>
              <w:rPr>
                <w:rFonts w:hint="eastAsia" w:ascii="Times New Roman" w:hAnsi="Times New Roman" w:eastAsia="宋体" w:cs="Times New Roman"/>
                <w:sz w:val="24"/>
                <w:szCs w:val="24"/>
              </w:rPr>
              <w:t>t</w:t>
            </w:r>
            <w:r>
              <w:rPr>
                <w:rFonts w:ascii="Times New Roman" w:hAnsi="Times New Roman" w:eastAsia="宋体" w:cs="Times New Roman"/>
                <w:sz w:val="24"/>
                <w:szCs w:val="24"/>
              </w:rPr>
              <w:t>/</w:t>
            </w:r>
            <w:r>
              <w:rPr>
                <w:rFonts w:hint="eastAsia" w:ascii="Times New Roman" w:hAnsi="Times New Roman" w:eastAsia="宋体" w:cs="Times New Roman"/>
                <w:sz w:val="24"/>
                <w:szCs w:val="24"/>
              </w:rPr>
              <w:t>a，用量1</w:t>
            </w:r>
            <w:r>
              <w:rPr>
                <w:rFonts w:ascii="Times New Roman" w:hAnsi="Times New Roman" w:eastAsia="宋体" w:cs="Times New Roman"/>
                <w:sz w:val="24"/>
                <w:szCs w:val="24"/>
              </w:rPr>
              <w:t>.44</w:t>
            </w:r>
            <w:r>
              <w:rPr>
                <w:rFonts w:hint="eastAsia" w:ascii="Times New Roman" w:hAnsi="Times New Roman" w:eastAsia="宋体" w:cs="Times New Roman"/>
                <w:sz w:val="24"/>
                <w:szCs w:val="24"/>
              </w:rPr>
              <w:t>t</w:t>
            </w:r>
            <w:r>
              <w:rPr>
                <w:rFonts w:ascii="Times New Roman" w:hAnsi="Times New Roman" w:eastAsia="宋体" w:cs="Times New Roman"/>
                <w:sz w:val="24"/>
                <w:szCs w:val="24"/>
              </w:rPr>
              <w:t>/</w:t>
            </w:r>
            <w:r>
              <w:rPr>
                <w:rFonts w:hint="eastAsia" w:ascii="Times New Roman" w:hAnsi="Times New Roman" w:eastAsia="宋体" w:cs="Times New Roman"/>
                <w:sz w:val="24"/>
                <w:szCs w:val="24"/>
              </w:rPr>
              <w:t>a，规格为2</w:t>
            </w:r>
            <w:r>
              <w:rPr>
                <w:rFonts w:ascii="Times New Roman" w:hAnsi="Times New Roman" w:eastAsia="宋体" w:cs="Times New Roman"/>
                <w:sz w:val="24"/>
                <w:szCs w:val="24"/>
              </w:rPr>
              <w:t>5</w:t>
            </w:r>
            <w:r>
              <w:rPr>
                <w:rFonts w:hint="eastAsia" w:ascii="Times New Roman" w:hAnsi="Times New Roman" w:eastAsia="宋体" w:cs="Times New Roman"/>
                <w:sz w:val="24"/>
                <w:szCs w:val="24"/>
              </w:rPr>
              <w:t>kg/桶，产生废涂料桶</w:t>
            </w:r>
            <w:r>
              <w:rPr>
                <w:rFonts w:ascii="Times New Roman" w:hAnsi="Times New Roman" w:eastAsia="宋体" w:cs="Times New Roman"/>
                <w:sz w:val="24"/>
                <w:szCs w:val="24"/>
              </w:rPr>
              <w:t>173</w:t>
            </w:r>
            <w:r>
              <w:rPr>
                <w:rFonts w:hint="eastAsia" w:ascii="Times New Roman" w:hAnsi="Times New Roman" w:eastAsia="宋体" w:cs="Times New Roman"/>
                <w:sz w:val="24"/>
                <w:szCs w:val="24"/>
              </w:rPr>
              <w:t>个，桶重约1</w:t>
            </w:r>
            <w:r>
              <w:rPr>
                <w:rFonts w:ascii="Times New Roman" w:hAnsi="Times New Roman" w:eastAsia="宋体" w:cs="Times New Roman"/>
                <w:sz w:val="24"/>
                <w:szCs w:val="24"/>
              </w:rPr>
              <w:t>.5</w:t>
            </w:r>
            <w:r>
              <w:rPr>
                <w:rFonts w:hint="eastAsia" w:ascii="Times New Roman" w:hAnsi="Times New Roman" w:eastAsia="宋体" w:cs="Times New Roman"/>
                <w:sz w:val="24"/>
                <w:szCs w:val="24"/>
              </w:rPr>
              <w:t>kg/个，则废涂料桶产生量为</w:t>
            </w:r>
            <w:r>
              <w:rPr>
                <w:rFonts w:ascii="Times New Roman" w:hAnsi="Times New Roman" w:eastAsia="宋体" w:cs="Times New Roman"/>
                <w:sz w:val="24"/>
                <w:szCs w:val="24"/>
              </w:rPr>
              <w:t>0.26</w:t>
            </w:r>
            <w:r>
              <w:rPr>
                <w:rFonts w:hint="eastAsia" w:ascii="Times New Roman" w:hAnsi="Times New Roman" w:eastAsia="宋体" w:cs="Times New Roman"/>
                <w:sz w:val="24"/>
                <w:szCs w:val="24"/>
              </w:rPr>
              <w:t>t/a，属于《国家危险废物名录（2021版）》中HW49其他废物，废物代码900-041-49，收集于危废暂存间，委托有资质单位定期收集处理。</w:t>
            </w:r>
          </w:p>
          <w:p>
            <w:pPr>
              <w:tabs>
                <w:tab w:val="left" w:pos="3000"/>
              </w:tabs>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7</w:t>
            </w:r>
            <w:r>
              <w:rPr>
                <w:rFonts w:hint="eastAsia" w:ascii="Times New Roman" w:hAnsi="Times New Roman" w:eastAsia="宋体" w:cs="Times New Roman"/>
                <w:sz w:val="24"/>
                <w:szCs w:val="24"/>
              </w:rPr>
              <w:t>）废漆渣</w:t>
            </w:r>
          </w:p>
          <w:p>
            <w:pPr>
              <w:tabs>
                <w:tab w:val="left" w:pos="3000"/>
              </w:tabs>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w:t>
            </w:r>
            <w:r>
              <w:rPr>
                <w:rFonts w:hint="eastAsia" w:ascii="Times New Roman" w:hAnsi="Times New Roman" w:eastAsia="宋体" w:cs="Times New Roman"/>
                <w:sz w:val="24"/>
                <w:szCs w:val="24"/>
              </w:rPr>
              <w:t>物料衡算</w:t>
            </w:r>
            <w:r>
              <w:rPr>
                <w:rFonts w:ascii="Times New Roman" w:hAnsi="Times New Roman" w:eastAsia="宋体" w:cs="Times New Roman"/>
                <w:sz w:val="24"/>
                <w:szCs w:val="24"/>
              </w:rPr>
              <w:t>，项目</w:t>
            </w:r>
            <w:r>
              <w:rPr>
                <w:rFonts w:hint="eastAsia" w:ascii="Times New Roman" w:hAnsi="Times New Roman" w:eastAsia="宋体" w:cs="Times New Roman"/>
                <w:sz w:val="24"/>
                <w:szCs w:val="24"/>
              </w:rPr>
              <w:t>喷涂过程残留在喷漆房内的废漆渣</w:t>
            </w:r>
            <w:r>
              <w:rPr>
                <w:rFonts w:ascii="Times New Roman" w:hAnsi="Times New Roman" w:eastAsia="宋体" w:cs="Times New Roman"/>
                <w:sz w:val="24"/>
                <w:szCs w:val="24"/>
              </w:rPr>
              <w:t>产生量约为1.353t/a，</w:t>
            </w:r>
            <w:r>
              <w:rPr>
                <w:rFonts w:hint="eastAsia" w:ascii="Times New Roman" w:hAnsi="Times New Roman" w:eastAsia="宋体" w:cs="Times New Roman"/>
                <w:sz w:val="24"/>
                <w:szCs w:val="24"/>
              </w:rPr>
              <w:t>属于《国家危险废物名录（2021版）》中HW</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染料、涂料废物，废物代码900-</w:t>
            </w:r>
            <w:r>
              <w:rPr>
                <w:rFonts w:ascii="Times New Roman" w:hAnsi="Times New Roman" w:eastAsia="宋体" w:cs="Times New Roman"/>
                <w:sz w:val="24"/>
                <w:szCs w:val="24"/>
              </w:rPr>
              <w:t>252</w:t>
            </w:r>
            <w:r>
              <w:rPr>
                <w:rFonts w:hint="eastAsia" w:ascii="Times New Roman" w:hAnsi="Times New Roman" w:eastAsia="宋体" w:cs="Times New Roman"/>
                <w:sz w:val="24"/>
                <w:szCs w:val="24"/>
              </w:rPr>
              <w:t>-</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，暂存于危废暂存库，定期交由有资质的单位回收处置</w:t>
            </w:r>
            <w:r>
              <w:rPr>
                <w:rFonts w:ascii="Times New Roman" w:hAnsi="Times New Roman" w:eastAsia="宋体" w:cs="Times New Roman"/>
                <w:sz w:val="24"/>
                <w:szCs w:val="24"/>
              </w:rPr>
              <w:t>。</w:t>
            </w:r>
          </w:p>
          <w:p>
            <w:pPr>
              <w:tabs>
                <w:tab w:val="left" w:pos="3000"/>
              </w:tabs>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8</w:t>
            </w:r>
            <w:r>
              <w:rPr>
                <w:rFonts w:hint="eastAsia" w:ascii="Times New Roman" w:hAnsi="Times New Roman" w:eastAsia="宋体" w:cs="Times New Roman"/>
                <w:sz w:val="24"/>
                <w:szCs w:val="24"/>
              </w:rPr>
              <w:t>）废过滤纸盒</w:t>
            </w:r>
          </w:p>
          <w:p>
            <w:pPr>
              <w:tabs>
                <w:tab w:val="left" w:pos="3000"/>
              </w:tabs>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废过滤纸盒是处理漆雾产生的危险废物，根据涂料平衡，过滤纸盒截留漆雾量为</w:t>
            </w:r>
            <w:r>
              <w:rPr>
                <w:rFonts w:ascii="Times New Roman" w:hAnsi="Times New Roman" w:eastAsia="宋体" w:cs="Times New Roman"/>
                <w:sz w:val="24"/>
                <w:szCs w:val="24"/>
              </w:rPr>
              <w:t>0.574</w:t>
            </w:r>
            <w:r>
              <w:rPr>
                <w:rFonts w:hint="eastAsia" w:ascii="Times New Roman" w:hAnsi="Times New Roman" w:eastAsia="宋体" w:cs="Times New Roman"/>
                <w:sz w:val="24"/>
                <w:szCs w:val="24"/>
              </w:rPr>
              <w:t>t/a，需要过滤纸盒</w:t>
            </w:r>
            <w:r>
              <w:rPr>
                <w:rFonts w:ascii="Times New Roman" w:hAnsi="Times New Roman" w:eastAsia="宋体" w:cs="Times New Roman"/>
                <w:sz w:val="24"/>
                <w:szCs w:val="24"/>
              </w:rPr>
              <w:t>0.2</w:t>
            </w:r>
            <w:r>
              <w:rPr>
                <w:rFonts w:hint="eastAsia" w:ascii="Times New Roman" w:hAnsi="Times New Roman" w:eastAsia="宋体" w:cs="Times New Roman"/>
                <w:sz w:val="24"/>
                <w:szCs w:val="24"/>
              </w:rPr>
              <w:t>t</w:t>
            </w:r>
            <w:r>
              <w:rPr>
                <w:rFonts w:ascii="Times New Roman" w:hAnsi="Times New Roman" w:eastAsia="宋体" w:cs="Times New Roman"/>
                <w:sz w:val="24"/>
                <w:szCs w:val="24"/>
              </w:rPr>
              <w:t>/</w:t>
            </w:r>
            <w:r>
              <w:rPr>
                <w:rFonts w:hint="eastAsia" w:ascii="Times New Roman" w:hAnsi="Times New Roman" w:eastAsia="宋体" w:cs="Times New Roman"/>
                <w:sz w:val="24"/>
                <w:szCs w:val="24"/>
              </w:rPr>
              <w:t>a，因此废过滤纸盒产生量约为</w:t>
            </w:r>
            <w:r>
              <w:rPr>
                <w:rFonts w:ascii="Times New Roman" w:hAnsi="Times New Roman" w:eastAsia="宋体" w:cs="Times New Roman"/>
                <w:sz w:val="24"/>
                <w:szCs w:val="24"/>
              </w:rPr>
              <w:t>0.774</w:t>
            </w:r>
            <w:r>
              <w:rPr>
                <w:rFonts w:hint="eastAsia" w:ascii="Times New Roman" w:hAnsi="Times New Roman" w:eastAsia="宋体" w:cs="Times New Roman"/>
                <w:sz w:val="24"/>
                <w:szCs w:val="24"/>
              </w:rPr>
              <w:t>t/a（含截留漆雾</w:t>
            </w:r>
            <w:r>
              <w:rPr>
                <w:rFonts w:ascii="Times New Roman" w:hAnsi="Times New Roman" w:eastAsia="宋体" w:cs="Times New Roman"/>
                <w:sz w:val="24"/>
                <w:szCs w:val="24"/>
              </w:rPr>
              <w:t>0.574</w:t>
            </w:r>
            <w:r>
              <w:rPr>
                <w:rFonts w:hint="eastAsia" w:ascii="Times New Roman" w:hAnsi="Times New Roman" w:eastAsia="宋体" w:cs="Times New Roman"/>
                <w:sz w:val="24"/>
                <w:szCs w:val="24"/>
              </w:rPr>
              <w:t>t/a），属于《国家危险废物名录（2021版）》中HW49其他废物，废物代码900-041-49，收集后暂存于危废暂存间，委托有资质单位定期收集处理。</w:t>
            </w:r>
          </w:p>
          <w:p>
            <w:pPr>
              <w:tabs>
                <w:tab w:val="left" w:pos="3000"/>
              </w:tabs>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9</w:t>
            </w:r>
            <w:r>
              <w:rPr>
                <w:rFonts w:hint="eastAsia" w:ascii="Times New Roman" w:hAnsi="Times New Roman" w:eastAsia="宋体" w:cs="Times New Roman"/>
                <w:sz w:val="24"/>
                <w:szCs w:val="24"/>
              </w:rPr>
              <w:t>）废活性炭</w:t>
            </w:r>
          </w:p>
          <w:p>
            <w:pPr>
              <w:wordWrap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本项目采用</w:t>
            </w:r>
            <w:r>
              <w:rPr>
                <w:rFonts w:hint="eastAsia" w:ascii="Times New Roman" w:hAnsi="Times New Roman" w:eastAsia="宋体" w:cs="Times New Roman"/>
                <w:sz w:val="24"/>
              </w:rPr>
              <w:t>吸附</w:t>
            </w:r>
            <w:r>
              <w:rPr>
                <w:rFonts w:ascii="Times New Roman" w:hAnsi="Times New Roman" w:eastAsia="宋体" w:cs="Times New Roman"/>
                <w:sz w:val="24"/>
              </w:rPr>
              <w:t>脱附催化燃烧废气处理装置</w:t>
            </w:r>
            <w:r>
              <w:rPr>
                <w:rFonts w:hint="eastAsia" w:ascii="Times New Roman" w:hAnsi="Times New Roman" w:eastAsia="宋体" w:cs="Times New Roman"/>
                <w:sz w:val="24"/>
              </w:rPr>
              <w:t>处理有机废气</w:t>
            </w:r>
            <w:r>
              <w:rPr>
                <w:rFonts w:ascii="Times New Roman" w:hAnsi="Times New Roman" w:eastAsia="宋体" w:cs="Times New Roman"/>
                <w:sz w:val="24"/>
              </w:rPr>
              <w:t>。</w:t>
            </w:r>
            <w:r>
              <w:rPr>
                <w:rFonts w:hint="eastAsia" w:ascii="Times New Roman" w:hAnsi="Times New Roman" w:eastAsia="宋体" w:cs="Times New Roman"/>
                <w:sz w:val="24"/>
              </w:rPr>
              <w:t>有机废气经活性炭吸附后达到饱和状态，进入高温脱附（电加热），浓缩有机废气</w:t>
            </w:r>
            <w:r>
              <w:rPr>
                <w:rFonts w:ascii="Times New Roman" w:hAnsi="Times New Roman" w:eastAsia="宋体" w:cs="Times New Roman"/>
                <w:sz w:val="24"/>
              </w:rPr>
              <w:t>进入</w:t>
            </w:r>
            <w:r>
              <w:rPr>
                <w:rFonts w:hint="eastAsia" w:ascii="Times New Roman" w:hAnsi="Times New Roman" w:eastAsia="宋体" w:cs="Times New Roman"/>
                <w:sz w:val="24"/>
              </w:rPr>
              <w:t>催化燃烧室，</w:t>
            </w:r>
            <w:r>
              <w:rPr>
                <w:rFonts w:ascii="Times New Roman" w:hAnsi="Times New Roman" w:eastAsia="宋体" w:cs="Times New Roman"/>
                <w:sz w:val="24"/>
              </w:rPr>
              <w:t>形成了吸附浓缩和脱附再生同时连续运行</w:t>
            </w:r>
            <w:r>
              <w:rPr>
                <w:rFonts w:hint="eastAsia" w:ascii="Times New Roman" w:hAnsi="Times New Roman" w:eastAsia="宋体" w:cs="Times New Roman"/>
                <w:sz w:val="24"/>
              </w:rPr>
              <w:t>，为保持活性炭吸附能力，项目每年更换一次活性炭，</w:t>
            </w:r>
          </w:p>
          <w:p>
            <w:pPr>
              <w:wordWrap w:val="0"/>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根据</w:t>
            </w:r>
            <w:r>
              <w:rPr>
                <w:rFonts w:hint="eastAsia" w:ascii="Times New Roman" w:hAnsi="Times New Roman" w:eastAsia="宋体"/>
                <w:bCs/>
                <w:sz w:val="24"/>
              </w:rPr>
              <w:t>《关于将排污单位活性炭使用更换纳入排污许可管理的通知》中活性炭计算公式进行计算：</w:t>
            </w:r>
          </w:p>
          <w:p>
            <w:pPr>
              <w:pStyle w:val="2"/>
              <w:rPr>
                <w:rFonts w:ascii="Times New Roman" w:hAnsi="Times New Roman" w:eastAsia="宋体"/>
              </w:rPr>
            </w:pPr>
            <w:r>
              <w:rPr>
                <w:rFonts w:ascii="Times New Roman" w:hAnsi="Times New Roman" w:eastAsia="宋体"/>
              </w:rPr>
              <w:t>T=m</w:t>
            </w:r>
            <w:r>
              <w:rPr>
                <w:rFonts w:hint="eastAsia" w:ascii="Times New Roman" w:hAnsi="Times New Roman" w:eastAsia="宋体"/>
              </w:rPr>
              <w:t>×</w:t>
            </w:r>
            <w:r>
              <w:rPr>
                <w:rFonts w:ascii="Times New Roman" w:hAnsi="Times New Roman" w:eastAsia="宋体"/>
              </w:rPr>
              <w:t>s÷(c</w:t>
            </w:r>
            <w:r>
              <w:rPr>
                <w:rFonts w:hint="eastAsia" w:ascii="Times New Roman" w:hAnsi="Times New Roman" w:eastAsia="宋体"/>
              </w:rPr>
              <w:t>×</w:t>
            </w:r>
            <w:r>
              <w:rPr>
                <w:rFonts w:ascii="Times New Roman" w:hAnsi="Times New Roman" w:eastAsia="宋体"/>
              </w:rPr>
              <w:t>10</w:t>
            </w:r>
            <w:r>
              <w:rPr>
                <w:rFonts w:ascii="Times New Roman" w:hAnsi="Times New Roman" w:eastAsia="宋体"/>
                <w:vertAlign w:val="superscript"/>
              </w:rPr>
              <w:t>-6</w:t>
            </w:r>
            <w:r>
              <w:rPr>
                <w:rFonts w:hint="eastAsia" w:ascii="Times New Roman" w:hAnsi="Times New Roman" w:eastAsia="宋体"/>
              </w:rPr>
              <w:t>×</w:t>
            </w:r>
            <w:r>
              <w:rPr>
                <w:rFonts w:ascii="Times New Roman" w:hAnsi="Times New Roman" w:eastAsia="宋体"/>
              </w:rPr>
              <w:t>Q</w:t>
            </w:r>
            <w:r>
              <w:rPr>
                <w:rFonts w:hint="eastAsia" w:ascii="Times New Roman" w:hAnsi="Times New Roman" w:eastAsia="宋体"/>
              </w:rPr>
              <w:t>×</w:t>
            </w:r>
            <w:r>
              <w:rPr>
                <w:rFonts w:ascii="Times New Roman" w:hAnsi="Times New Roman" w:eastAsia="宋体"/>
              </w:rPr>
              <w:t>t)</w:t>
            </w:r>
          </w:p>
          <w:p>
            <w:pPr>
              <w:pStyle w:val="2"/>
              <w:spacing w:line="360" w:lineRule="auto"/>
              <w:jc w:val="both"/>
              <w:rPr>
                <w:rFonts w:ascii="Times New Roman" w:hAnsi="Times New Roman" w:eastAsia="宋体"/>
              </w:rPr>
            </w:pPr>
            <w:r>
              <w:rPr>
                <w:rFonts w:hint="eastAsia" w:ascii="Times New Roman" w:hAnsi="Times New Roman" w:eastAsia="宋体"/>
              </w:rPr>
              <w:t>式中:</w:t>
            </w:r>
          </w:p>
          <w:p>
            <w:pPr>
              <w:pStyle w:val="2"/>
              <w:spacing w:line="360" w:lineRule="auto"/>
              <w:ind w:firstLine="560" w:firstLineChars="200"/>
              <w:jc w:val="both"/>
              <w:rPr>
                <w:rFonts w:ascii="Times New Roman" w:hAnsi="Times New Roman" w:eastAsia="宋体"/>
              </w:rPr>
            </w:pPr>
            <w:r>
              <w:rPr>
                <w:rFonts w:hint="eastAsia" w:ascii="Times New Roman" w:hAnsi="Times New Roman" w:eastAsia="宋体"/>
              </w:rPr>
              <w:t>T一更换周期，天；</w:t>
            </w:r>
          </w:p>
          <w:p>
            <w:pPr>
              <w:pStyle w:val="2"/>
              <w:spacing w:line="360" w:lineRule="auto"/>
              <w:ind w:firstLine="560" w:firstLineChars="200"/>
              <w:jc w:val="both"/>
              <w:rPr>
                <w:rFonts w:ascii="Times New Roman" w:hAnsi="Times New Roman" w:eastAsia="宋体"/>
              </w:rPr>
            </w:pPr>
            <w:r>
              <w:rPr>
                <w:rFonts w:hint="eastAsia" w:ascii="Times New Roman" w:hAnsi="Times New Roman" w:eastAsia="宋体"/>
              </w:rPr>
              <w:t>m一活性炭的用量，3</w:t>
            </w:r>
            <w:r>
              <w:rPr>
                <w:rFonts w:ascii="Times New Roman" w:hAnsi="Times New Roman" w:eastAsia="宋体"/>
              </w:rPr>
              <w:t>00</w:t>
            </w:r>
            <w:r>
              <w:rPr>
                <w:rFonts w:hint="eastAsia" w:ascii="Times New Roman" w:hAnsi="Times New Roman" w:eastAsia="宋体"/>
              </w:rPr>
              <w:t>kg；</w:t>
            </w:r>
          </w:p>
          <w:p>
            <w:pPr>
              <w:pStyle w:val="2"/>
              <w:spacing w:line="360" w:lineRule="auto"/>
              <w:ind w:firstLine="560" w:firstLineChars="200"/>
              <w:jc w:val="both"/>
              <w:rPr>
                <w:rFonts w:ascii="Times New Roman" w:hAnsi="Times New Roman" w:eastAsia="宋体"/>
              </w:rPr>
            </w:pPr>
            <w:r>
              <w:rPr>
                <w:rFonts w:hint="eastAsia" w:ascii="Times New Roman" w:hAnsi="Times New Roman" w:eastAsia="宋体"/>
              </w:rPr>
              <w:t>s-动态吸附量，%；(一般取值10%)</w:t>
            </w:r>
          </w:p>
          <w:p>
            <w:pPr>
              <w:pStyle w:val="2"/>
              <w:spacing w:line="360" w:lineRule="auto"/>
              <w:ind w:firstLine="560" w:firstLineChars="200"/>
              <w:jc w:val="both"/>
              <w:rPr>
                <w:rFonts w:ascii="Times New Roman" w:hAnsi="Times New Roman" w:eastAsia="宋体"/>
              </w:rPr>
            </w:pPr>
            <w:r>
              <w:rPr>
                <w:rFonts w:hint="eastAsia" w:ascii="Times New Roman" w:hAnsi="Times New Roman" w:eastAsia="宋体"/>
              </w:rPr>
              <w:t>c-活性炭削减的VOCs浓度，</w:t>
            </w:r>
            <w:r>
              <w:rPr>
                <w:rFonts w:ascii="Times New Roman" w:hAnsi="Times New Roman" w:eastAsia="宋体"/>
              </w:rPr>
              <w:t>46.741</w:t>
            </w:r>
            <w:r>
              <w:rPr>
                <w:rFonts w:hint="eastAsia" w:ascii="Times New Roman" w:hAnsi="Times New Roman" w:eastAsia="宋体"/>
              </w:rPr>
              <w:t>mg/m</w:t>
            </w:r>
            <w:r>
              <w:rPr>
                <w:rFonts w:hint="eastAsia" w:ascii="Times New Roman" w:hAnsi="Times New Roman" w:eastAsia="宋体"/>
                <w:vertAlign w:val="superscript"/>
              </w:rPr>
              <w:t>3</w:t>
            </w:r>
            <w:r>
              <w:rPr>
                <w:rFonts w:hint="eastAsia" w:ascii="Times New Roman" w:hAnsi="Times New Roman" w:eastAsia="宋体"/>
              </w:rPr>
              <w:t>；</w:t>
            </w:r>
          </w:p>
          <w:p>
            <w:pPr>
              <w:pStyle w:val="2"/>
              <w:spacing w:line="360" w:lineRule="auto"/>
              <w:ind w:firstLine="560" w:firstLineChars="200"/>
              <w:jc w:val="both"/>
              <w:rPr>
                <w:rFonts w:ascii="Times New Roman" w:hAnsi="Times New Roman" w:eastAsia="宋体"/>
              </w:rPr>
            </w:pPr>
            <w:r>
              <w:rPr>
                <w:rFonts w:hint="eastAsia" w:ascii="Times New Roman" w:hAnsi="Times New Roman" w:eastAsia="宋体"/>
              </w:rPr>
              <w:t>Q-风量，单位</w:t>
            </w:r>
            <w:r>
              <w:rPr>
                <w:rFonts w:ascii="Times New Roman" w:hAnsi="Times New Roman" w:eastAsia="宋体"/>
              </w:rPr>
              <w:t>5500</w:t>
            </w:r>
            <w:r>
              <w:rPr>
                <w:rFonts w:hint="eastAsia" w:ascii="Times New Roman" w:hAnsi="Times New Roman" w:eastAsia="宋体"/>
              </w:rPr>
              <w:t>m</w:t>
            </w:r>
            <w:r>
              <w:rPr>
                <w:rFonts w:hint="eastAsia" w:ascii="Times New Roman" w:hAnsi="Times New Roman" w:eastAsia="宋体"/>
                <w:vertAlign w:val="superscript"/>
              </w:rPr>
              <w:t>3</w:t>
            </w:r>
            <w:r>
              <w:rPr>
                <w:rFonts w:hint="eastAsia" w:ascii="Times New Roman" w:hAnsi="Times New Roman" w:eastAsia="宋体"/>
              </w:rPr>
              <w:t>/h；</w:t>
            </w:r>
          </w:p>
          <w:p>
            <w:pPr>
              <w:pStyle w:val="2"/>
              <w:spacing w:line="360" w:lineRule="auto"/>
              <w:ind w:firstLine="560" w:firstLineChars="200"/>
              <w:jc w:val="both"/>
              <w:rPr>
                <w:rFonts w:ascii="Times New Roman" w:hAnsi="Times New Roman" w:eastAsia="宋体"/>
              </w:rPr>
            </w:pPr>
            <w:r>
              <w:rPr>
                <w:rFonts w:hint="eastAsia" w:ascii="Times New Roman" w:hAnsi="Times New Roman" w:eastAsia="宋体"/>
              </w:rPr>
              <w:t>t-运行时间，单位8h/d。</w:t>
            </w:r>
          </w:p>
          <w:p>
            <w:pPr>
              <w:pStyle w:val="2"/>
              <w:spacing w:line="360" w:lineRule="auto"/>
              <w:ind w:firstLine="560" w:firstLineChars="200"/>
              <w:jc w:val="both"/>
              <w:rPr>
                <w:rFonts w:ascii="Times New Roman" w:hAnsi="Times New Roman" w:eastAsia="宋体" w:cs="Times New Roman"/>
              </w:rPr>
            </w:pPr>
            <w:r>
              <w:rPr>
                <w:rFonts w:hint="eastAsia" w:ascii="Times New Roman" w:hAnsi="Times New Roman" w:eastAsia="宋体" w:cs="Times New Roman"/>
              </w:rPr>
              <w:t>本项目活性炭充填量为</w:t>
            </w:r>
            <w:r>
              <w:rPr>
                <w:rFonts w:ascii="Times New Roman" w:hAnsi="Times New Roman" w:eastAsia="宋体" w:cs="Times New Roman"/>
              </w:rPr>
              <w:t>300</w:t>
            </w:r>
            <w:r>
              <w:rPr>
                <w:rFonts w:hint="eastAsia" w:ascii="Times New Roman" w:hAnsi="Times New Roman" w:eastAsia="宋体" w:cs="Times New Roman"/>
              </w:rPr>
              <w:t>kg，通过上式计算，T=</w:t>
            </w:r>
            <w:r>
              <w:rPr>
                <w:rFonts w:ascii="Times New Roman" w:hAnsi="Times New Roman" w:eastAsia="宋体" w:cs="Times New Roman"/>
              </w:rPr>
              <w:t>15</w:t>
            </w:r>
            <w:r>
              <w:rPr>
                <w:rFonts w:hint="eastAsia" w:ascii="Times New Roman" w:hAnsi="Times New Roman" w:eastAsia="宋体" w:cs="Times New Roman"/>
              </w:rPr>
              <w:t>d，因此每1</w:t>
            </w:r>
            <w:r>
              <w:rPr>
                <w:rFonts w:ascii="Times New Roman" w:hAnsi="Times New Roman" w:eastAsia="宋体" w:cs="Times New Roman"/>
              </w:rPr>
              <w:t>5</w:t>
            </w:r>
            <w:r>
              <w:rPr>
                <w:rFonts w:hint="eastAsia" w:ascii="Times New Roman" w:hAnsi="Times New Roman" w:eastAsia="宋体" w:cs="Times New Roman"/>
              </w:rPr>
              <w:t>d脱附一次。同时为保证活性炭活性，每年更换一次，</w:t>
            </w:r>
            <w:r>
              <w:rPr>
                <w:rFonts w:ascii="Times New Roman" w:hAnsi="Times New Roman" w:eastAsia="宋体" w:cs="Times New Roman"/>
              </w:rPr>
              <w:t>则废活性炭产生量为0</w:t>
            </w:r>
            <w:r>
              <w:rPr>
                <w:rFonts w:hint="eastAsia" w:ascii="Times New Roman" w:hAnsi="Times New Roman" w:eastAsia="宋体" w:cs="Times New Roman"/>
              </w:rPr>
              <w:t>.</w:t>
            </w:r>
            <w:r>
              <w:rPr>
                <w:rFonts w:ascii="Times New Roman" w:hAnsi="Times New Roman" w:eastAsia="宋体" w:cs="Times New Roman"/>
              </w:rPr>
              <w:t>3t/a，更换下来的废活性炭属于危险废物（HW49，900-039-49）</w:t>
            </w:r>
            <w:r>
              <w:rPr>
                <w:rFonts w:hint="eastAsia" w:ascii="Times New Roman" w:hAnsi="Times New Roman" w:eastAsia="宋体" w:cs="Times New Roman"/>
              </w:rPr>
              <w:t>。</w:t>
            </w:r>
          </w:p>
          <w:p>
            <w:pPr>
              <w:tabs>
                <w:tab w:val="left" w:pos="0"/>
              </w:tabs>
              <w:spacing w:line="360" w:lineRule="auto"/>
              <w:ind w:firstLine="480" w:firstLineChars="200"/>
              <w:rPr>
                <w:rFonts w:ascii="Times New Roman" w:hAnsi="Times New Roman" w:eastAsia="宋体" w:cs="Times New Roman"/>
                <w:sz w:val="24"/>
              </w:rPr>
            </w:pPr>
            <w:r>
              <w:rPr>
                <w:rFonts w:hint="eastAsia" w:ascii="Times New Roman" w:hAnsi="Times New Roman" w:eastAsia="宋体"/>
                <w:sz w:val="24"/>
                <w:szCs w:val="24"/>
              </w:rPr>
              <w:t>（1</w:t>
            </w:r>
            <w:r>
              <w:rPr>
                <w:rFonts w:ascii="Times New Roman" w:hAnsi="Times New Roman" w:eastAsia="宋体"/>
                <w:sz w:val="24"/>
                <w:szCs w:val="24"/>
              </w:rPr>
              <w:t>0</w:t>
            </w:r>
            <w:r>
              <w:rPr>
                <w:rFonts w:hint="eastAsia" w:ascii="Times New Roman" w:hAnsi="Times New Roman" w:eastAsia="宋体"/>
                <w:sz w:val="24"/>
                <w:szCs w:val="24"/>
              </w:rPr>
              <w:t>）废催化剂</w:t>
            </w:r>
          </w:p>
          <w:p>
            <w:pPr>
              <w:tabs>
                <w:tab w:val="left" w:pos="0"/>
              </w:tabs>
              <w:spacing w:line="360" w:lineRule="auto"/>
              <w:ind w:firstLine="480" w:firstLineChars="200"/>
              <w:rPr>
                <w:rFonts w:ascii="Times New Roman" w:hAnsi="Times New Roman" w:eastAsia="宋体" w:cs="Times New Roman"/>
                <w:sz w:val="24"/>
              </w:rPr>
            </w:pPr>
            <w:r>
              <w:rPr>
                <w:rFonts w:hint="eastAsia" w:ascii="Times New Roman" w:hAnsi="Times New Roman" w:eastAsia="宋体"/>
                <w:sz w:val="24"/>
                <w:szCs w:val="24"/>
              </w:rPr>
              <w:t>根据项目设计单位提供的资料，本项目催化燃烧装置选用的催化剂型号为工业废气</w:t>
            </w:r>
            <w:r>
              <w:rPr>
                <w:rFonts w:ascii="Times New Roman" w:hAnsi="Times New Roman" w:eastAsia="宋体"/>
                <w:sz w:val="24"/>
                <w:szCs w:val="24"/>
              </w:rPr>
              <w:t>VOC</w:t>
            </w:r>
            <w:r>
              <w:rPr>
                <w:rFonts w:hint="eastAsia" w:ascii="Times New Roman" w:hAnsi="Times New Roman" w:eastAsia="宋体"/>
                <w:sz w:val="24"/>
                <w:szCs w:val="24"/>
              </w:rPr>
              <w:t>净化催化剂，是处理各种不同类型有机废气的高效广谱型催化剂。催化剂以蜂窝陶瓷做载体，内浸渍贵金属铂和钯，具有高活性、耐高温及使用寿命长</w:t>
            </w:r>
            <w:r>
              <w:rPr>
                <w:rFonts w:hint="eastAsia" w:ascii="Times New Roman" w:hAnsi="Times New Roman" w:eastAsia="宋体" w:cs="Times New Roman"/>
                <w:sz w:val="24"/>
              </w:rPr>
              <w:t>等特点，使用寿命约为</w:t>
            </w:r>
            <w:r>
              <w:rPr>
                <w:rFonts w:ascii="Times New Roman" w:hAnsi="Times New Roman" w:eastAsia="宋体" w:cs="Times New Roman"/>
                <w:sz w:val="24"/>
              </w:rPr>
              <w:t>1</w:t>
            </w:r>
            <w:r>
              <w:rPr>
                <w:rFonts w:hint="eastAsia" w:ascii="Times New Roman" w:hAnsi="Times New Roman" w:eastAsia="宋体" w:cs="Times New Roman"/>
                <w:sz w:val="24"/>
              </w:rPr>
              <w:t>年。项目</w:t>
            </w:r>
            <w:r>
              <w:rPr>
                <w:rFonts w:ascii="Times New Roman" w:hAnsi="Times New Roman" w:eastAsia="宋体" w:cs="Times New Roman"/>
                <w:sz w:val="24"/>
              </w:rPr>
              <w:t>1</w:t>
            </w:r>
            <w:r>
              <w:rPr>
                <w:rFonts w:hint="eastAsia" w:ascii="Times New Roman" w:hAnsi="Times New Roman" w:eastAsia="宋体" w:cs="Times New Roman"/>
                <w:sz w:val="24"/>
              </w:rPr>
              <w:t>套催化燃烧装置的催化剂装填量约为</w:t>
            </w:r>
            <w:r>
              <w:rPr>
                <w:rFonts w:ascii="Times New Roman" w:hAnsi="Times New Roman" w:eastAsia="宋体" w:cs="Times New Roman"/>
                <w:sz w:val="24"/>
              </w:rPr>
              <w:t>0.02t</w:t>
            </w:r>
            <w:r>
              <w:rPr>
                <w:rFonts w:hint="eastAsia" w:ascii="Times New Roman" w:hAnsi="Times New Roman" w:eastAsia="宋体" w:cs="Times New Roman"/>
                <w:sz w:val="24"/>
              </w:rPr>
              <w:t>，则废催化剂的产生量约为</w:t>
            </w:r>
            <w:r>
              <w:rPr>
                <w:rFonts w:ascii="Times New Roman" w:hAnsi="Times New Roman" w:eastAsia="宋体" w:cs="Times New Roman"/>
                <w:sz w:val="24"/>
              </w:rPr>
              <w:t>0.02t/a</w:t>
            </w:r>
            <w:r>
              <w:rPr>
                <w:rFonts w:hint="eastAsia" w:ascii="Times New Roman" w:hAnsi="Times New Roman" w:eastAsia="宋体" w:cs="Times New Roman"/>
                <w:sz w:val="24"/>
              </w:rPr>
              <w:t>，</w:t>
            </w:r>
            <w:r>
              <w:rPr>
                <w:rFonts w:ascii="Times New Roman" w:hAnsi="Times New Roman" w:eastAsia="宋体" w:cs="Times New Roman"/>
                <w:sz w:val="24"/>
              </w:rPr>
              <w:t>属于危险废物（HW49，900-039-49）</w:t>
            </w:r>
            <w:r>
              <w:rPr>
                <w:rFonts w:hint="eastAsia" w:ascii="Times New Roman" w:hAnsi="Times New Roman" w:eastAsia="宋体" w:cs="Times New Roman"/>
                <w:sz w:val="24"/>
              </w:rPr>
              <w:t>。</w:t>
            </w:r>
          </w:p>
          <w:p>
            <w:pPr>
              <w:tabs>
                <w:tab w:val="left" w:pos="0"/>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w:r>
              <w:rPr>
                <w:rFonts w:ascii="Times New Roman" w:hAnsi="Times New Roman" w:eastAsia="宋体" w:cs="Times New Roman"/>
                <w:sz w:val="24"/>
              </w:rPr>
              <w:t>废</w:t>
            </w:r>
            <w:r>
              <w:rPr>
                <w:rFonts w:hint="eastAsia" w:ascii="Times New Roman" w:hAnsi="Times New Roman" w:eastAsia="宋体" w:cs="Times New Roman"/>
                <w:sz w:val="24"/>
              </w:rPr>
              <w:t>机油</w:t>
            </w:r>
          </w:p>
          <w:p>
            <w:pPr>
              <w:tabs>
                <w:tab w:val="left" w:pos="0"/>
              </w:tabs>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szCs w:val="24"/>
              </w:rPr>
              <w:t>本项目生产过程中设备维护、汽车维修使用机油，产生废机油产生量为</w:t>
            </w:r>
            <w:r>
              <w:rPr>
                <w:rFonts w:ascii="Times New Roman" w:hAnsi="Times New Roman" w:eastAsia="宋体" w:cs="Times New Roman"/>
                <w:sz w:val="24"/>
                <w:szCs w:val="24"/>
              </w:rPr>
              <w:t>0.15</w:t>
            </w:r>
            <w:r>
              <w:rPr>
                <w:rFonts w:hint="eastAsia" w:ascii="Times New Roman" w:hAnsi="Times New Roman" w:eastAsia="宋体" w:cs="Times New Roman"/>
                <w:sz w:val="24"/>
                <w:szCs w:val="24"/>
              </w:rPr>
              <w:t>t/a，属于《国家危险废物名录（2021版）》中HW</w:t>
            </w:r>
            <w:r>
              <w:rPr>
                <w:rFonts w:ascii="Times New Roman" w:hAnsi="Times New Roman" w:eastAsia="宋体" w:cs="Times New Roman"/>
                <w:sz w:val="24"/>
                <w:szCs w:val="24"/>
              </w:rPr>
              <w:t>08</w:t>
            </w:r>
            <w:r>
              <w:rPr>
                <w:rFonts w:hint="eastAsia" w:ascii="Times New Roman" w:hAnsi="Times New Roman" w:eastAsia="宋体" w:cs="Times New Roman"/>
                <w:sz w:val="24"/>
                <w:szCs w:val="24"/>
              </w:rPr>
              <w:t>废矿物油与含矿物油废物，废物代码900-21</w:t>
            </w:r>
            <w:r>
              <w:rPr>
                <w:rFonts w:ascii="Times New Roman" w:hAnsi="Times New Roman" w:eastAsia="宋体" w:cs="Times New Roman"/>
                <w:sz w:val="24"/>
                <w:szCs w:val="24"/>
              </w:rPr>
              <w:t>7</w:t>
            </w:r>
            <w:r>
              <w:rPr>
                <w:rFonts w:hint="eastAsia" w:ascii="Times New Roman" w:hAnsi="Times New Roman" w:eastAsia="宋体" w:cs="Times New Roman"/>
                <w:sz w:val="24"/>
                <w:szCs w:val="24"/>
              </w:rPr>
              <w:t>-08，暂存于危废暂存库，定期交由有资质的单位回收处置</w:t>
            </w:r>
            <w:r>
              <w:rPr>
                <w:rFonts w:ascii="Times New Roman" w:hAnsi="Times New Roman" w:eastAsia="宋体" w:cs="Times New Roman"/>
                <w:sz w:val="24"/>
                <w:szCs w:val="24"/>
              </w:rPr>
              <w:t>。</w:t>
            </w:r>
          </w:p>
          <w:p>
            <w:pPr>
              <w:tabs>
                <w:tab w:val="left" w:pos="0"/>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szCs w:val="24"/>
              </w:rPr>
              <w:t>（12）</w:t>
            </w:r>
            <w:r>
              <w:rPr>
                <w:rFonts w:ascii="Times New Roman" w:hAnsi="Times New Roman" w:eastAsia="宋体" w:cs="Times New Roman"/>
                <w:sz w:val="24"/>
              </w:rPr>
              <w:t>废</w:t>
            </w:r>
            <w:r>
              <w:rPr>
                <w:rFonts w:hint="eastAsia" w:ascii="Times New Roman" w:hAnsi="Times New Roman" w:eastAsia="宋体" w:cs="Times New Roman"/>
                <w:sz w:val="24"/>
              </w:rPr>
              <w:t>切削液</w:t>
            </w:r>
          </w:p>
          <w:p>
            <w:pPr>
              <w:tabs>
                <w:tab w:val="left" w:pos="0"/>
              </w:tabs>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szCs w:val="24"/>
              </w:rPr>
              <w:t>本项目生产过程中数控车床使用</w:t>
            </w:r>
            <w:r>
              <w:rPr>
                <w:rFonts w:hint="eastAsia" w:ascii="Times New Roman" w:hAnsi="Times New Roman" w:eastAsia="宋体" w:cs="Times New Roman"/>
                <w:sz w:val="24"/>
              </w:rPr>
              <w:t>切削液</w:t>
            </w:r>
            <w:r>
              <w:rPr>
                <w:rFonts w:hint="eastAsia" w:ascii="Times New Roman" w:hAnsi="Times New Roman" w:eastAsia="宋体" w:cs="Times New Roman"/>
                <w:sz w:val="24"/>
                <w:szCs w:val="24"/>
              </w:rPr>
              <w:t>，产生废</w:t>
            </w:r>
            <w:r>
              <w:rPr>
                <w:rFonts w:hint="eastAsia" w:ascii="Times New Roman" w:hAnsi="Times New Roman" w:eastAsia="宋体" w:cs="Times New Roman"/>
                <w:sz w:val="24"/>
              </w:rPr>
              <w:t>切削液</w:t>
            </w:r>
            <w:r>
              <w:rPr>
                <w:rFonts w:hint="eastAsia" w:ascii="Times New Roman" w:hAnsi="Times New Roman" w:eastAsia="宋体" w:cs="Times New Roman"/>
                <w:sz w:val="24"/>
                <w:szCs w:val="24"/>
              </w:rPr>
              <w:t>产生量为</w:t>
            </w:r>
            <w:r>
              <w:rPr>
                <w:rFonts w:ascii="Times New Roman" w:hAnsi="Times New Roman" w:eastAsia="宋体" w:cs="Times New Roman"/>
                <w:sz w:val="24"/>
                <w:szCs w:val="24"/>
              </w:rPr>
              <w:t>0.43</w:t>
            </w:r>
            <w:r>
              <w:rPr>
                <w:rFonts w:hint="eastAsia" w:ascii="Times New Roman" w:hAnsi="Times New Roman" w:eastAsia="宋体" w:cs="Times New Roman"/>
                <w:sz w:val="24"/>
                <w:szCs w:val="24"/>
              </w:rPr>
              <w:t>t/a，属于《国家危险废物名录（2021版）》中HW</w:t>
            </w:r>
            <w:r>
              <w:rPr>
                <w:rFonts w:ascii="Times New Roman" w:hAnsi="Times New Roman" w:eastAsia="宋体" w:cs="Times New Roman"/>
                <w:sz w:val="24"/>
                <w:szCs w:val="24"/>
              </w:rPr>
              <w:t>09</w:t>
            </w:r>
            <w:r>
              <w:rPr>
                <w:rFonts w:hint="eastAsia" w:ascii="Times New Roman" w:hAnsi="Times New Roman" w:eastAsia="宋体" w:cs="Times New Roman"/>
                <w:sz w:val="24"/>
                <w:szCs w:val="24"/>
              </w:rPr>
              <w:t>油/水、烃水混合物或乳化液，废物代码900-006-09，暂存于危废暂存库，定期交由有资质的单位回收处置</w:t>
            </w:r>
            <w:r>
              <w:rPr>
                <w:rFonts w:ascii="Times New Roman" w:hAnsi="Times New Roman" w:eastAsia="宋体" w:cs="Times New Roman"/>
                <w:sz w:val="24"/>
                <w:szCs w:val="24"/>
              </w:rPr>
              <w:t>。</w:t>
            </w:r>
          </w:p>
          <w:p>
            <w:pPr>
              <w:tabs>
                <w:tab w:val="left" w:pos="0"/>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（13）生活垃圾</w:t>
            </w:r>
          </w:p>
          <w:p>
            <w:pPr>
              <w:tabs>
                <w:tab w:val="left" w:pos="0"/>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szCs w:val="24"/>
              </w:rPr>
              <w:t>项目</w:t>
            </w:r>
            <w:r>
              <w:rPr>
                <w:rFonts w:hint="eastAsia" w:ascii="Times New Roman" w:hAnsi="Times New Roman" w:eastAsia="宋体" w:cs="Times New Roman"/>
                <w:sz w:val="24"/>
                <w:szCs w:val="24"/>
              </w:rPr>
              <w:t>新增</w:t>
            </w:r>
            <w:r>
              <w:rPr>
                <w:rFonts w:ascii="Times New Roman" w:hAnsi="Times New Roman" w:eastAsia="宋体" w:cs="Times New Roman"/>
                <w:sz w:val="24"/>
                <w:szCs w:val="24"/>
              </w:rPr>
              <w:t>劳动定员20人，生活垃圾产生量按</w:t>
            </w:r>
            <w:r>
              <w:rPr>
                <w:rFonts w:hint="eastAsia" w:ascii="Times New Roman" w:hAnsi="Times New Roman" w:eastAsia="宋体" w:cs="Times New Roman"/>
                <w:sz w:val="24"/>
                <w:szCs w:val="24"/>
              </w:rPr>
              <w:t>0.5</w:t>
            </w:r>
            <w:r>
              <w:rPr>
                <w:rFonts w:ascii="Times New Roman" w:hAnsi="Times New Roman" w:eastAsia="宋体" w:cs="Times New Roman"/>
                <w:sz w:val="24"/>
                <w:szCs w:val="24"/>
              </w:rPr>
              <w:t>kg/（人·d）计，则本项目生活垃圾产生量为2.8t/a，集中收集后由环卫统一清运。</w:t>
            </w:r>
          </w:p>
          <w:p>
            <w:pPr>
              <w:tabs>
                <w:tab w:val="left" w:pos="0"/>
              </w:tabs>
              <w:spacing w:line="360" w:lineRule="auto"/>
              <w:ind w:firstLine="480" w:firstLineChars="200"/>
              <w:rPr>
                <w:rFonts w:ascii="Times New Roman" w:hAnsi="Times New Roman" w:eastAsia="宋体" w:cs="Times New Roman"/>
                <w:sz w:val="24"/>
              </w:rPr>
            </w:pPr>
            <w:r>
              <w:rPr>
                <w:rFonts w:hint="eastAsia" w:ascii="Times New Roman" w:hAnsi="Times New Roman" w:eastAsia="宋体"/>
                <w:sz w:val="24"/>
              </w:rPr>
              <w:t>项目固废产生及处置方式见下表。</w:t>
            </w:r>
          </w:p>
          <w:p>
            <w:pPr>
              <w:pStyle w:val="84"/>
              <w:spacing w:line="360" w:lineRule="auto"/>
              <w:rPr>
                <w:bCs/>
              </w:rPr>
            </w:pPr>
            <w:r>
              <w:t>表4-</w:t>
            </w:r>
            <w:r>
              <w:rPr>
                <w:rFonts w:hint="eastAsia"/>
              </w:rPr>
              <w:t>1</w:t>
            </w:r>
            <w:r>
              <w:t>4  项目固废汇总表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866"/>
              <w:gridCol w:w="884"/>
              <w:gridCol w:w="732"/>
              <w:gridCol w:w="703"/>
              <w:gridCol w:w="1196"/>
              <w:gridCol w:w="144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b/>
                      <w:bCs/>
                    </w:rPr>
                  </w:pPr>
                  <w:r>
                    <w:rPr>
                      <w:rFonts w:ascii="Times New Roman" w:hAnsi="Times New Roman" w:eastAsia="宋体"/>
                      <w:b/>
                      <w:bCs/>
                    </w:rPr>
                    <w:t>固废名称</w:t>
                  </w:r>
                </w:p>
              </w:tc>
              <w:tc>
                <w:tcPr>
                  <w:tcW w:w="866" w:type="dxa"/>
                  <w:vAlign w:val="center"/>
                </w:tcPr>
                <w:p>
                  <w:pPr>
                    <w:adjustRightInd w:val="0"/>
                    <w:snapToGrid w:val="0"/>
                    <w:jc w:val="center"/>
                    <w:textAlignment w:val="baseline"/>
                    <w:rPr>
                      <w:rFonts w:ascii="Times New Roman" w:hAnsi="Times New Roman" w:eastAsia="宋体"/>
                      <w:b/>
                      <w:bCs/>
                    </w:rPr>
                  </w:pPr>
                  <w:r>
                    <w:rPr>
                      <w:rFonts w:hint="eastAsia" w:ascii="Times New Roman" w:hAnsi="Times New Roman" w:eastAsia="宋体"/>
                      <w:b/>
                      <w:bCs/>
                    </w:rPr>
                    <w:t>产生环节</w:t>
                  </w:r>
                </w:p>
              </w:tc>
              <w:tc>
                <w:tcPr>
                  <w:tcW w:w="884" w:type="dxa"/>
                  <w:vAlign w:val="center"/>
                </w:tcPr>
                <w:p>
                  <w:pPr>
                    <w:adjustRightInd w:val="0"/>
                    <w:snapToGrid w:val="0"/>
                    <w:jc w:val="center"/>
                    <w:textAlignment w:val="baseline"/>
                    <w:rPr>
                      <w:rFonts w:ascii="Times New Roman" w:hAnsi="Times New Roman" w:eastAsia="宋体"/>
                      <w:b/>
                      <w:bCs/>
                    </w:rPr>
                  </w:pPr>
                  <w:r>
                    <w:rPr>
                      <w:rFonts w:ascii="Times New Roman" w:hAnsi="Times New Roman" w:eastAsia="宋体"/>
                      <w:b/>
                      <w:bCs/>
                    </w:rPr>
                    <w:t>产生量（t/a）</w:t>
                  </w:r>
                </w:p>
              </w:tc>
              <w:tc>
                <w:tcPr>
                  <w:tcW w:w="732" w:type="dxa"/>
                  <w:vAlign w:val="center"/>
                </w:tcPr>
                <w:p>
                  <w:pPr>
                    <w:adjustRightInd w:val="0"/>
                    <w:snapToGrid w:val="0"/>
                    <w:jc w:val="center"/>
                    <w:textAlignment w:val="baseline"/>
                    <w:rPr>
                      <w:rFonts w:ascii="Times New Roman" w:hAnsi="Times New Roman" w:eastAsia="宋体"/>
                      <w:b/>
                      <w:bCs/>
                    </w:rPr>
                  </w:pPr>
                  <w:r>
                    <w:rPr>
                      <w:rFonts w:ascii="Times New Roman" w:hAnsi="Times New Roman" w:eastAsia="宋体"/>
                      <w:b/>
                      <w:bCs/>
                    </w:rPr>
                    <w:t>性质</w:t>
                  </w:r>
                </w:p>
              </w:tc>
              <w:tc>
                <w:tcPr>
                  <w:tcW w:w="703" w:type="dxa"/>
                  <w:vAlign w:val="center"/>
                </w:tcPr>
                <w:p>
                  <w:pPr>
                    <w:topLinePunct/>
                    <w:adjustRightInd w:val="0"/>
                    <w:snapToGrid w:val="0"/>
                    <w:jc w:val="center"/>
                    <w:rPr>
                      <w:rFonts w:ascii="Times New Roman" w:hAnsi="Times New Roman" w:eastAsia="宋体"/>
                      <w:b/>
                      <w:bCs/>
                    </w:rPr>
                  </w:pPr>
                  <w:r>
                    <w:rPr>
                      <w:rFonts w:hint="eastAsia" w:ascii="Times New Roman" w:hAnsi="Times New Roman" w:eastAsia="宋体"/>
                      <w:b/>
                      <w:bCs/>
                    </w:rPr>
                    <w:t>固废</w:t>
                  </w:r>
                  <w:r>
                    <w:rPr>
                      <w:rFonts w:ascii="Times New Roman" w:hAnsi="Times New Roman" w:eastAsia="宋体"/>
                      <w:b/>
                      <w:bCs/>
                    </w:rPr>
                    <w:t>类别</w:t>
                  </w:r>
                </w:p>
              </w:tc>
              <w:tc>
                <w:tcPr>
                  <w:tcW w:w="1196" w:type="dxa"/>
                  <w:vAlign w:val="center"/>
                </w:tcPr>
                <w:p>
                  <w:pPr>
                    <w:topLinePunct/>
                    <w:adjustRightInd w:val="0"/>
                    <w:snapToGrid w:val="0"/>
                    <w:jc w:val="center"/>
                    <w:rPr>
                      <w:rFonts w:ascii="Times New Roman" w:hAnsi="Times New Roman" w:eastAsia="宋体"/>
                      <w:b/>
                      <w:bCs/>
                    </w:rPr>
                  </w:pPr>
                  <w:r>
                    <w:rPr>
                      <w:rFonts w:hint="eastAsia" w:ascii="Times New Roman" w:hAnsi="Times New Roman" w:eastAsia="宋体"/>
                      <w:b/>
                      <w:bCs/>
                    </w:rPr>
                    <w:t>固废</w:t>
                  </w:r>
                  <w:r>
                    <w:rPr>
                      <w:rFonts w:ascii="Times New Roman" w:hAnsi="Times New Roman" w:eastAsia="宋体"/>
                      <w:b/>
                      <w:bCs/>
                    </w:rPr>
                    <w:t>代码</w:t>
                  </w:r>
                </w:p>
              </w:tc>
              <w:tc>
                <w:tcPr>
                  <w:tcW w:w="1441" w:type="dxa"/>
                  <w:vAlign w:val="center"/>
                </w:tcPr>
                <w:p>
                  <w:pPr>
                    <w:topLinePunct/>
                    <w:adjustRightInd w:val="0"/>
                    <w:snapToGrid w:val="0"/>
                    <w:jc w:val="center"/>
                    <w:rPr>
                      <w:rFonts w:ascii="Times New Roman" w:hAnsi="Times New Roman" w:eastAsia="宋体"/>
                      <w:b/>
                      <w:bCs/>
                      <w:kern w:val="0"/>
                    </w:rPr>
                  </w:pPr>
                  <w:r>
                    <w:rPr>
                      <w:rFonts w:hint="eastAsia" w:ascii="Times New Roman" w:hAnsi="Times New Roman" w:eastAsia="宋体"/>
                      <w:b/>
                      <w:bCs/>
                      <w:kern w:val="0"/>
                    </w:rPr>
                    <w:t>收集暂存方式</w:t>
                  </w:r>
                </w:p>
              </w:tc>
              <w:tc>
                <w:tcPr>
                  <w:tcW w:w="856" w:type="dxa"/>
                  <w:vAlign w:val="center"/>
                </w:tcPr>
                <w:p>
                  <w:pPr>
                    <w:topLinePunct/>
                    <w:adjustRightInd w:val="0"/>
                    <w:snapToGrid w:val="0"/>
                    <w:jc w:val="center"/>
                    <w:rPr>
                      <w:rFonts w:ascii="Times New Roman" w:hAnsi="Times New Roman" w:eastAsia="宋体"/>
                      <w:b/>
                      <w:bCs/>
                      <w:kern w:val="0"/>
                    </w:rPr>
                  </w:pPr>
                  <w:r>
                    <w:rPr>
                      <w:rFonts w:ascii="Times New Roman" w:hAnsi="Times New Roman" w:eastAsia="宋体"/>
                      <w:b/>
                      <w:bCs/>
                      <w:kern w:val="0"/>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cs="Times New Roman"/>
                    </w:rPr>
                    <w:t>除尘器收集粉尘</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生产</w:t>
                  </w:r>
                  <w:r>
                    <w:rPr>
                      <w:rFonts w:ascii="Times New Roman" w:hAnsi="Times New Roman" w:eastAsia="宋体"/>
                    </w:rPr>
                    <w:t>过程</w:t>
                  </w:r>
                </w:p>
              </w:tc>
              <w:tc>
                <w:tcPr>
                  <w:tcW w:w="884"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0.017</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一般固废</w:t>
                  </w:r>
                </w:p>
              </w:tc>
              <w:tc>
                <w:tcPr>
                  <w:tcW w:w="703" w:type="dxa"/>
                  <w:vAlign w:val="center"/>
                </w:tcPr>
                <w:p>
                  <w:pPr>
                    <w:topLinePunct/>
                    <w:adjustRightInd w:val="0"/>
                    <w:snapToGrid w:val="0"/>
                    <w:jc w:val="center"/>
                    <w:rPr>
                      <w:rFonts w:ascii="Times New Roman" w:hAnsi="Times New Roman" w:eastAsia="宋体"/>
                    </w:rPr>
                  </w:pPr>
                  <w:r>
                    <w:rPr>
                      <w:rFonts w:ascii="Times New Roman" w:hAnsi="Times New Roman" w:eastAsia="宋体"/>
                    </w:rPr>
                    <w:t>66</w:t>
                  </w:r>
                </w:p>
              </w:tc>
              <w:tc>
                <w:tcPr>
                  <w:tcW w:w="1196" w:type="dxa"/>
                  <w:vAlign w:val="center"/>
                </w:tcPr>
                <w:p>
                  <w:pPr>
                    <w:topLinePunct/>
                    <w:adjustRightInd w:val="0"/>
                    <w:snapToGrid w:val="0"/>
                    <w:jc w:val="center"/>
                    <w:rPr>
                      <w:rFonts w:ascii="Times New Roman" w:hAnsi="Times New Roman" w:eastAsia="宋体"/>
                    </w:rPr>
                  </w:pPr>
                  <w:r>
                    <w:rPr>
                      <w:rFonts w:ascii="Times New Roman" w:hAnsi="Times New Roman" w:eastAsia="宋体"/>
                    </w:rPr>
                    <w:t>900-999-66</w:t>
                  </w:r>
                </w:p>
              </w:tc>
              <w:tc>
                <w:tcPr>
                  <w:tcW w:w="1441"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库房内暂存</w:t>
                  </w:r>
                </w:p>
              </w:tc>
              <w:tc>
                <w:tcPr>
                  <w:tcW w:w="856"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收集后回用于生产中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废边角料</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生产</w:t>
                  </w:r>
                  <w:r>
                    <w:rPr>
                      <w:rFonts w:ascii="Times New Roman" w:hAnsi="Times New Roman" w:eastAsia="宋体"/>
                    </w:rPr>
                    <w:t>过程</w:t>
                  </w:r>
                </w:p>
              </w:tc>
              <w:tc>
                <w:tcPr>
                  <w:tcW w:w="884"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0.8</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一般固废</w:t>
                  </w:r>
                </w:p>
              </w:tc>
              <w:tc>
                <w:tcPr>
                  <w:tcW w:w="703" w:type="dxa"/>
                  <w:vAlign w:val="center"/>
                </w:tcPr>
                <w:p>
                  <w:pPr>
                    <w:topLinePunct/>
                    <w:adjustRightInd w:val="0"/>
                    <w:snapToGrid w:val="0"/>
                    <w:jc w:val="center"/>
                    <w:rPr>
                      <w:rFonts w:ascii="Times New Roman" w:hAnsi="Times New Roman" w:eastAsia="宋体"/>
                    </w:rPr>
                  </w:pPr>
                  <w:r>
                    <w:rPr>
                      <w:rFonts w:ascii="Times New Roman" w:hAnsi="Times New Roman" w:eastAsia="宋体"/>
                    </w:rPr>
                    <w:t>99</w:t>
                  </w:r>
                </w:p>
              </w:tc>
              <w:tc>
                <w:tcPr>
                  <w:tcW w:w="1196" w:type="dxa"/>
                  <w:vAlign w:val="center"/>
                </w:tcPr>
                <w:p>
                  <w:pPr>
                    <w:topLinePunct/>
                    <w:adjustRightInd w:val="0"/>
                    <w:snapToGrid w:val="0"/>
                    <w:jc w:val="center"/>
                    <w:rPr>
                      <w:rFonts w:ascii="Times New Roman" w:hAnsi="Times New Roman" w:eastAsia="宋体"/>
                    </w:rPr>
                  </w:pPr>
                  <w:r>
                    <w:rPr>
                      <w:rFonts w:ascii="Times New Roman" w:hAnsi="Times New Roman" w:eastAsia="宋体"/>
                    </w:rPr>
                    <w:t>900-999-99</w:t>
                  </w:r>
                </w:p>
              </w:tc>
              <w:tc>
                <w:tcPr>
                  <w:tcW w:w="1441"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库房内暂存</w:t>
                  </w:r>
                </w:p>
              </w:tc>
              <w:tc>
                <w:tcPr>
                  <w:tcW w:w="856"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出售给废品回收站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废砂纸</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生产</w:t>
                  </w:r>
                  <w:r>
                    <w:rPr>
                      <w:rFonts w:ascii="Times New Roman" w:hAnsi="Times New Roman" w:eastAsia="宋体"/>
                    </w:rPr>
                    <w:t>过程</w:t>
                  </w:r>
                </w:p>
              </w:tc>
              <w:tc>
                <w:tcPr>
                  <w:tcW w:w="884"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0</w:t>
                  </w:r>
                  <w:r>
                    <w:rPr>
                      <w:rFonts w:ascii="Times New Roman" w:hAnsi="Times New Roman" w:eastAsia="宋体"/>
                    </w:rPr>
                    <w:t>.1</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一般固废</w:t>
                  </w:r>
                </w:p>
              </w:tc>
              <w:tc>
                <w:tcPr>
                  <w:tcW w:w="703" w:type="dxa"/>
                  <w:vAlign w:val="center"/>
                </w:tcPr>
                <w:p>
                  <w:pPr>
                    <w:topLinePunct/>
                    <w:adjustRightInd w:val="0"/>
                    <w:snapToGrid w:val="0"/>
                    <w:jc w:val="center"/>
                    <w:rPr>
                      <w:rFonts w:ascii="Times New Roman" w:hAnsi="Times New Roman" w:eastAsia="宋体"/>
                    </w:rPr>
                  </w:pPr>
                  <w:r>
                    <w:rPr>
                      <w:rFonts w:ascii="Times New Roman" w:hAnsi="Times New Roman" w:eastAsia="宋体"/>
                    </w:rPr>
                    <w:t>99</w:t>
                  </w:r>
                </w:p>
              </w:tc>
              <w:tc>
                <w:tcPr>
                  <w:tcW w:w="1196" w:type="dxa"/>
                  <w:vAlign w:val="center"/>
                </w:tcPr>
                <w:p>
                  <w:pPr>
                    <w:topLinePunct/>
                    <w:adjustRightInd w:val="0"/>
                    <w:snapToGrid w:val="0"/>
                    <w:jc w:val="center"/>
                    <w:rPr>
                      <w:rFonts w:ascii="Times New Roman" w:hAnsi="Times New Roman" w:eastAsia="宋体"/>
                    </w:rPr>
                  </w:pPr>
                  <w:r>
                    <w:rPr>
                      <w:rFonts w:ascii="Times New Roman" w:hAnsi="Times New Roman" w:eastAsia="宋体"/>
                    </w:rPr>
                    <w:t>900-999-99</w:t>
                  </w:r>
                </w:p>
              </w:tc>
              <w:tc>
                <w:tcPr>
                  <w:tcW w:w="1441"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库房内暂存</w:t>
                  </w:r>
                </w:p>
              </w:tc>
              <w:tc>
                <w:tcPr>
                  <w:tcW w:w="856" w:type="dxa"/>
                  <w:vAlign w:val="center"/>
                </w:tcPr>
                <w:p>
                  <w:pPr>
                    <w:topLinePunct/>
                    <w:adjustRightInd w:val="0"/>
                    <w:snapToGrid w:val="0"/>
                    <w:jc w:val="center"/>
                    <w:rPr>
                      <w:rFonts w:ascii="Times New Roman" w:hAnsi="Times New Roman" w:eastAsia="宋体"/>
                    </w:rPr>
                  </w:pPr>
                  <w:r>
                    <w:rPr>
                      <w:rFonts w:ascii="Times New Roman" w:hAnsi="Times New Roman" w:eastAsia="宋体"/>
                    </w:rPr>
                    <w:t>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废水性漆桶</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原料包装</w:t>
                  </w:r>
                </w:p>
              </w:tc>
              <w:tc>
                <w:tcPr>
                  <w:tcW w:w="884"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0.39</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一般固废</w:t>
                  </w:r>
                </w:p>
              </w:tc>
              <w:tc>
                <w:tcPr>
                  <w:tcW w:w="703" w:type="dxa"/>
                  <w:vAlign w:val="center"/>
                </w:tcPr>
                <w:p>
                  <w:pPr>
                    <w:topLinePunct/>
                    <w:adjustRightInd w:val="0"/>
                    <w:snapToGrid w:val="0"/>
                    <w:jc w:val="center"/>
                    <w:rPr>
                      <w:rFonts w:ascii="Times New Roman" w:hAnsi="Times New Roman" w:eastAsia="宋体"/>
                    </w:rPr>
                  </w:pPr>
                  <w:r>
                    <w:rPr>
                      <w:rFonts w:ascii="Times New Roman" w:hAnsi="Times New Roman" w:eastAsia="宋体"/>
                    </w:rPr>
                    <w:t>99</w:t>
                  </w:r>
                </w:p>
              </w:tc>
              <w:tc>
                <w:tcPr>
                  <w:tcW w:w="1196" w:type="dxa"/>
                  <w:vAlign w:val="center"/>
                </w:tcPr>
                <w:p>
                  <w:pPr>
                    <w:topLinePunct/>
                    <w:adjustRightInd w:val="0"/>
                    <w:snapToGrid w:val="0"/>
                    <w:jc w:val="center"/>
                    <w:rPr>
                      <w:rFonts w:ascii="Times New Roman" w:hAnsi="Times New Roman" w:eastAsia="宋体"/>
                    </w:rPr>
                  </w:pPr>
                  <w:r>
                    <w:rPr>
                      <w:rFonts w:ascii="Times New Roman" w:hAnsi="Times New Roman" w:eastAsia="宋体"/>
                    </w:rPr>
                    <w:t>900-999-99</w:t>
                  </w:r>
                </w:p>
              </w:tc>
              <w:tc>
                <w:tcPr>
                  <w:tcW w:w="1441"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库房内暂存</w:t>
                  </w:r>
                </w:p>
              </w:tc>
              <w:tc>
                <w:tcPr>
                  <w:tcW w:w="856"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厂家回收利用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废抹布及手套</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生产</w:t>
                  </w:r>
                  <w:r>
                    <w:rPr>
                      <w:rFonts w:ascii="Times New Roman" w:hAnsi="Times New Roman" w:eastAsia="宋体"/>
                    </w:rPr>
                    <w:t>过程</w:t>
                  </w:r>
                </w:p>
              </w:tc>
              <w:tc>
                <w:tcPr>
                  <w:tcW w:w="884"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0.0001</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危废</w:t>
                  </w:r>
                </w:p>
              </w:tc>
              <w:tc>
                <w:tcPr>
                  <w:tcW w:w="703" w:type="dxa"/>
                  <w:vAlign w:val="center"/>
                </w:tcPr>
                <w:p>
                  <w:pPr>
                    <w:topLinePunct/>
                    <w:adjustRightInd w:val="0"/>
                    <w:snapToGrid w:val="0"/>
                    <w:jc w:val="center"/>
                    <w:rPr>
                      <w:rFonts w:ascii="Times New Roman" w:hAnsi="Times New Roman" w:eastAsia="宋体"/>
                    </w:rPr>
                  </w:pPr>
                  <w:r>
                    <w:rPr>
                      <w:rFonts w:ascii="Times New Roman" w:hAnsi="Times New Roman" w:eastAsia="宋体"/>
                    </w:rPr>
                    <w:t>HW49</w:t>
                  </w:r>
                </w:p>
              </w:tc>
              <w:tc>
                <w:tcPr>
                  <w:tcW w:w="1196"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900-0</w:t>
                  </w:r>
                  <w:r>
                    <w:rPr>
                      <w:rFonts w:ascii="Times New Roman" w:hAnsi="Times New Roman" w:eastAsia="宋体"/>
                    </w:rPr>
                    <w:t>41</w:t>
                  </w:r>
                  <w:r>
                    <w:rPr>
                      <w:rFonts w:hint="eastAsia" w:ascii="Times New Roman" w:hAnsi="Times New Roman" w:eastAsia="宋体"/>
                    </w:rPr>
                    <w:t>-</w:t>
                  </w:r>
                  <w:r>
                    <w:rPr>
                      <w:rFonts w:ascii="Times New Roman" w:hAnsi="Times New Roman" w:eastAsia="宋体"/>
                    </w:rPr>
                    <w:t>49</w:t>
                  </w:r>
                </w:p>
              </w:tc>
              <w:tc>
                <w:tcPr>
                  <w:tcW w:w="1441" w:type="dxa"/>
                  <w:vMerge w:val="restart"/>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危废间内设收集桶，收集桶内暂存</w:t>
                  </w:r>
                </w:p>
              </w:tc>
              <w:tc>
                <w:tcPr>
                  <w:tcW w:w="856" w:type="dxa"/>
                  <w:vMerge w:val="restart"/>
                  <w:vAlign w:val="center"/>
                </w:tcPr>
                <w:p>
                  <w:pPr>
                    <w:topLinePunct/>
                    <w:adjustRightInd w:val="0"/>
                    <w:snapToGrid w:val="0"/>
                    <w:jc w:val="center"/>
                    <w:rPr>
                      <w:rFonts w:ascii="Times New Roman" w:hAnsi="Times New Roman" w:eastAsia="宋体"/>
                    </w:rPr>
                  </w:pPr>
                  <w:r>
                    <w:rPr>
                      <w:rFonts w:ascii="Times New Roman" w:hAnsi="Times New Roman" w:eastAsia="宋体"/>
                    </w:rPr>
                    <w:t>交</w:t>
                  </w:r>
                  <w:r>
                    <w:rPr>
                      <w:rFonts w:hint="eastAsia" w:ascii="Times New Roman" w:hAnsi="Times New Roman" w:eastAsia="宋体"/>
                    </w:rPr>
                    <w:t>有资质单位</w:t>
                  </w:r>
                  <w:r>
                    <w:rPr>
                      <w:rFonts w:ascii="Times New Roman" w:hAnsi="Times New Roman" w:eastAsia="宋体"/>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废涂料桶</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原料包装</w:t>
                  </w:r>
                </w:p>
              </w:tc>
              <w:tc>
                <w:tcPr>
                  <w:tcW w:w="884"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0.26</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危废</w:t>
                  </w:r>
                </w:p>
              </w:tc>
              <w:tc>
                <w:tcPr>
                  <w:tcW w:w="703"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HW49</w:t>
                  </w:r>
                </w:p>
              </w:tc>
              <w:tc>
                <w:tcPr>
                  <w:tcW w:w="1196"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900-041-49</w:t>
                  </w:r>
                </w:p>
              </w:tc>
              <w:tc>
                <w:tcPr>
                  <w:tcW w:w="1441" w:type="dxa"/>
                  <w:vMerge w:val="continue"/>
                  <w:vAlign w:val="center"/>
                </w:tcPr>
                <w:p>
                  <w:pPr>
                    <w:topLinePunct/>
                    <w:adjustRightInd w:val="0"/>
                    <w:snapToGrid w:val="0"/>
                    <w:jc w:val="center"/>
                    <w:rPr>
                      <w:rFonts w:ascii="Times New Roman" w:hAnsi="Times New Roman" w:eastAsia="宋体"/>
                    </w:rPr>
                  </w:pPr>
                </w:p>
              </w:tc>
              <w:tc>
                <w:tcPr>
                  <w:tcW w:w="856" w:type="dxa"/>
                  <w:vMerge w:val="continue"/>
                  <w:vAlign w:val="center"/>
                </w:tcPr>
                <w:p>
                  <w:pPr>
                    <w:topLinePunct/>
                    <w:adjustRightInd w:val="0"/>
                    <w:snapToGrid w:val="0"/>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废漆渣</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生产</w:t>
                  </w:r>
                  <w:r>
                    <w:rPr>
                      <w:rFonts w:ascii="Times New Roman" w:hAnsi="Times New Roman" w:eastAsia="宋体"/>
                    </w:rPr>
                    <w:t>过程</w:t>
                  </w:r>
                </w:p>
              </w:tc>
              <w:tc>
                <w:tcPr>
                  <w:tcW w:w="884"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1.353</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危废</w:t>
                  </w:r>
                </w:p>
              </w:tc>
              <w:tc>
                <w:tcPr>
                  <w:tcW w:w="703"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HW</w:t>
                  </w:r>
                  <w:r>
                    <w:rPr>
                      <w:rFonts w:ascii="Times New Roman" w:hAnsi="Times New Roman" w:eastAsia="宋体"/>
                    </w:rPr>
                    <w:t>12</w:t>
                  </w:r>
                </w:p>
              </w:tc>
              <w:tc>
                <w:tcPr>
                  <w:tcW w:w="1196"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900-</w:t>
                  </w:r>
                  <w:r>
                    <w:rPr>
                      <w:rFonts w:ascii="Times New Roman" w:hAnsi="Times New Roman" w:eastAsia="宋体"/>
                    </w:rPr>
                    <w:t>252</w:t>
                  </w:r>
                  <w:r>
                    <w:rPr>
                      <w:rFonts w:hint="eastAsia" w:ascii="Times New Roman" w:hAnsi="Times New Roman" w:eastAsia="宋体"/>
                    </w:rPr>
                    <w:t>-</w:t>
                  </w:r>
                  <w:r>
                    <w:rPr>
                      <w:rFonts w:ascii="Times New Roman" w:hAnsi="Times New Roman" w:eastAsia="宋体"/>
                    </w:rPr>
                    <w:t>12</w:t>
                  </w:r>
                </w:p>
              </w:tc>
              <w:tc>
                <w:tcPr>
                  <w:tcW w:w="1441" w:type="dxa"/>
                  <w:vMerge w:val="continue"/>
                  <w:vAlign w:val="center"/>
                </w:tcPr>
                <w:p>
                  <w:pPr>
                    <w:topLinePunct/>
                    <w:adjustRightInd w:val="0"/>
                    <w:snapToGrid w:val="0"/>
                    <w:jc w:val="center"/>
                    <w:rPr>
                      <w:rFonts w:ascii="Times New Roman" w:hAnsi="Times New Roman" w:eastAsia="宋体"/>
                    </w:rPr>
                  </w:pPr>
                </w:p>
              </w:tc>
              <w:tc>
                <w:tcPr>
                  <w:tcW w:w="856" w:type="dxa"/>
                  <w:vMerge w:val="continue"/>
                  <w:vAlign w:val="center"/>
                </w:tcPr>
                <w:p>
                  <w:pPr>
                    <w:topLinePunct/>
                    <w:adjustRightInd w:val="0"/>
                    <w:snapToGrid w:val="0"/>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废过滤纸盒</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废气处理</w:t>
                  </w:r>
                </w:p>
              </w:tc>
              <w:tc>
                <w:tcPr>
                  <w:tcW w:w="884"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0.774</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危废</w:t>
                  </w:r>
                </w:p>
              </w:tc>
              <w:tc>
                <w:tcPr>
                  <w:tcW w:w="703"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HW49</w:t>
                  </w:r>
                </w:p>
              </w:tc>
              <w:tc>
                <w:tcPr>
                  <w:tcW w:w="1196"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900-041-49</w:t>
                  </w:r>
                </w:p>
              </w:tc>
              <w:tc>
                <w:tcPr>
                  <w:tcW w:w="1441" w:type="dxa"/>
                  <w:vMerge w:val="continue"/>
                  <w:vAlign w:val="center"/>
                </w:tcPr>
                <w:p>
                  <w:pPr>
                    <w:topLinePunct/>
                    <w:adjustRightInd w:val="0"/>
                    <w:snapToGrid w:val="0"/>
                    <w:jc w:val="center"/>
                    <w:rPr>
                      <w:rFonts w:ascii="Times New Roman" w:hAnsi="Times New Roman" w:eastAsia="宋体"/>
                    </w:rPr>
                  </w:pPr>
                </w:p>
              </w:tc>
              <w:tc>
                <w:tcPr>
                  <w:tcW w:w="856" w:type="dxa"/>
                  <w:vMerge w:val="continue"/>
                  <w:vAlign w:val="center"/>
                </w:tcPr>
                <w:p>
                  <w:pPr>
                    <w:topLinePunct/>
                    <w:adjustRightInd w:val="0"/>
                    <w:snapToGrid w:val="0"/>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废活性炭</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废气处理</w:t>
                  </w:r>
                </w:p>
              </w:tc>
              <w:tc>
                <w:tcPr>
                  <w:tcW w:w="884"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0</w:t>
                  </w:r>
                  <w:r>
                    <w:rPr>
                      <w:rFonts w:ascii="Times New Roman" w:hAnsi="Times New Roman" w:eastAsia="宋体"/>
                    </w:rPr>
                    <w:t>.3</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危废</w:t>
                  </w:r>
                </w:p>
              </w:tc>
              <w:tc>
                <w:tcPr>
                  <w:tcW w:w="703"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HW49</w:t>
                  </w:r>
                </w:p>
              </w:tc>
              <w:tc>
                <w:tcPr>
                  <w:tcW w:w="1196" w:type="dxa"/>
                  <w:vAlign w:val="center"/>
                </w:tcPr>
                <w:p>
                  <w:pPr>
                    <w:topLinePunct/>
                    <w:adjustRightInd w:val="0"/>
                    <w:snapToGrid w:val="0"/>
                    <w:jc w:val="center"/>
                    <w:rPr>
                      <w:rFonts w:ascii="Times New Roman" w:hAnsi="Times New Roman" w:eastAsia="宋体"/>
                    </w:rPr>
                  </w:pPr>
                  <w:r>
                    <w:rPr>
                      <w:rFonts w:ascii="Times New Roman" w:hAnsi="Times New Roman" w:eastAsia="宋体"/>
                    </w:rPr>
                    <w:t>900-039-49</w:t>
                  </w:r>
                </w:p>
              </w:tc>
              <w:tc>
                <w:tcPr>
                  <w:tcW w:w="1441" w:type="dxa"/>
                  <w:vMerge w:val="continue"/>
                  <w:vAlign w:val="center"/>
                </w:tcPr>
                <w:p>
                  <w:pPr>
                    <w:topLinePunct/>
                    <w:adjustRightInd w:val="0"/>
                    <w:snapToGrid w:val="0"/>
                    <w:jc w:val="center"/>
                    <w:rPr>
                      <w:rFonts w:ascii="Times New Roman" w:hAnsi="Times New Roman" w:eastAsia="宋体"/>
                    </w:rPr>
                  </w:pPr>
                </w:p>
              </w:tc>
              <w:tc>
                <w:tcPr>
                  <w:tcW w:w="856" w:type="dxa"/>
                  <w:vMerge w:val="continue"/>
                  <w:vAlign w:val="center"/>
                </w:tcPr>
                <w:p>
                  <w:pPr>
                    <w:topLinePunct/>
                    <w:adjustRightInd w:val="0"/>
                    <w:snapToGrid w:val="0"/>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废催化剂</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废气处理</w:t>
                  </w:r>
                </w:p>
              </w:tc>
              <w:tc>
                <w:tcPr>
                  <w:tcW w:w="884"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0</w:t>
                  </w:r>
                  <w:r>
                    <w:rPr>
                      <w:rFonts w:ascii="Times New Roman" w:hAnsi="Times New Roman" w:eastAsia="宋体"/>
                    </w:rPr>
                    <w:t>.02</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危废</w:t>
                  </w:r>
                </w:p>
              </w:tc>
              <w:tc>
                <w:tcPr>
                  <w:tcW w:w="703" w:type="dxa"/>
                  <w:vAlign w:val="center"/>
                </w:tcPr>
                <w:p>
                  <w:pPr>
                    <w:topLinePunct/>
                    <w:adjustRightInd w:val="0"/>
                    <w:snapToGrid w:val="0"/>
                    <w:jc w:val="center"/>
                    <w:rPr>
                      <w:rFonts w:ascii="Times New Roman" w:hAnsi="Times New Roman" w:eastAsia="宋体"/>
                    </w:rPr>
                  </w:pPr>
                  <w:r>
                    <w:rPr>
                      <w:rFonts w:hint="eastAsia" w:ascii="Times New Roman" w:hAnsi="Times New Roman" w:eastAsia="宋体"/>
                    </w:rPr>
                    <w:t>HW49</w:t>
                  </w:r>
                </w:p>
              </w:tc>
              <w:tc>
                <w:tcPr>
                  <w:tcW w:w="1196" w:type="dxa"/>
                  <w:vAlign w:val="center"/>
                </w:tcPr>
                <w:p>
                  <w:pPr>
                    <w:topLinePunct/>
                    <w:adjustRightInd w:val="0"/>
                    <w:snapToGrid w:val="0"/>
                    <w:jc w:val="center"/>
                    <w:rPr>
                      <w:rFonts w:ascii="Times New Roman" w:hAnsi="Times New Roman" w:eastAsia="宋体"/>
                    </w:rPr>
                  </w:pPr>
                  <w:r>
                    <w:rPr>
                      <w:rFonts w:ascii="Times New Roman" w:hAnsi="Times New Roman" w:eastAsia="宋体"/>
                    </w:rPr>
                    <w:t>900-039-49</w:t>
                  </w:r>
                </w:p>
              </w:tc>
              <w:tc>
                <w:tcPr>
                  <w:tcW w:w="1441" w:type="dxa"/>
                  <w:vMerge w:val="continue"/>
                  <w:vAlign w:val="center"/>
                </w:tcPr>
                <w:p>
                  <w:pPr>
                    <w:topLinePunct/>
                    <w:adjustRightInd w:val="0"/>
                    <w:snapToGrid w:val="0"/>
                    <w:jc w:val="center"/>
                    <w:rPr>
                      <w:rFonts w:ascii="Times New Roman" w:hAnsi="Times New Roman" w:eastAsia="宋体"/>
                    </w:rPr>
                  </w:pPr>
                </w:p>
              </w:tc>
              <w:tc>
                <w:tcPr>
                  <w:tcW w:w="856" w:type="dxa"/>
                  <w:vMerge w:val="continue"/>
                  <w:vAlign w:val="center"/>
                </w:tcPr>
                <w:p>
                  <w:pPr>
                    <w:topLinePunct/>
                    <w:adjustRightInd w:val="0"/>
                    <w:snapToGrid w:val="0"/>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废</w:t>
                  </w:r>
                  <w:r>
                    <w:rPr>
                      <w:rFonts w:hint="eastAsia" w:ascii="Times New Roman" w:hAnsi="Times New Roman" w:eastAsia="宋体"/>
                    </w:rPr>
                    <w:t>机油</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设备维护</w:t>
                  </w:r>
                </w:p>
              </w:tc>
              <w:tc>
                <w:tcPr>
                  <w:tcW w:w="884"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0</w:t>
                  </w:r>
                  <w:r>
                    <w:rPr>
                      <w:rFonts w:ascii="Times New Roman" w:hAnsi="Times New Roman" w:eastAsia="宋体"/>
                    </w:rPr>
                    <w:t>.15</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危废</w:t>
                  </w:r>
                </w:p>
              </w:tc>
              <w:tc>
                <w:tcPr>
                  <w:tcW w:w="703"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HW08</w:t>
                  </w:r>
                </w:p>
              </w:tc>
              <w:tc>
                <w:tcPr>
                  <w:tcW w:w="119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900-21</w:t>
                  </w:r>
                  <w:r>
                    <w:rPr>
                      <w:rFonts w:ascii="Times New Roman" w:hAnsi="Times New Roman" w:eastAsia="宋体"/>
                    </w:rPr>
                    <w:t>7</w:t>
                  </w:r>
                  <w:r>
                    <w:rPr>
                      <w:rFonts w:hint="eastAsia" w:ascii="Times New Roman" w:hAnsi="Times New Roman" w:eastAsia="宋体"/>
                    </w:rPr>
                    <w:t>-08</w:t>
                  </w:r>
                </w:p>
              </w:tc>
              <w:tc>
                <w:tcPr>
                  <w:tcW w:w="1441" w:type="dxa"/>
                  <w:vMerge w:val="continue"/>
                  <w:vAlign w:val="center"/>
                </w:tcPr>
                <w:p>
                  <w:pPr>
                    <w:adjustRightInd w:val="0"/>
                    <w:snapToGrid w:val="0"/>
                    <w:jc w:val="center"/>
                    <w:rPr>
                      <w:rFonts w:ascii="Times New Roman" w:hAnsi="Times New Roman" w:eastAsia="宋体"/>
                    </w:rPr>
                  </w:pPr>
                </w:p>
              </w:tc>
              <w:tc>
                <w:tcPr>
                  <w:tcW w:w="856" w:type="dxa"/>
                  <w:vMerge w:val="continue"/>
                  <w:vAlign w:val="center"/>
                </w:tcPr>
                <w:p>
                  <w:pPr>
                    <w:adjustRightInd w:val="0"/>
                    <w:snapToGrid w:val="0"/>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废</w:t>
                  </w:r>
                  <w:r>
                    <w:rPr>
                      <w:rFonts w:hint="eastAsia" w:ascii="Times New Roman" w:hAnsi="Times New Roman" w:eastAsia="宋体"/>
                    </w:rPr>
                    <w:t>切削液</w:t>
                  </w:r>
                </w:p>
              </w:tc>
              <w:tc>
                <w:tcPr>
                  <w:tcW w:w="86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生产</w:t>
                  </w:r>
                  <w:r>
                    <w:rPr>
                      <w:rFonts w:ascii="Times New Roman" w:hAnsi="Times New Roman" w:eastAsia="宋体"/>
                    </w:rPr>
                    <w:t>过程</w:t>
                  </w:r>
                </w:p>
              </w:tc>
              <w:tc>
                <w:tcPr>
                  <w:tcW w:w="884"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0</w:t>
                  </w:r>
                  <w:r>
                    <w:rPr>
                      <w:rFonts w:ascii="Times New Roman" w:hAnsi="Times New Roman" w:eastAsia="宋体"/>
                    </w:rPr>
                    <w:t>.43</w:t>
                  </w:r>
                </w:p>
              </w:tc>
              <w:tc>
                <w:tcPr>
                  <w:tcW w:w="732"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危废</w:t>
                  </w:r>
                </w:p>
              </w:tc>
              <w:tc>
                <w:tcPr>
                  <w:tcW w:w="703"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HW</w:t>
                  </w:r>
                  <w:r>
                    <w:rPr>
                      <w:rFonts w:ascii="Times New Roman" w:hAnsi="Times New Roman" w:eastAsia="宋体"/>
                    </w:rPr>
                    <w:t>09</w:t>
                  </w:r>
                </w:p>
              </w:tc>
              <w:tc>
                <w:tcPr>
                  <w:tcW w:w="1196"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900-006-09</w:t>
                  </w:r>
                </w:p>
              </w:tc>
              <w:tc>
                <w:tcPr>
                  <w:tcW w:w="1441" w:type="dxa"/>
                  <w:vMerge w:val="continue"/>
                  <w:vAlign w:val="center"/>
                </w:tcPr>
                <w:p>
                  <w:pPr>
                    <w:adjustRightInd w:val="0"/>
                    <w:snapToGrid w:val="0"/>
                    <w:jc w:val="center"/>
                    <w:rPr>
                      <w:rFonts w:ascii="Times New Roman" w:hAnsi="Times New Roman" w:eastAsia="宋体"/>
                    </w:rPr>
                  </w:pPr>
                </w:p>
              </w:tc>
              <w:tc>
                <w:tcPr>
                  <w:tcW w:w="856" w:type="dxa"/>
                  <w:vMerge w:val="continue"/>
                  <w:vAlign w:val="center"/>
                </w:tcPr>
                <w:p>
                  <w:pPr>
                    <w:adjustRightInd w:val="0"/>
                    <w:snapToGrid w:val="0"/>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63"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生活垃圾</w:t>
                  </w:r>
                </w:p>
              </w:tc>
              <w:tc>
                <w:tcPr>
                  <w:tcW w:w="866"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职工生活</w:t>
                  </w:r>
                </w:p>
              </w:tc>
              <w:tc>
                <w:tcPr>
                  <w:tcW w:w="88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2.8</w:t>
                  </w:r>
                </w:p>
              </w:tc>
              <w:tc>
                <w:tcPr>
                  <w:tcW w:w="732"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生活垃圾</w:t>
                  </w:r>
                </w:p>
              </w:tc>
              <w:tc>
                <w:tcPr>
                  <w:tcW w:w="703" w:type="dxa"/>
                  <w:vAlign w:val="center"/>
                </w:tcPr>
                <w:p>
                  <w:pPr>
                    <w:topLinePunct/>
                    <w:adjustRightInd w:val="0"/>
                    <w:snapToGrid w:val="0"/>
                    <w:jc w:val="center"/>
                    <w:rPr>
                      <w:rFonts w:ascii="Times New Roman" w:hAnsi="Times New Roman" w:eastAsia="宋体"/>
                    </w:rPr>
                  </w:pPr>
                  <w:r>
                    <w:rPr>
                      <w:rFonts w:ascii="Times New Roman" w:hAnsi="Times New Roman" w:eastAsia="宋体"/>
                    </w:rPr>
                    <w:t>99</w:t>
                  </w:r>
                </w:p>
              </w:tc>
              <w:tc>
                <w:tcPr>
                  <w:tcW w:w="1196" w:type="dxa"/>
                  <w:vAlign w:val="center"/>
                </w:tcPr>
                <w:p>
                  <w:pPr>
                    <w:pStyle w:val="71"/>
                    <w:rPr>
                      <w:color w:val="auto"/>
                    </w:rPr>
                  </w:pPr>
                  <w:r>
                    <w:rPr>
                      <w:b w:val="0"/>
                      <w:color w:val="auto"/>
                      <w:sz w:val="21"/>
                    </w:rPr>
                    <w:t>900-999-99</w:t>
                  </w:r>
                </w:p>
              </w:tc>
              <w:tc>
                <w:tcPr>
                  <w:tcW w:w="1441"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垃圾桶内暂存</w:t>
                  </w:r>
                </w:p>
              </w:tc>
              <w:tc>
                <w:tcPr>
                  <w:tcW w:w="856" w:type="dxa"/>
                  <w:vAlign w:val="center"/>
                </w:tcPr>
                <w:p>
                  <w:pPr>
                    <w:adjustRightInd w:val="0"/>
                    <w:snapToGrid w:val="0"/>
                    <w:jc w:val="center"/>
                    <w:textAlignment w:val="baseline"/>
                    <w:rPr>
                      <w:rFonts w:ascii="Times New Roman" w:hAnsi="Times New Roman" w:eastAsia="宋体"/>
                    </w:rPr>
                  </w:pPr>
                  <w:r>
                    <w:rPr>
                      <w:rFonts w:ascii="Times New Roman" w:hAnsi="Times New Roman" w:eastAsia="宋体"/>
                    </w:rPr>
                    <w:t>环卫部门清运</w:t>
                  </w:r>
                </w:p>
              </w:tc>
            </w:tr>
          </w:tbl>
          <w:p>
            <w:pPr>
              <w:pStyle w:val="36"/>
            </w:pPr>
            <w:r>
              <w:rPr>
                <w:rFonts w:hint="eastAsia"/>
              </w:rPr>
              <w:t>（</w:t>
            </w:r>
            <w:r>
              <w:t>6</w:t>
            </w:r>
            <w:r>
              <w:rPr>
                <w:rFonts w:hint="eastAsia"/>
              </w:rPr>
              <w:t>）固体</w:t>
            </w:r>
            <w:r>
              <w:t>废物暂存的管理要求</w:t>
            </w:r>
          </w:p>
          <w:p>
            <w:pPr>
              <w:pStyle w:val="36"/>
              <w:ind w:firstLine="480"/>
              <w:rPr>
                <w:rFonts w:cs="Times New Roman"/>
                <w:b w:val="0"/>
                <w:bCs/>
              </w:rPr>
            </w:pPr>
            <w:r>
              <w:rPr>
                <w:b w:val="0"/>
                <w:bCs/>
              </w:rPr>
              <w:t>一般工业固体废物暂存场所</w:t>
            </w:r>
            <w:r>
              <w:rPr>
                <w:rFonts w:hint="eastAsia"/>
                <w:b w:val="0"/>
                <w:bCs/>
              </w:rPr>
              <w:t>位于厂房西南侧，占用面积</w:t>
            </w:r>
            <w:r>
              <w:rPr>
                <w:b w:val="0"/>
                <w:bCs/>
              </w:rPr>
              <w:t>20</w:t>
            </w:r>
            <w:r>
              <w:rPr>
                <w:rFonts w:hint="eastAsia"/>
                <w:b w:val="0"/>
                <w:bCs/>
              </w:rPr>
              <w:t>m</w:t>
            </w:r>
            <w:r>
              <w:rPr>
                <w:b w:val="0"/>
                <w:bCs/>
                <w:vertAlign w:val="superscript"/>
              </w:rPr>
              <w:t>2</w:t>
            </w:r>
            <w:r>
              <w:rPr>
                <w:rFonts w:hint="eastAsia"/>
                <w:b w:val="0"/>
                <w:bCs/>
              </w:rPr>
              <w:t>，</w:t>
            </w:r>
            <w:r>
              <w:rPr>
                <w:b w:val="0"/>
                <w:bCs/>
              </w:rPr>
              <w:t>应满足《一般工业固体废物贮存和填埋污染控制标准》（GB18599－2020）的相关规定，贮存场所防风、防雨、防晒。生活垃圾分为可回收物、其他垃圾和有害垃圾，分类收集，不得混放，交由环卫部门统一处理。</w:t>
            </w:r>
          </w:p>
          <w:p>
            <w:pPr>
              <w:pStyle w:val="36"/>
              <w:ind w:firstLine="480"/>
              <w:rPr>
                <w:b w:val="0"/>
                <w:bCs/>
              </w:rPr>
            </w:pPr>
            <w:r>
              <w:rPr>
                <w:rFonts w:hint="eastAsia"/>
                <w:b w:val="0"/>
                <w:bCs/>
              </w:rPr>
              <w:t>本项目产生的危险废物暂存于危废暂存间（</w:t>
            </w:r>
            <w:r>
              <w:rPr>
                <w:b w:val="0"/>
                <w:bCs/>
              </w:rPr>
              <w:t>16</w:t>
            </w:r>
            <w:r>
              <w:rPr>
                <w:rFonts w:hint="eastAsia"/>
                <w:b w:val="0"/>
                <w:bCs/>
              </w:rPr>
              <w:t>m</w:t>
            </w:r>
            <w:r>
              <w:rPr>
                <w:b w:val="0"/>
                <w:bCs/>
                <w:vertAlign w:val="superscript"/>
              </w:rPr>
              <w:t>2</w:t>
            </w:r>
            <w:r>
              <w:rPr>
                <w:rFonts w:hint="eastAsia"/>
                <w:b w:val="0"/>
                <w:bCs/>
              </w:rPr>
              <w:t>），位于厂房东北角，危废暂存间严格按照</w:t>
            </w:r>
            <w:r>
              <w:rPr>
                <w:b w:val="0"/>
                <w:bCs/>
              </w:rPr>
              <w:t>《危险废物贮存污染控制标准》（GB18597-2023）中相关规定</w:t>
            </w:r>
            <w:r>
              <w:rPr>
                <w:rFonts w:hint="eastAsia"/>
                <w:b w:val="0"/>
                <w:bCs/>
              </w:rPr>
              <w:t>建设，并配备安全措施。</w:t>
            </w:r>
            <w:r>
              <w:rPr>
                <w:b w:val="0"/>
                <w:bCs/>
              </w:rPr>
              <w:t>具体要求如下：</w:t>
            </w:r>
          </w:p>
          <w:p>
            <w:pPr>
              <w:pStyle w:val="36"/>
              <w:ind w:firstLine="480"/>
              <w:rPr>
                <w:b w:val="0"/>
                <w:bCs/>
              </w:rPr>
            </w:pPr>
            <w:r>
              <w:rPr>
                <w:rFonts w:hint="eastAsia"/>
                <w:b w:val="0"/>
                <w:bCs/>
              </w:rPr>
              <w:t>1）贮存设施应采取必要的防风、防晒、防雨、防漏、防渗、防腐以及其他环境污染防治措施，不应露天堆放危险废物。</w:t>
            </w:r>
          </w:p>
          <w:p>
            <w:pPr>
              <w:pStyle w:val="36"/>
              <w:ind w:firstLine="480"/>
              <w:rPr>
                <w:b w:val="0"/>
                <w:bCs/>
              </w:rPr>
            </w:pPr>
            <w:r>
              <w:rPr>
                <w:rFonts w:hint="eastAsia"/>
                <w:b w:val="0"/>
                <w:bCs/>
              </w:rPr>
              <w:t>2）贮存设施地面、墙面裙脚、堵截泄漏的围堰、接触危险废物的隔板和墙体等应采用坚固的材料建造，表面无裂缝。</w:t>
            </w:r>
          </w:p>
          <w:p>
            <w:pPr>
              <w:pStyle w:val="36"/>
              <w:ind w:firstLine="480"/>
              <w:rPr>
                <w:b w:val="0"/>
                <w:bCs/>
              </w:rPr>
            </w:pPr>
            <w:r>
              <w:rPr>
                <w:rFonts w:hint="eastAsia"/>
                <w:b w:val="0"/>
                <w:bCs/>
              </w:rPr>
              <w:t>3）贮存设施地面与裙脚应采取表面防渗措施；表面防渗材料应与所接触的物料或污染物相容，可采用抗渗混凝土、高密度聚乙烯膜、钠基膨润</w:t>
            </w:r>
            <w:r>
              <w:rPr>
                <w:rFonts w:hint="eastAsia"/>
              </w:rPr>
              <w:t>土</w:t>
            </w:r>
            <w:r>
              <w:rPr>
                <w:rFonts w:hint="eastAsia"/>
                <w:b w:val="0"/>
                <w:bCs/>
              </w:rPr>
              <w:t>防水毯或其他防渗性能等效的材料。贮存的危险废物直接接触地面的，还应进行基础防渗，防渗层为至少1m厚黏土层（渗透系数不大于10</w:t>
            </w:r>
            <w:r>
              <w:rPr>
                <w:rFonts w:hint="eastAsia"/>
                <w:b w:val="0"/>
                <w:bCs/>
                <w:vertAlign w:val="superscript"/>
              </w:rPr>
              <w:t>-7</w:t>
            </w:r>
            <w:r>
              <w:rPr>
                <w:rFonts w:hint="eastAsia"/>
                <w:b w:val="0"/>
                <w:bCs/>
              </w:rPr>
              <w:t>cm/s），或至少2mm厚高密度聚乙烯膜等人工防渗材料（渗透系数不大于10</w:t>
            </w:r>
            <w:r>
              <w:rPr>
                <w:rFonts w:hint="eastAsia"/>
                <w:b w:val="0"/>
                <w:bCs/>
                <w:vertAlign w:val="superscript"/>
              </w:rPr>
              <w:t>-10</w:t>
            </w:r>
            <w:r>
              <w:rPr>
                <w:rFonts w:hint="eastAsia"/>
                <w:b w:val="0"/>
                <w:bCs/>
              </w:rPr>
              <w:t>cm/s），或其他防渗性能等效的材料。</w:t>
            </w:r>
          </w:p>
          <w:p>
            <w:pPr>
              <w:pStyle w:val="36"/>
              <w:ind w:firstLine="480"/>
              <w:rPr>
                <w:b w:val="0"/>
                <w:bCs/>
              </w:rPr>
            </w:pPr>
            <w:r>
              <w:rPr>
                <w:rFonts w:hint="eastAsia"/>
                <w:b w:val="0"/>
                <w:bCs/>
              </w:rPr>
              <w:t>4）贮存设施应采取技术和管理措施防止无关人员进入。</w:t>
            </w:r>
          </w:p>
          <w:p>
            <w:pPr>
              <w:pStyle w:val="36"/>
              <w:ind w:firstLine="480"/>
              <w:rPr>
                <w:b w:val="0"/>
                <w:bCs/>
              </w:rPr>
            </w:pPr>
            <w:r>
              <w:rPr>
                <w:rFonts w:hint="eastAsia"/>
                <w:b w:val="0"/>
                <w:bCs/>
              </w:rPr>
              <w:t>5）容器和包装物材质、内衬应与盛装的危险废物相容。</w:t>
            </w:r>
          </w:p>
          <w:p>
            <w:pPr>
              <w:pStyle w:val="36"/>
              <w:ind w:firstLine="480"/>
              <w:rPr>
                <w:b w:val="0"/>
                <w:bCs/>
              </w:rPr>
            </w:pPr>
            <w:r>
              <w:rPr>
                <w:rFonts w:hint="eastAsia"/>
                <w:b w:val="0"/>
                <w:bCs/>
              </w:rPr>
              <w:t>6）容器和包装物应满足相应的防渗、防漏、防腐和强度等要求。</w:t>
            </w:r>
          </w:p>
          <w:p>
            <w:pPr>
              <w:pStyle w:val="36"/>
              <w:ind w:firstLine="480"/>
              <w:rPr>
                <w:b w:val="0"/>
                <w:bCs/>
              </w:rPr>
            </w:pPr>
            <w:r>
              <w:rPr>
                <w:rFonts w:hint="eastAsia"/>
                <w:b w:val="0"/>
                <w:bCs/>
              </w:rPr>
              <w:t>7）使用容器盛装液态危险废物时，容器内部应留有适当的空间，以适应因温度变化等可能引发的收缩和膨胀，防止其导致容器渗漏或永久变形。</w:t>
            </w:r>
          </w:p>
          <w:p>
            <w:pPr>
              <w:pStyle w:val="36"/>
              <w:ind w:firstLine="480"/>
              <w:rPr>
                <w:b w:val="0"/>
                <w:bCs/>
              </w:rPr>
            </w:pPr>
            <w:r>
              <w:rPr>
                <w:rFonts w:hint="eastAsia"/>
                <w:b w:val="0"/>
                <w:bCs/>
              </w:rPr>
              <w:t>8）容器和包装物外表面应保持清洁。</w:t>
            </w:r>
          </w:p>
          <w:p>
            <w:pPr>
              <w:pStyle w:val="36"/>
              <w:ind w:firstLine="480"/>
              <w:rPr>
                <w:b w:val="0"/>
                <w:bCs/>
              </w:rPr>
            </w:pPr>
            <w:r>
              <w:rPr>
                <w:rFonts w:hint="eastAsia"/>
                <w:b w:val="0"/>
                <w:bCs/>
              </w:rPr>
              <w:t>9）液态危险废物应装入容器内贮存。</w:t>
            </w:r>
          </w:p>
          <w:p>
            <w:pPr>
              <w:pStyle w:val="36"/>
              <w:ind w:firstLine="480"/>
            </w:pPr>
            <w:r>
              <w:rPr>
                <w:rFonts w:hint="eastAsia"/>
                <w:b w:val="0"/>
                <w:bCs/>
              </w:rPr>
              <w:t>1</w:t>
            </w:r>
            <w:r>
              <w:rPr>
                <w:b w:val="0"/>
                <w:bCs/>
              </w:rPr>
              <w:t>0</w:t>
            </w:r>
            <w:r>
              <w:rPr>
                <w:rFonts w:hint="eastAsia"/>
                <w:b w:val="0"/>
                <w:bCs/>
              </w:rPr>
              <w:t>）危险废物存入贮存设施前应对危险废物类别和特性与危险废物标签等危险废物识别标志的一致性进行核验，不一致的或类别、特性不明的不应存入。</w:t>
            </w:r>
          </w:p>
          <w:p>
            <w:pPr>
              <w:pStyle w:val="36"/>
              <w:ind w:firstLine="480"/>
              <w:rPr>
                <w:b w:val="0"/>
                <w:bCs/>
              </w:rPr>
            </w:pPr>
            <w:r>
              <w:rPr>
                <w:b w:val="0"/>
                <w:bCs/>
              </w:rPr>
              <w:t>11</w:t>
            </w:r>
            <w:r>
              <w:rPr>
                <w:rFonts w:hint="eastAsia"/>
                <w:b w:val="0"/>
                <w:bCs/>
              </w:rPr>
              <w:t>）应定期检查危险废物的贮存状况，及时清理贮存设施地面，更换破损泄漏的危险废物贮存容器和包装物，保证堆存危险废物的防雨、防风、防扬尘等设施功能完好。</w:t>
            </w:r>
          </w:p>
          <w:p>
            <w:pPr>
              <w:pStyle w:val="36"/>
              <w:ind w:firstLine="480"/>
              <w:rPr>
                <w:b w:val="0"/>
                <w:bCs/>
              </w:rPr>
            </w:pPr>
            <w:r>
              <w:rPr>
                <w:b w:val="0"/>
                <w:bCs/>
              </w:rPr>
              <w:t>12</w:t>
            </w:r>
            <w:r>
              <w:rPr>
                <w:rFonts w:hint="eastAsia"/>
                <w:b w:val="0"/>
                <w:bCs/>
              </w:rPr>
              <w:t>）作业设备及车辆等结束作业离开贮存设施时，应对其残留的危险废物进行清理，清理的废物或清洗废水应收集处理。</w:t>
            </w:r>
          </w:p>
          <w:p>
            <w:pPr>
              <w:pStyle w:val="36"/>
              <w:ind w:firstLine="480"/>
              <w:rPr>
                <w:b w:val="0"/>
                <w:bCs/>
              </w:rPr>
            </w:pPr>
            <w:r>
              <w:rPr>
                <w:rFonts w:hint="eastAsia"/>
                <w:b w:val="0"/>
                <w:bCs/>
              </w:rPr>
              <w:t>1</w:t>
            </w:r>
            <w:r>
              <w:rPr>
                <w:b w:val="0"/>
                <w:bCs/>
              </w:rPr>
              <w:t>3</w:t>
            </w:r>
            <w:r>
              <w:rPr>
                <w:rFonts w:hint="eastAsia"/>
                <w:b w:val="0"/>
                <w:bCs/>
              </w:rPr>
              <w:t>）贮存设施运行期间，应按国家有关标准和规定建立危险废物管理台账并保存。</w:t>
            </w:r>
          </w:p>
          <w:p>
            <w:pPr>
              <w:pStyle w:val="36"/>
              <w:ind w:firstLine="480"/>
              <w:rPr>
                <w:b w:val="0"/>
                <w:bCs/>
              </w:rPr>
            </w:pPr>
            <w:r>
              <w:rPr>
                <w:b w:val="0"/>
                <w:bCs/>
              </w:rPr>
              <w:t>14</w:t>
            </w:r>
            <w:r>
              <w:rPr>
                <w:rFonts w:hint="eastAsia"/>
                <w:b w:val="0"/>
                <w:bCs/>
              </w:rPr>
              <w:t>）贮存设施所有者应建立贮存设施环境管理制度、管理人员岗位职责制度、设施运行操作制度、人员岗位培训制度等。</w:t>
            </w:r>
          </w:p>
          <w:p>
            <w:pPr>
              <w:pStyle w:val="36"/>
              <w:ind w:firstLine="480"/>
              <w:rPr>
                <w:rFonts w:cs="Times New Roman"/>
              </w:rPr>
            </w:pPr>
            <w:r>
              <w:rPr>
                <w:rFonts w:hint="eastAsia"/>
                <w:b w:val="0"/>
                <w:bCs/>
              </w:rPr>
              <w:t>本次环评要求危废暂存、转移过程严格按照《危险废物贮存污染控制标准》（GB18597-20</w:t>
            </w:r>
            <w:r>
              <w:rPr>
                <w:b w:val="0"/>
                <w:bCs/>
              </w:rPr>
              <w:t>23</w:t>
            </w:r>
            <w:r>
              <w:rPr>
                <w:rFonts w:hint="eastAsia"/>
                <w:b w:val="0"/>
                <w:bCs/>
              </w:rPr>
              <w:t>）、《陕西省固体废物污染环境防治条例》（2016.4.1起实施）和《陕西省危险废物转移电子联单管理办法（试行）》（陕西省环境保护厅，2012.8.29）相关要求对其进行贮存及转移</w:t>
            </w:r>
            <w:r>
              <w:rPr>
                <w:rFonts w:cs="Times New Roman"/>
                <w:b w:val="0"/>
                <w:bCs/>
              </w:rPr>
              <w:t>。采取这些措施后，危险废物对环境的影响可得到有效控制，对周围环境的影响较小。</w:t>
            </w:r>
          </w:p>
          <w:p>
            <w:pPr>
              <w:pStyle w:val="36"/>
            </w:pPr>
            <w:r>
              <w:t>5</w:t>
            </w:r>
            <w:r>
              <w:rPr>
                <w:rFonts w:hint="eastAsia"/>
              </w:rPr>
              <w:t>、地下水</w:t>
            </w:r>
            <w:r>
              <w:rPr>
                <w:rFonts w:hint="eastAsia" w:cs="Times New Roman"/>
              </w:rPr>
              <w:t>、</w:t>
            </w:r>
            <w:r>
              <w:rPr>
                <w:rFonts w:cs="Times New Roman"/>
              </w:rPr>
              <w:t>土壤</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（1）地下水、土壤环境影响途径</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本项目生产车间采取分区防渗，正常情况下危险废物、一般固废、危险化学品、废水等不会对地下水以及土壤造成影响，如因人员操作不当或桶体破损等导致物料发生泄漏，泄漏物料可能会泄漏至外环境，从而污染地下水、土壤环境。</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（2）污染防护措施</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针对项目可能发生的地下水、土壤污染，地下水、土壤污染防治措施按照“源头控制、分区防治、应急响应”相结合的原则，从污染物的产生、入渗、扩散、应急响应全方位进行控制。</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分区防渗控制措施：</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①重点防渗区：主要是危废暂存间、涂料间、喷漆房、流平间、清洗间、烘干间，防渗层为至少1m厚黏土层（渗透系数不大于10</w:t>
            </w:r>
            <w:r>
              <w:rPr>
                <w:rFonts w:hint="eastAsia" w:ascii="Times New Roman" w:hAnsi="Times New Roman" w:eastAsia="宋体"/>
                <w:sz w:val="24"/>
                <w:szCs w:val="24"/>
                <w:vertAlign w:val="superscript"/>
              </w:rPr>
              <w:t>-7</w:t>
            </w:r>
            <w:r>
              <w:rPr>
                <w:rFonts w:hint="eastAsia" w:ascii="Times New Roman" w:hAnsi="Times New Roman" w:eastAsia="宋体"/>
                <w:sz w:val="24"/>
                <w:szCs w:val="24"/>
              </w:rPr>
              <w:t>cm/s），或至少2mm厚高密度聚乙烯膜等人工防渗材料（渗透系数不大于10</w:t>
            </w:r>
            <w:r>
              <w:rPr>
                <w:rFonts w:hint="eastAsia" w:ascii="Times New Roman" w:hAnsi="Times New Roman" w:eastAsia="宋体"/>
                <w:sz w:val="24"/>
                <w:szCs w:val="24"/>
                <w:vertAlign w:val="superscript"/>
              </w:rPr>
              <w:t>-10</w:t>
            </w:r>
            <w:r>
              <w:rPr>
                <w:rFonts w:hint="eastAsia" w:ascii="Times New Roman" w:hAnsi="Times New Roman" w:eastAsia="宋体"/>
                <w:sz w:val="24"/>
                <w:szCs w:val="24"/>
              </w:rPr>
              <w:t>cm/s），物料应分区堆放并设置托盘。</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②一般防渗区：主要是生产厂房内除重点防渗区域外的其余地面，防渗层的防渗性能不应低于</w:t>
            </w:r>
            <w:r>
              <w:rPr>
                <w:rFonts w:ascii="Times New Roman" w:hAnsi="Times New Roman" w:eastAsia="宋体"/>
                <w:sz w:val="24"/>
                <w:szCs w:val="24"/>
              </w:rPr>
              <w:t>1.5m</w:t>
            </w:r>
            <w:r>
              <w:rPr>
                <w:rFonts w:hint="eastAsia" w:ascii="Times New Roman" w:hAnsi="Times New Roman" w:eastAsia="宋体"/>
                <w:sz w:val="24"/>
                <w:szCs w:val="24"/>
              </w:rPr>
              <w:t>厚防渗系数≤</w:t>
            </w:r>
            <w:r>
              <w:rPr>
                <w:rFonts w:ascii="Times New Roman" w:hAnsi="Times New Roman" w:eastAsia="宋体"/>
                <w:sz w:val="24"/>
                <w:szCs w:val="24"/>
              </w:rPr>
              <w:t>1</w:t>
            </w:r>
            <w:r>
              <w:rPr>
                <w:rFonts w:hint="eastAsia" w:ascii="Times New Roman" w:hAnsi="Times New Roman" w:eastAsia="宋体"/>
                <w:sz w:val="24"/>
                <w:szCs w:val="24"/>
              </w:rPr>
              <w:t>×</w:t>
            </w:r>
            <w:r>
              <w:rPr>
                <w:rFonts w:ascii="Times New Roman" w:hAnsi="Times New Roman" w:eastAsia="宋体"/>
                <w:sz w:val="24"/>
                <w:szCs w:val="24"/>
              </w:rPr>
              <w:t>10</w:t>
            </w:r>
            <w:r>
              <w:rPr>
                <w:rFonts w:ascii="Times New Roman" w:hAnsi="Times New Roman" w:eastAsia="宋体"/>
                <w:sz w:val="24"/>
                <w:szCs w:val="24"/>
                <w:vertAlign w:val="superscript"/>
              </w:rPr>
              <w:t>-7</w:t>
            </w:r>
            <w:r>
              <w:rPr>
                <w:rFonts w:ascii="Times New Roman" w:hAnsi="Times New Roman" w:eastAsia="宋体"/>
                <w:sz w:val="24"/>
                <w:szCs w:val="24"/>
              </w:rPr>
              <w:t>cm/s</w:t>
            </w:r>
            <w:r>
              <w:rPr>
                <w:rFonts w:hint="eastAsia" w:ascii="Times New Roman" w:hAnsi="Times New Roman" w:eastAsia="宋体"/>
                <w:sz w:val="24"/>
                <w:szCs w:val="24"/>
              </w:rPr>
              <w:t>的等效黏土层的防渗性能。</w:t>
            </w:r>
          </w:p>
          <w:p>
            <w:pPr>
              <w:adjustRightInd w:val="0"/>
              <w:snapToGrid w:val="0"/>
              <w:spacing w:line="360" w:lineRule="auto"/>
              <w:ind w:firstLine="482"/>
              <w:rPr>
                <w:rFonts w:ascii="Times New Roman" w:hAnsi="Times New Roman" w:eastAsia="宋体"/>
                <w:sz w:val="24"/>
                <w:szCs w:val="24"/>
              </w:rPr>
            </w:pPr>
            <w:r>
              <w:rPr>
                <w:rFonts w:hint="eastAsia" w:ascii="Times New Roman" w:hAnsi="Times New Roman" w:eastAsia="宋体"/>
                <w:sz w:val="24"/>
                <w:szCs w:val="24"/>
              </w:rPr>
              <w:t>③简单防渗区：办公区采取地面硬化处理。</w:t>
            </w:r>
          </w:p>
          <w:p>
            <w:pPr>
              <w:pStyle w:val="36"/>
              <w:ind w:firstLine="480"/>
              <w:rPr>
                <w:b w:val="0"/>
                <w:bCs/>
              </w:rPr>
            </w:pPr>
            <w:r>
              <w:rPr>
                <w:rFonts w:hint="eastAsia"/>
                <w:b w:val="0"/>
                <w:bCs/>
              </w:rPr>
              <w:t>因此，本项目采取上述污染防护措施后，将不会对地下水、土壤环境造成污染。</w:t>
            </w:r>
          </w:p>
          <w:p>
            <w:pPr>
              <w:pStyle w:val="36"/>
              <w:rPr>
                <w:spacing w:val="4"/>
              </w:rPr>
            </w:pPr>
            <w:r>
              <w:t>6</w:t>
            </w:r>
            <w:r>
              <w:rPr>
                <w:rFonts w:hint="eastAsia"/>
              </w:rPr>
              <w:t>、</w:t>
            </w:r>
            <w:r>
              <w:t>环境风险</w:t>
            </w:r>
          </w:p>
          <w:p>
            <w:pPr>
              <w:adjustRightInd w:val="0"/>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（1）评价依据</w:t>
            </w:r>
          </w:p>
          <w:p>
            <w:pPr>
              <w:adjustRightInd w:val="0"/>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根据《建设项目环境风险评价技术导则》（HJ169-2018）附录B，判定项目涉及的危险物质，定量分析危险物质数量与临界量的比值（Q）和所属行业及生产工艺特点（M），按附录C对危险物质及工艺系统危险性（P）等级进行判断。</w:t>
            </w:r>
            <w:r>
              <w:rPr>
                <w:rFonts w:ascii="Times New Roman" w:hAnsi="Times New Roman" w:eastAsia="宋体"/>
                <w:kern w:val="24"/>
                <w:sz w:val="24"/>
              </w:rPr>
              <w:t>本项目可能发生风险事故的</w:t>
            </w:r>
            <w:r>
              <w:rPr>
                <w:rFonts w:hint="eastAsia" w:ascii="Times New Roman" w:hAnsi="Times New Roman" w:eastAsia="宋体"/>
                <w:kern w:val="24"/>
                <w:sz w:val="24"/>
              </w:rPr>
              <w:t>风险物质</w:t>
            </w:r>
            <w:r>
              <w:rPr>
                <w:rFonts w:hint="eastAsia" w:ascii="Times New Roman" w:hAnsi="Times New Roman" w:eastAsia="宋体"/>
                <w:bCs/>
                <w:spacing w:val="2"/>
                <w:sz w:val="24"/>
                <w:lang w:val="zh-CN"/>
              </w:rPr>
              <w:t>辨识见下表：</w:t>
            </w:r>
          </w:p>
          <w:p>
            <w:pPr>
              <w:pStyle w:val="90"/>
              <w:adjustRightInd/>
              <w:spacing w:line="240" w:lineRule="auto"/>
              <w:ind w:left="0" w:firstLine="0" w:firstLineChars="0"/>
              <w:rPr>
                <w:rFonts w:ascii="Times New Roman" w:eastAsia="宋体"/>
                <w:b/>
                <w:szCs w:val="24"/>
              </w:rPr>
            </w:pPr>
            <w:r>
              <w:rPr>
                <w:rFonts w:ascii="Times New Roman" w:eastAsia="宋体"/>
                <w:b/>
                <w:szCs w:val="24"/>
              </w:rPr>
              <w:t>表4-15  项目危险化学品储量及临界量一览表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61"/>
              <w:gridCol w:w="1417"/>
              <w:gridCol w:w="871"/>
              <w:gridCol w:w="1426"/>
              <w:gridCol w:w="933"/>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序号</w:t>
                  </w:r>
                </w:p>
              </w:tc>
              <w:tc>
                <w:tcPr>
                  <w:tcW w:w="2378" w:type="dxa"/>
                  <w:gridSpan w:val="2"/>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物质名称</w:t>
                  </w:r>
                </w:p>
              </w:tc>
              <w:tc>
                <w:tcPr>
                  <w:tcW w:w="871"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储存方式</w:t>
                  </w:r>
                </w:p>
              </w:tc>
              <w:tc>
                <w:tcPr>
                  <w:tcW w:w="1426"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日常最大存在量（t）</w:t>
                  </w:r>
                </w:p>
              </w:tc>
              <w:tc>
                <w:tcPr>
                  <w:tcW w:w="933"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临界量（t）</w:t>
                  </w:r>
                </w:p>
              </w:tc>
              <w:tc>
                <w:tcPr>
                  <w:tcW w:w="1599"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物质数量与临界比值（Q）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1</w:t>
                  </w:r>
                </w:p>
              </w:tc>
              <w:tc>
                <w:tcPr>
                  <w:tcW w:w="961" w:type="dxa"/>
                  <w:vMerge w:val="restart"/>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清洗剂</w:t>
                  </w:r>
                </w:p>
              </w:tc>
              <w:tc>
                <w:tcPr>
                  <w:tcW w:w="1417"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rPr>
                    <w:t>含120#汽油6</w:t>
                  </w:r>
                  <w:r>
                    <w:rPr>
                      <w:rFonts w:ascii="Times New Roman" w:hAnsi="Times New Roman" w:eastAsia="宋体"/>
                    </w:rPr>
                    <w:t>0</w:t>
                  </w:r>
                  <w:r>
                    <w:rPr>
                      <w:rFonts w:hint="eastAsia" w:ascii="Times New Roman" w:hAnsi="Times New Roman" w:eastAsia="宋体"/>
                    </w:rPr>
                    <w:t>%</w:t>
                  </w:r>
                </w:p>
              </w:tc>
              <w:tc>
                <w:tcPr>
                  <w:tcW w:w="871"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宋体" w:cs="宋体"/>
                      <w:bCs/>
                      <w:kern w:val="0"/>
                    </w:rPr>
                  </w:pPr>
                  <w:r>
                    <w:rPr>
                      <w:rFonts w:ascii="Times New Roman" w:hAnsi="Times New Roman" w:eastAsia="等线" w:cs="Times New Roman"/>
                    </w:rPr>
                    <w:t>0.12</w:t>
                  </w:r>
                </w:p>
              </w:tc>
              <w:tc>
                <w:tcPr>
                  <w:tcW w:w="933" w:type="dxa"/>
                  <w:vAlign w:val="center"/>
                </w:tcPr>
                <w:p>
                  <w:pPr>
                    <w:widowControl/>
                    <w:adjustRightInd w:val="0"/>
                    <w:snapToGrid w:val="0"/>
                    <w:jc w:val="center"/>
                    <w:rPr>
                      <w:rFonts w:ascii="Times New Roman" w:hAnsi="Times New Roman" w:eastAsia="宋体" w:cs="宋体"/>
                      <w:bCs/>
                      <w:kern w:val="0"/>
                    </w:rPr>
                  </w:pPr>
                  <w:r>
                    <w:rPr>
                      <w:rFonts w:ascii="Times New Roman" w:hAnsi="Times New Roman" w:eastAsia="等线" w:cs="Times New Roman"/>
                    </w:rPr>
                    <w:t>2500</w:t>
                  </w:r>
                </w:p>
              </w:tc>
              <w:tc>
                <w:tcPr>
                  <w:tcW w:w="1599" w:type="dxa"/>
                  <w:vAlign w:val="center"/>
                </w:tcPr>
                <w:p>
                  <w:pPr>
                    <w:widowControl/>
                    <w:adjustRightInd w:val="0"/>
                    <w:snapToGrid w:val="0"/>
                    <w:jc w:val="center"/>
                    <w:rPr>
                      <w:rFonts w:ascii="Times New Roman" w:hAnsi="Times New Roman" w:eastAsia="宋体" w:cs="宋体"/>
                      <w:bCs/>
                      <w:kern w:val="0"/>
                    </w:rPr>
                  </w:pPr>
                  <w:r>
                    <w:rPr>
                      <w:rFonts w:ascii="Times New Roman" w:hAnsi="Times New Roman" w:eastAsia="等线" w:cs="Times New Roman"/>
                    </w:rPr>
                    <w:t>0.000048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2</w:t>
                  </w:r>
                </w:p>
              </w:tc>
              <w:tc>
                <w:tcPr>
                  <w:tcW w:w="961" w:type="dxa"/>
                  <w:vMerge w:val="continue"/>
                  <w:vAlign w:val="center"/>
                </w:tcPr>
                <w:p>
                  <w:pPr>
                    <w:widowControl/>
                    <w:adjustRightInd w:val="0"/>
                    <w:snapToGrid w:val="0"/>
                    <w:jc w:val="center"/>
                    <w:rPr>
                      <w:rFonts w:ascii="Times New Roman" w:hAnsi="Times New Roman" w:eastAsia="宋体" w:cs="宋体"/>
                      <w:bCs/>
                      <w:kern w:val="0"/>
                    </w:rPr>
                  </w:pPr>
                </w:p>
              </w:tc>
              <w:tc>
                <w:tcPr>
                  <w:tcW w:w="1417"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含丙酮40%</w:t>
                  </w:r>
                </w:p>
              </w:tc>
              <w:tc>
                <w:tcPr>
                  <w:tcW w:w="871"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宋体" w:cs="宋体"/>
                      <w:bCs/>
                      <w:kern w:val="0"/>
                    </w:rPr>
                  </w:pPr>
                  <w:r>
                    <w:rPr>
                      <w:rFonts w:ascii="Times New Roman" w:hAnsi="Times New Roman" w:eastAsia="等线" w:cs="Times New Roman"/>
                    </w:rPr>
                    <w:t>0.08</w:t>
                  </w:r>
                </w:p>
              </w:tc>
              <w:tc>
                <w:tcPr>
                  <w:tcW w:w="933" w:type="dxa"/>
                  <w:vAlign w:val="center"/>
                </w:tcPr>
                <w:p>
                  <w:pPr>
                    <w:widowControl/>
                    <w:adjustRightInd w:val="0"/>
                    <w:snapToGrid w:val="0"/>
                    <w:jc w:val="center"/>
                    <w:rPr>
                      <w:rFonts w:ascii="Times New Roman" w:hAnsi="Times New Roman" w:eastAsia="宋体" w:cs="宋体"/>
                      <w:bCs/>
                      <w:kern w:val="0"/>
                    </w:rPr>
                  </w:pPr>
                  <w:r>
                    <w:rPr>
                      <w:rFonts w:ascii="Times New Roman" w:hAnsi="Times New Roman" w:eastAsia="等线" w:cs="Times New Roman"/>
                    </w:rPr>
                    <w:t>10</w:t>
                  </w:r>
                </w:p>
              </w:tc>
              <w:tc>
                <w:tcPr>
                  <w:tcW w:w="1599" w:type="dxa"/>
                  <w:vAlign w:val="center"/>
                </w:tcPr>
                <w:p>
                  <w:pPr>
                    <w:widowControl/>
                    <w:adjustRightInd w:val="0"/>
                    <w:snapToGrid w:val="0"/>
                    <w:jc w:val="center"/>
                    <w:rPr>
                      <w:rFonts w:ascii="Times New Roman" w:hAnsi="Times New Roman" w:eastAsia="宋体" w:cs="宋体"/>
                      <w:bCs/>
                      <w:kern w:val="0"/>
                    </w:rPr>
                  </w:pPr>
                  <w:r>
                    <w:rPr>
                      <w:rFonts w:ascii="Times New Roman" w:hAnsi="Times New Roman" w:eastAsia="等线" w:cs="Times New Roma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3</w:t>
                  </w:r>
                </w:p>
              </w:tc>
              <w:tc>
                <w:tcPr>
                  <w:tcW w:w="961"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涂料稀释剂</w:t>
                  </w:r>
                </w:p>
              </w:tc>
              <w:tc>
                <w:tcPr>
                  <w:tcW w:w="1417"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含120#汽油1</w:t>
                  </w:r>
                  <w:r>
                    <w:rPr>
                      <w:rFonts w:ascii="Times New Roman" w:hAnsi="Times New Roman" w:eastAsia="宋体"/>
                    </w:rPr>
                    <w:t>00</w:t>
                  </w:r>
                  <w:r>
                    <w:rPr>
                      <w:rFonts w:hint="eastAsia" w:ascii="Times New Roman" w:hAnsi="Times New Roman" w:eastAsia="宋体"/>
                    </w:rPr>
                    <w:t>%</w:t>
                  </w:r>
                </w:p>
              </w:tc>
              <w:tc>
                <w:tcPr>
                  <w:tcW w:w="871"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1.44</w:t>
                  </w:r>
                </w:p>
              </w:tc>
              <w:tc>
                <w:tcPr>
                  <w:tcW w:w="933"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2500</w:t>
                  </w:r>
                </w:p>
              </w:tc>
              <w:tc>
                <w:tcPr>
                  <w:tcW w:w="1599"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0.000576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4</w:t>
                  </w:r>
                </w:p>
              </w:tc>
              <w:tc>
                <w:tcPr>
                  <w:tcW w:w="961" w:type="dxa"/>
                  <w:vMerge w:val="restart"/>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油性底漆</w:t>
                  </w:r>
                </w:p>
              </w:tc>
              <w:tc>
                <w:tcPr>
                  <w:tcW w:w="1417"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含二甲苯</w:t>
                  </w:r>
                  <w:r>
                    <w:rPr>
                      <w:rFonts w:ascii="Times New Roman" w:hAnsi="Times New Roman" w:eastAsia="宋体"/>
                    </w:rPr>
                    <w:t>10</w:t>
                  </w:r>
                  <w:r>
                    <w:rPr>
                      <w:rFonts w:hint="eastAsia" w:ascii="Times New Roman" w:hAnsi="Times New Roman" w:eastAsia="宋体"/>
                    </w:rPr>
                    <w:t>%</w:t>
                  </w:r>
                </w:p>
              </w:tc>
              <w:tc>
                <w:tcPr>
                  <w:tcW w:w="871"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0.03</w:t>
                  </w:r>
                </w:p>
              </w:tc>
              <w:tc>
                <w:tcPr>
                  <w:tcW w:w="933"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10</w:t>
                  </w:r>
                </w:p>
              </w:tc>
              <w:tc>
                <w:tcPr>
                  <w:tcW w:w="1599"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5</w:t>
                  </w:r>
                </w:p>
              </w:tc>
              <w:tc>
                <w:tcPr>
                  <w:tcW w:w="961" w:type="dxa"/>
                  <w:vMerge w:val="continue"/>
                  <w:vAlign w:val="center"/>
                </w:tcPr>
                <w:p>
                  <w:pPr>
                    <w:widowControl/>
                    <w:adjustRightInd w:val="0"/>
                    <w:snapToGrid w:val="0"/>
                    <w:jc w:val="center"/>
                    <w:rPr>
                      <w:rFonts w:ascii="Times New Roman" w:hAnsi="Times New Roman" w:eastAsia="宋体"/>
                    </w:rPr>
                  </w:pPr>
                </w:p>
              </w:tc>
              <w:tc>
                <w:tcPr>
                  <w:tcW w:w="1417"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含丁醇</w:t>
                  </w:r>
                  <w:r>
                    <w:rPr>
                      <w:rFonts w:ascii="Times New Roman" w:hAnsi="Times New Roman" w:eastAsia="宋体"/>
                    </w:rPr>
                    <w:t>5%</w:t>
                  </w:r>
                </w:p>
              </w:tc>
              <w:tc>
                <w:tcPr>
                  <w:tcW w:w="871"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0.015</w:t>
                  </w:r>
                </w:p>
              </w:tc>
              <w:tc>
                <w:tcPr>
                  <w:tcW w:w="933"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10</w:t>
                  </w:r>
                </w:p>
              </w:tc>
              <w:tc>
                <w:tcPr>
                  <w:tcW w:w="1599"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6</w:t>
                  </w:r>
                </w:p>
              </w:tc>
              <w:tc>
                <w:tcPr>
                  <w:tcW w:w="961"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底</w:t>
                  </w:r>
                  <w:r>
                    <w:rPr>
                      <w:rFonts w:ascii="Times New Roman" w:hAnsi="Times New Roman" w:eastAsia="宋体"/>
                      <w:kern w:val="0"/>
                      <w:lang w:bidi="ar"/>
                    </w:rPr>
                    <w:t>漆固化剂</w:t>
                  </w:r>
                </w:p>
              </w:tc>
              <w:tc>
                <w:tcPr>
                  <w:tcW w:w="1417"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rPr>
                    <w:t>含二甲苯</w:t>
                  </w:r>
                  <w:r>
                    <w:rPr>
                      <w:rFonts w:ascii="Times New Roman" w:hAnsi="Times New Roman" w:eastAsia="宋体"/>
                    </w:rPr>
                    <w:t>30</w:t>
                  </w:r>
                  <w:r>
                    <w:rPr>
                      <w:rFonts w:hint="eastAsia" w:ascii="Times New Roman" w:hAnsi="Times New Roman" w:eastAsia="宋体"/>
                    </w:rPr>
                    <w:t>%</w:t>
                  </w:r>
                </w:p>
              </w:tc>
              <w:tc>
                <w:tcPr>
                  <w:tcW w:w="871"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0.18</w:t>
                  </w:r>
                </w:p>
              </w:tc>
              <w:tc>
                <w:tcPr>
                  <w:tcW w:w="933"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10</w:t>
                  </w:r>
                </w:p>
              </w:tc>
              <w:tc>
                <w:tcPr>
                  <w:tcW w:w="1599"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7</w:t>
                  </w:r>
                </w:p>
              </w:tc>
              <w:tc>
                <w:tcPr>
                  <w:tcW w:w="961"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油性面漆</w:t>
                  </w:r>
                </w:p>
              </w:tc>
              <w:tc>
                <w:tcPr>
                  <w:tcW w:w="1417"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含二甲苯</w:t>
                  </w:r>
                  <w:r>
                    <w:rPr>
                      <w:rFonts w:ascii="Times New Roman" w:hAnsi="Times New Roman" w:eastAsia="宋体"/>
                    </w:rPr>
                    <w:t>3</w:t>
                  </w:r>
                  <w:r>
                    <w:rPr>
                      <w:rFonts w:hint="eastAsia" w:ascii="Times New Roman" w:hAnsi="Times New Roman" w:eastAsia="宋体"/>
                    </w:rPr>
                    <w:t>%</w:t>
                  </w:r>
                </w:p>
              </w:tc>
              <w:tc>
                <w:tcPr>
                  <w:tcW w:w="871"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0.006</w:t>
                  </w:r>
                </w:p>
              </w:tc>
              <w:tc>
                <w:tcPr>
                  <w:tcW w:w="933"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10</w:t>
                  </w:r>
                </w:p>
              </w:tc>
              <w:tc>
                <w:tcPr>
                  <w:tcW w:w="1599"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8</w:t>
                  </w:r>
                </w:p>
              </w:tc>
              <w:tc>
                <w:tcPr>
                  <w:tcW w:w="961" w:type="dxa"/>
                  <w:vMerge w:val="restart"/>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面漆稀释剂</w:t>
                  </w:r>
                </w:p>
              </w:tc>
              <w:tc>
                <w:tcPr>
                  <w:tcW w:w="1417"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含二甲苯</w:t>
                  </w:r>
                  <w:r>
                    <w:rPr>
                      <w:rFonts w:ascii="Times New Roman" w:hAnsi="Times New Roman" w:eastAsia="宋体"/>
                    </w:rPr>
                    <w:t>23</w:t>
                  </w:r>
                  <w:r>
                    <w:rPr>
                      <w:rFonts w:hint="eastAsia" w:ascii="Times New Roman" w:hAnsi="Times New Roman" w:eastAsia="宋体"/>
                    </w:rPr>
                    <w:t>%</w:t>
                  </w:r>
                </w:p>
              </w:tc>
              <w:tc>
                <w:tcPr>
                  <w:tcW w:w="871" w:type="dxa"/>
                  <w:vMerge w:val="restart"/>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0.023</w:t>
                  </w:r>
                </w:p>
              </w:tc>
              <w:tc>
                <w:tcPr>
                  <w:tcW w:w="933"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10</w:t>
                  </w:r>
                </w:p>
              </w:tc>
              <w:tc>
                <w:tcPr>
                  <w:tcW w:w="1599"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9</w:t>
                  </w:r>
                </w:p>
              </w:tc>
              <w:tc>
                <w:tcPr>
                  <w:tcW w:w="961" w:type="dxa"/>
                  <w:vMerge w:val="continue"/>
                  <w:vAlign w:val="center"/>
                </w:tcPr>
                <w:p>
                  <w:pPr>
                    <w:widowControl/>
                    <w:adjustRightInd w:val="0"/>
                    <w:snapToGrid w:val="0"/>
                    <w:jc w:val="center"/>
                    <w:rPr>
                      <w:rFonts w:ascii="Times New Roman" w:hAnsi="Times New Roman" w:eastAsia="宋体"/>
                    </w:rPr>
                  </w:pPr>
                </w:p>
              </w:tc>
              <w:tc>
                <w:tcPr>
                  <w:tcW w:w="1417"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含</w:t>
                  </w:r>
                  <w:r>
                    <w:rPr>
                      <w:rFonts w:ascii="Times New Roman" w:hAnsi="Times New Roman" w:eastAsia="宋体"/>
                    </w:rPr>
                    <w:t>S-</w:t>
                  </w:r>
                  <w:r>
                    <w:rPr>
                      <w:rFonts w:hint="eastAsia" w:ascii="Times New Roman" w:hAnsi="Times New Roman" w:eastAsia="宋体"/>
                    </w:rPr>
                    <w:t>1</w:t>
                  </w:r>
                  <w:r>
                    <w:rPr>
                      <w:rFonts w:ascii="Times New Roman" w:hAnsi="Times New Roman" w:eastAsia="宋体"/>
                    </w:rPr>
                    <w:t>00#</w:t>
                  </w:r>
                  <w:r>
                    <w:rPr>
                      <w:rFonts w:hint="eastAsia" w:ascii="Times New Roman" w:hAnsi="Times New Roman" w:eastAsia="宋体"/>
                    </w:rPr>
                    <w:t>溶剂油</w:t>
                  </w:r>
                  <w:r>
                    <w:rPr>
                      <w:rFonts w:ascii="Times New Roman" w:hAnsi="Times New Roman" w:eastAsia="宋体"/>
                    </w:rPr>
                    <w:t>54%</w:t>
                  </w:r>
                </w:p>
              </w:tc>
              <w:tc>
                <w:tcPr>
                  <w:tcW w:w="871" w:type="dxa"/>
                  <w:vMerge w:val="continue"/>
                  <w:vAlign w:val="center"/>
                </w:tcPr>
                <w:p>
                  <w:pPr>
                    <w:widowControl/>
                    <w:adjustRightInd w:val="0"/>
                    <w:snapToGrid w:val="0"/>
                    <w:jc w:val="center"/>
                    <w:rPr>
                      <w:rFonts w:ascii="Times New Roman" w:hAnsi="Times New Roman" w:eastAsia="宋体" w:cs="Times New Roman"/>
                      <w:bCs/>
                      <w:kern w:val="0"/>
                    </w:rPr>
                  </w:pPr>
                </w:p>
              </w:tc>
              <w:tc>
                <w:tcPr>
                  <w:tcW w:w="1426"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0.054</w:t>
                  </w:r>
                </w:p>
              </w:tc>
              <w:tc>
                <w:tcPr>
                  <w:tcW w:w="933"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2500</w:t>
                  </w:r>
                </w:p>
              </w:tc>
              <w:tc>
                <w:tcPr>
                  <w:tcW w:w="1599"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0.0000216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1</w:t>
                  </w:r>
                  <w:r>
                    <w:rPr>
                      <w:rFonts w:ascii="Times New Roman" w:hAnsi="Times New Roman" w:eastAsia="宋体" w:cs="宋体"/>
                      <w:bCs/>
                      <w:kern w:val="0"/>
                    </w:rPr>
                    <w:t>0</w:t>
                  </w:r>
                </w:p>
              </w:tc>
              <w:tc>
                <w:tcPr>
                  <w:tcW w:w="961"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面漆固化剂</w:t>
                  </w:r>
                </w:p>
              </w:tc>
              <w:tc>
                <w:tcPr>
                  <w:tcW w:w="1417" w:type="dxa"/>
                  <w:vAlign w:val="center"/>
                </w:tcPr>
                <w:p>
                  <w:pPr>
                    <w:widowControl/>
                    <w:adjustRightInd w:val="0"/>
                    <w:snapToGrid w:val="0"/>
                    <w:jc w:val="center"/>
                    <w:rPr>
                      <w:rFonts w:ascii="Times New Roman" w:hAnsi="Times New Roman" w:eastAsia="宋体"/>
                    </w:rPr>
                  </w:pPr>
                  <w:r>
                    <w:rPr>
                      <w:rFonts w:hint="eastAsia" w:ascii="Times New Roman" w:hAnsi="Times New Roman" w:eastAsia="宋体"/>
                    </w:rPr>
                    <w:t>含二甲苯</w:t>
                  </w:r>
                  <w:r>
                    <w:rPr>
                      <w:rFonts w:ascii="Times New Roman" w:hAnsi="Times New Roman" w:eastAsia="宋体"/>
                    </w:rPr>
                    <w:t>35</w:t>
                  </w:r>
                  <w:r>
                    <w:rPr>
                      <w:rFonts w:hint="eastAsia" w:ascii="Times New Roman" w:hAnsi="Times New Roman" w:eastAsia="宋体"/>
                    </w:rPr>
                    <w:t>%</w:t>
                  </w:r>
                </w:p>
              </w:tc>
              <w:tc>
                <w:tcPr>
                  <w:tcW w:w="871"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0.056</w:t>
                  </w:r>
                </w:p>
              </w:tc>
              <w:tc>
                <w:tcPr>
                  <w:tcW w:w="933"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10</w:t>
                  </w:r>
                </w:p>
              </w:tc>
              <w:tc>
                <w:tcPr>
                  <w:tcW w:w="1599" w:type="dxa"/>
                  <w:vAlign w:val="center"/>
                </w:tcPr>
                <w:p>
                  <w:pPr>
                    <w:widowControl/>
                    <w:adjustRightInd w:val="0"/>
                    <w:snapToGrid w:val="0"/>
                    <w:jc w:val="center"/>
                    <w:rPr>
                      <w:rFonts w:ascii="Times New Roman" w:hAnsi="Times New Roman" w:eastAsia="等线" w:cs="Times New Roman"/>
                    </w:rPr>
                  </w:pPr>
                  <w:r>
                    <w:rPr>
                      <w:rFonts w:ascii="Times New Roman" w:hAnsi="Times New Roman" w:eastAsia="等线" w:cs="Times New Roman"/>
                    </w:rPr>
                    <w:t>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1</w:t>
                  </w:r>
                  <w:r>
                    <w:rPr>
                      <w:rFonts w:ascii="Times New Roman" w:hAnsi="Times New Roman" w:eastAsia="宋体" w:cs="宋体"/>
                      <w:bCs/>
                      <w:kern w:val="0"/>
                    </w:rPr>
                    <w:t>1</w:t>
                  </w:r>
                </w:p>
              </w:tc>
              <w:tc>
                <w:tcPr>
                  <w:tcW w:w="2378" w:type="dxa"/>
                  <w:gridSpan w:val="2"/>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切削液</w:t>
                  </w:r>
                </w:p>
              </w:tc>
              <w:tc>
                <w:tcPr>
                  <w:tcW w:w="871"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0</w:t>
                  </w:r>
                  <w:r>
                    <w:rPr>
                      <w:rFonts w:ascii="Times New Roman" w:hAnsi="Times New Roman" w:eastAsia="宋体" w:cs="宋体"/>
                      <w:bCs/>
                      <w:kern w:val="0"/>
                    </w:rPr>
                    <w:t>.2</w:t>
                  </w:r>
                </w:p>
              </w:tc>
              <w:tc>
                <w:tcPr>
                  <w:tcW w:w="933"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2</w:t>
                  </w:r>
                  <w:r>
                    <w:rPr>
                      <w:rFonts w:ascii="Times New Roman" w:hAnsi="Times New Roman" w:eastAsia="宋体" w:cs="宋体"/>
                      <w:bCs/>
                      <w:kern w:val="0"/>
                    </w:rPr>
                    <w:t>500</w:t>
                  </w:r>
                </w:p>
              </w:tc>
              <w:tc>
                <w:tcPr>
                  <w:tcW w:w="1599"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宋体"/>
                      <w:bCs/>
                      <w:kern w:val="0"/>
                    </w:rPr>
                    <w:t>1</w:t>
                  </w:r>
                  <w:r>
                    <w:rPr>
                      <w:rFonts w:ascii="Times New Roman" w:hAnsi="Times New Roman" w:eastAsia="宋体" w:cs="宋体"/>
                      <w:bCs/>
                      <w:kern w:val="0"/>
                    </w:rPr>
                    <w:t>2</w:t>
                  </w:r>
                </w:p>
              </w:tc>
              <w:tc>
                <w:tcPr>
                  <w:tcW w:w="2378" w:type="dxa"/>
                  <w:gridSpan w:val="2"/>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rPr>
                    <w:t>机油</w:t>
                  </w:r>
                </w:p>
              </w:tc>
              <w:tc>
                <w:tcPr>
                  <w:tcW w:w="871"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宋体" w:cs="Times New Roman"/>
                      <w:bCs/>
                      <w:kern w:val="0"/>
                    </w:rPr>
                  </w:pPr>
                  <w:r>
                    <w:rPr>
                      <w:rFonts w:ascii="Times New Roman" w:hAnsi="Times New Roman" w:eastAsia="宋体" w:cs="Times New Roman"/>
                      <w:bCs/>
                      <w:kern w:val="0"/>
                    </w:rPr>
                    <w:t>0.2</w:t>
                  </w:r>
                </w:p>
              </w:tc>
              <w:tc>
                <w:tcPr>
                  <w:tcW w:w="933" w:type="dxa"/>
                  <w:vAlign w:val="center"/>
                </w:tcPr>
                <w:p>
                  <w:pPr>
                    <w:widowControl/>
                    <w:adjustRightInd w:val="0"/>
                    <w:snapToGrid w:val="0"/>
                    <w:jc w:val="center"/>
                    <w:rPr>
                      <w:rFonts w:ascii="Times New Roman" w:hAnsi="Times New Roman" w:eastAsia="宋体" w:cs="Times New Roman"/>
                      <w:bCs/>
                      <w:kern w:val="0"/>
                    </w:rPr>
                  </w:pPr>
                  <w:r>
                    <w:rPr>
                      <w:rFonts w:ascii="Times New Roman" w:hAnsi="Times New Roman" w:eastAsia="宋体" w:cs="Times New Roman"/>
                      <w:bCs/>
                      <w:kern w:val="0"/>
                    </w:rPr>
                    <w:t>2500</w:t>
                  </w:r>
                </w:p>
              </w:tc>
              <w:tc>
                <w:tcPr>
                  <w:tcW w:w="1599"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Times New Roman"/>
                      <w:bCs/>
                      <w:kern w:val="0"/>
                    </w:rPr>
                  </w:pPr>
                  <w:r>
                    <w:rPr>
                      <w:rFonts w:ascii="Times New Roman" w:hAnsi="Times New Roman" w:eastAsia="宋体" w:cs="Times New Roman"/>
                      <w:bCs/>
                      <w:kern w:val="0"/>
                    </w:rPr>
                    <w:t>13</w:t>
                  </w:r>
                </w:p>
              </w:tc>
              <w:tc>
                <w:tcPr>
                  <w:tcW w:w="2378" w:type="dxa"/>
                  <w:gridSpan w:val="2"/>
                  <w:vAlign w:val="center"/>
                </w:tcPr>
                <w:p>
                  <w:pPr>
                    <w:widowControl/>
                    <w:adjustRightInd w:val="0"/>
                    <w:snapToGrid w:val="0"/>
                    <w:jc w:val="center"/>
                    <w:rPr>
                      <w:rFonts w:ascii="Times New Roman" w:hAnsi="Times New Roman" w:eastAsia="宋体" w:cs="Times New Roman"/>
                    </w:rPr>
                  </w:pPr>
                  <w:r>
                    <w:rPr>
                      <w:rFonts w:hint="eastAsia" w:ascii="Times New Roman" w:hAnsi="Times New Roman" w:eastAsia="宋体" w:cs="宋体"/>
                      <w:bCs/>
                      <w:kern w:val="0"/>
                    </w:rPr>
                    <w:t>废切削液</w:t>
                  </w:r>
                </w:p>
              </w:tc>
              <w:tc>
                <w:tcPr>
                  <w:tcW w:w="871"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宋体" w:cs="Times New Roman"/>
                      <w:bCs/>
                      <w:kern w:val="0"/>
                    </w:rPr>
                  </w:pPr>
                  <w:r>
                    <w:rPr>
                      <w:rFonts w:ascii="Times New Roman" w:hAnsi="Times New Roman" w:eastAsia="宋体" w:cs="宋体"/>
                      <w:bCs/>
                      <w:kern w:val="0"/>
                    </w:rPr>
                    <w:t>0.43</w:t>
                  </w:r>
                </w:p>
              </w:tc>
              <w:tc>
                <w:tcPr>
                  <w:tcW w:w="933" w:type="dxa"/>
                  <w:vAlign w:val="center"/>
                </w:tcPr>
                <w:p>
                  <w:pPr>
                    <w:widowControl/>
                    <w:adjustRightInd w:val="0"/>
                    <w:snapToGrid w:val="0"/>
                    <w:jc w:val="center"/>
                    <w:rPr>
                      <w:rFonts w:ascii="Times New Roman" w:hAnsi="Times New Roman" w:eastAsia="宋体" w:cs="Times New Roman"/>
                      <w:bCs/>
                      <w:kern w:val="0"/>
                    </w:rPr>
                  </w:pPr>
                  <w:r>
                    <w:rPr>
                      <w:rFonts w:ascii="Times New Roman" w:hAnsi="Times New Roman" w:eastAsia="宋体" w:cs="宋体"/>
                      <w:bCs/>
                      <w:kern w:val="0"/>
                    </w:rPr>
                    <w:t>50</w:t>
                  </w:r>
                </w:p>
              </w:tc>
              <w:tc>
                <w:tcPr>
                  <w:tcW w:w="1599" w:type="dxa"/>
                  <w:vAlign w:val="center"/>
                </w:tcPr>
                <w:p>
                  <w:pPr>
                    <w:widowControl/>
                    <w:adjustRightInd w:val="0"/>
                    <w:snapToGrid w:val="0"/>
                    <w:jc w:val="center"/>
                    <w:rPr>
                      <w:rFonts w:ascii="Times New Roman" w:hAnsi="Times New Roman" w:eastAsia="宋体" w:cs="宋体"/>
                      <w:bCs/>
                      <w:kern w:val="0"/>
                    </w:rPr>
                  </w:pPr>
                  <w:r>
                    <w:rPr>
                      <w:rFonts w:hint="eastAsia" w:ascii="Times New Roman" w:hAnsi="Times New Roman" w:eastAsia="宋体" w:cs="宋体"/>
                      <w:bCs/>
                      <w:kern w:val="0"/>
                    </w:rPr>
                    <w:t>0.0086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34" w:type="dxa"/>
                  <w:vAlign w:val="center"/>
                </w:tcPr>
                <w:p>
                  <w:pPr>
                    <w:widowControl/>
                    <w:adjustRightInd w:val="0"/>
                    <w:snapToGrid w:val="0"/>
                    <w:jc w:val="center"/>
                    <w:rPr>
                      <w:rFonts w:ascii="Times New Roman" w:hAnsi="Times New Roman" w:eastAsia="宋体" w:cs="Times New Roman"/>
                      <w:bCs/>
                      <w:kern w:val="0"/>
                    </w:rPr>
                  </w:pPr>
                  <w:r>
                    <w:rPr>
                      <w:rFonts w:ascii="Times New Roman" w:hAnsi="Times New Roman" w:eastAsia="宋体" w:cs="Times New Roman"/>
                      <w:bCs/>
                      <w:kern w:val="0"/>
                    </w:rPr>
                    <w:t>1</w:t>
                  </w:r>
                  <w:r>
                    <w:rPr>
                      <w:rFonts w:hint="eastAsia" w:ascii="Times New Roman" w:hAnsi="Times New Roman" w:eastAsia="宋体" w:cs="Times New Roman"/>
                      <w:bCs/>
                      <w:kern w:val="0"/>
                    </w:rPr>
                    <w:t>4</w:t>
                  </w:r>
                </w:p>
              </w:tc>
              <w:tc>
                <w:tcPr>
                  <w:tcW w:w="2378" w:type="dxa"/>
                  <w:gridSpan w:val="2"/>
                  <w:vAlign w:val="center"/>
                </w:tcPr>
                <w:p>
                  <w:pPr>
                    <w:widowControl/>
                    <w:adjustRightInd w:val="0"/>
                    <w:snapToGrid w:val="0"/>
                    <w:jc w:val="center"/>
                    <w:rPr>
                      <w:rFonts w:ascii="Times New Roman" w:hAnsi="Times New Roman" w:eastAsia="宋体" w:cs="Times New Roman"/>
                    </w:rPr>
                  </w:pPr>
                  <w:r>
                    <w:rPr>
                      <w:rFonts w:hint="eastAsia" w:ascii="Times New Roman" w:hAnsi="Times New Roman" w:eastAsia="宋体" w:cs="Times New Roman"/>
                    </w:rPr>
                    <w:t>废机油</w:t>
                  </w:r>
                </w:p>
              </w:tc>
              <w:tc>
                <w:tcPr>
                  <w:tcW w:w="871"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桶装</w:t>
                  </w:r>
                </w:p>
              </w:tc>
              <w:tc>
                <w:tcPr>
                  <w:tcW w:w="1426" w:type="dxa"/>
                  <w:vAlign w:val="center"/>
                </w:tcPr>
                <w:p>
                  <w:pPr>
                    <w:widowControl/>
                    <w:adjustRightInd w:val="0"/>
                    <w:snapToGrid w:val="0"/>
                    <w:jc w:val="center"/>
                    <w:rPr>
                      <w:rFonts w:ascii="Times New Roman" w:hAnsi="Times New Roman" w:eastAsia="宋体" w:cs="Times New Roman"/>
                      <w:bCs/>
                      <w:kern w:val="0"/>
                    </w:rPr>
                  </w:pPr>
                  <w:r>
                    <w:rPr>
                      <w:rFonts w:ascii="Times New Roman" w:hAnsi="Times New Roman" w:eastAsia="宋体" w:cs="Times New Roman"/>
                      <w:bCs/>
                      <w:kern w:val="0"/>
                    </w:rPr>
                    <w:t>0.15</w:t>
                  </w:r>
                </w:p>
              </w:tc>
              <w:tc>
                <w:tcPr>
                  <w:tcW w:w="933" w:type="dxa"/>
                  <w:vAlign w:val="center"/>
                </w:tcPr>
                <w:p>
                  <w:pPr>
                    <w:widowControl/>
                    <w:adjustRightInd w:val="0"/>
                    <w:snapToGrid w:val="0"/>
                    <w:jc w:val="center"/>
                    <w:rPr>
                      <w:rFonts w:ascii="Times New Roman" w:hAnsi="Times New Roman" w:eastAsia="宋体" w:cs="Times New Roman"/>
                      <w:bCs/>
                      <w:kern w:val="0"/>
                    </w:rPr>
                  </w:pPr>
                  <w:r>
                    <w:rPr>
                      <w:rFonts w:ascii="Times New Roman" w:hAnsi="Times New Roman" w:eastAsia="宋体" w:cs="Times New Roman"/>
                      <w:bCs/>
                      <w:kern w:val="0"/>
                    </w:rPr>
                    <w:t>50</w:t>
                  </w:r>
                </w:p>
              </w:tc>
              <w:tc>
                <w:tcPr>
                  <w:tcW w:w="1599" w:type="dxa"/>
                  <w:vAlign w:val="center"/>
                </w:tcPr>
                <w:p>
                  <w:pPr>
                    <w:widowControl/>
                    <w:adjustRightInd w:val="0"/>
                    <w:snapToGrid w:val="0"/>
                    <w:jc w:val="center"/>
                    <w:rPr>
                      <w:rFonts w:ascii="Times New Roman" w:hAnsi="Times New Roman" w:eastAsia="宋体" w:cs="Times New Roman"/>
                      <w:bCs/>
                      <w:kern w:val="0"/>
                    </w:rPr>
                  </w:pPr>
                  <w:r>
                    <w:rPr>
                      <w:rFonts w:hint="eastAsia" w:ascii="Times New Roman" w:hAnsi="Times New Roman" w:eastAsia="宋体" w:cs="Times New Roman"/>
                      <w:bCs/>
                      <w:kern w:val="0"/>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912" w:type="dxa"/>
                  <w:gridSpan w:val="3"/>
                  <w:vAlign w:val="center"/>
                </w:tcPr>
                <w:p>
                  <w:pPr>
                    <w:widowControl/>
                    <w:adjustRightInd w:val="0"/>
                    <w:snapToGrid w:val="0"/>
                    <w:jc w:val="center"/>
                    <w:rPr>
                      <w:rFonts w:ascii="Times New Roman" w:hAnsi="Times New Roman" w:eastAsia="宋体" w:cs="Times New Roman"/>
                    </w:rPr>
                  </w:pPr>
                  <w:r>
                    <w:rPr>
                      <w:rFonts w:hint="eastAsia" w:ascii="Times New Roman" w:hAnsi="Times New Roman" w:eastAsia="宋体" w:cs="Times New Roman"/>
                    </w:rPr>
                    <w:t>合计</w:t>
                  </w:r>
                </w:p>
              </w:tc>
              <w:tc>
                <w:tcPr>
                  <w:tcW w:w="871" w:type="dxa"/>
                  <w:vAlign w:val="center"/>
                </w:tcPr>
                <w:p>
                  <w:pPr>
                    <w:widowControl/>
                    <w:adjustRightInd w:val="0"/>
                    <w:snapToGrid w:val="0"/>
                    <w:jc w:val="center"/>
                    <w:rPr>
                      <w:rFonts w:ascii="Times New Roman" w:hAnsi="Times New Roman" w:eastAsia="宋体" w:cs="Times New Roman"/>
                      <w:bCs/>
                      <w:kern w:val="0"/>
                    </w:rPr>
                  </w:pPr>
                </w:p>
              </w:tc>
              <w:tc>
                <w:tcPr>
                  <w:tcW w:w="1426" w:type="dxa"/>
                  <w:vAlign w:val="center"/>
                </w:tcPr>
                <w:p>
                  <w:pPr>
                    <w:widowControl/>
                    <w:adjustRightInd w:val="0"/>
                    <w:snapToGrid w:val="0"/>
                    <w:jc w:val="center"/>
                    <w:rPr>
                      <w:rFonts w:ascii="Times New Roman" w:hAnsi="Times New Roman" w:eastAsia="宋体" w:cs="Times New Roman"/>
                      <w:bCs/>
                      <w:kern w:val="0"/>
                    </w:rPr>
                  </w:pPr>
                </w:p>
              </w:tc>
              <w:tc>
                <w:tcPr>
                  <w:tcW w:w="933" w:type="dxa"/>
                  <w:vAlign w:val="center"/>
                </w:tcPr>
                <w:p>
                  <w:pPr>
                    <w:widowControl/>
                    <w:adjustRightInd w:val="0"/>
                    <w:snapToGrid w:val="0"/>
                    <w:jc w:val="center"/>
                    <w:rPr>
                      <w:rFonts w:ascii="Times New Roman" w:hAnsi="Times New Roman" w:eastAsia="宋体" w:cs="Times New Roman"/>
                      <w:bCs/>
                      <w:kern w:val="0"/>
                    </w:rPr>
                  </w:pPr>
                </w:p>
              </w:tc>
              <w:tc>
                <w:tcPr>
                  <w:tcW w:w="1599" w:type="dxa"/>
                  <w:vAlign w:val="center"/>
                </w:tcPr>
                <w:p>
                  <w:pPr>
                    <w:widowControl/>
                    <w:jc w:val="center"/>
                    <w:rPr>
                      <w:rFonts w:ascii="Times New Roman" w:hAnsi="Times New Roman" w:eastAsia="等线" w:cs="Times New Roman"/>
                      <w:kern w:val="0"/>
                    </w:rPr>
                  </w:pPr>
                  <w:r>
                    <w:rPr>
                      <w:rFonts w:ascii="Times New Roman" w:hAnsi="Times New Roman" w:eastAsia="等线" w:cs="Times New Roman"/>
                    </w:rPr>
                    <w:t>0.0514056</w:t>
                  </w:r>
                </w:p>
              </w:tc>
            </w:tr>
          </w:tbl>
          <w:p>
            <w:pPr>
              <w:adjustRightInd w:val="0"/>
              <w:snapToGrid w:val="0"/>
              <w:spacing w:line="360" w:lineRule="auto"/>
              <w:ind w:firstLine="482"/>
              <w:rPr>
                <w:rFonts w:ascii="Times New Roman" w:hAnsi="Times New Roman" w:eastAsia="宋体"/>
                <w:sz w:val="24"/>
              </w:rPr>
            </w:pPr>
            <w:r>
              <w:rPr>
                <w:rFonts w:hint="eastAsia" w:ascii="Times New Roman" w:hAnsi="Times New Roman" w:eastAsia="宋体"/>
                <w:sz w:val="24"/>
                <w:szCs w:val="24"/>
              </w:rPr>
              <w:t>经计算，q/Q＜1，该项目环境风险潜势为Ⅰ，本次风险评价工作等级为简单分析，只需在描述危险物质、环境影响途径、环境危害后果、风险防范措施等方面给出定性的说明。</w:t>
            </w:r>
          </w:p>
          <w:p>
            <w:pPr>
              <w:adjustRightInd w:val="0"/>
              <w:snapToGrid w:val="0"/>
              <w:spacing w:line="360" w:lineRule="auto"/>
              <w:ind w:firstLine="482"/>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）环境风险</w:t>
            </w:r>
            <w:r>
              <w:rPr>
                <w:rFonts w:hint="eastAsia" w:ascii="Times New Roman" w:hAnsi="Times New Roman" w:eastAsia="宋体"/>
                <w:bCs/>
                <w:kern w:val="0"/>
                <w:sz w:val="24"/>
              </w:rPr>
              <w:t>源项分析</w:t>
            </w:r>
          </w:p>
          <w:p>
            <w:pPr>
              <w:adjustRightInd w:val="0"/>
              <w:snapToGrid w:val="0"/>
              <w:spacing w:line="360" w:lineRule="auto"/>
              <w:ind w:firstLine="482"/>
              <w:rPr>
                <w:rFonts w:ascii="Times New Roman" w:hAnsi="Times New Roman" w:eastAsia="宋体"/>
                <w:sz w:val="24"/>
              </w:rPr>
            </w:pPr>
            <w:r>
              <w:rPr>
                <w:rFonts w:hint="eastAsia" w:ascii="Times New Roman" w:hAnsi="Times New Roman" w:eastAsia="宋体"/>
                <w:sz w:val="24"/>
              </w:rPr>
              <w:t>①风险物质</w:t>
            </w:r>
          </w:p>
          <w:p>
            <w:pPr>
              <w:adjustRightInd w:val="0"/>
              <w:snapToGrid w:val="0"/>
              <w:spacing w:line="360" w:lineRule="auto"/>
              <w:ind w:firstLine="482"/>
              <w:rPr>
                <w:rFonts w:ascii="Times New Roman" w:hAnsi="Times New Roman" w:eastAsia="宋体"/>
                <w:sz w:val="24"/>
              </w:rPr>
            </w:pPr>
            <w:r>
              <w:rPr>
                <w:rFonts w:hint="eastAsia" w:ascii="Times New Roman" w:hAnsi="Times New Roman" w:eastAsia="宋体"/>
                <w:sz w:val="24"/>
              </w:rPr>
              <w:t>本项目生产中风险物质为涂料（防热涂料、油漆、清洗剂）、切削液、机</w:t>
            </w:r>
            <w:r>
              <w:rPr>
                <w:rFonts w:hint="eastAsia" w:ascii="Times New Roman" w:hAnsi="Times New Roman" w:eastAsia="宋体"/>
                <w:sz w:val="24"/>
                <w:szCs w:val="24"/>
              </w:rPr>
              <w:t>油、废</w:t>
            </w:r>
            <w:r>
              <w:rPr>
                <w:rFonts w:hint="eastAsia" w:ascii="Times New Roman" w:hAnsi="Times New Roman" w:eastAsia="宋体"/>
                <w:sz w:val="24"/>
              </w:rPr>
              <w:t>切削液、</w:t>
            </w:r>
            <w:r>
              <w:rPr>
                <w:rFonts w:hint="eastAsia" w:ascii="Times New Roman" w:hAnsi="Times New Roman" w:eastAsia="宋体"/>
                <w:sz w:val="24"/>
                <w:szCs w:val="24"/>
              </w:rPr>
              <w:t>废</w:t>
            </w:r>
            <w:r>
              <w:rPr>
                <w:rFonts w:hint="eastAsia" w:ascii="Times New Roman" w:hAnsi="Times New Roman" w:eastAsia="宋体"/>
                <w:sz w:val="24"/>
              </w:rPr>
              <w:t>机</w:t>
            </w:r>
            <w:r>
              <w:rPr>
                <w:rFonts w:hint="eastAsia" w:ascii="Times New Roman" w:hAnsi="Times New Roman" w:eastAsia="宋体"/>
                <w:sz w:val="24"/>
                <w:szCs w:val="24"/>
              </w:rPr>
              <w:t>油</w:t>
            </w:r>
            <w:r>
              <w:rPr>
                <w:rFonts w:hint="eastAsia" w:ascii="Times New Roman" w:hAnsi="Times New Roman" w:eastAsia="宋体"/>
                <w:sz w:val="24"/>
              </w:rPr>
              <w:t>。</w:t>
            </w:r>
          </w:p>
          <w:p>
            <w:pPr>
              <w:adjustRightInd w:val="0"/>
              <w:snapToGrid w:val="0"/>
              <w:spacing w:line="360" w:lineRule="auto"/>
              <w:ind w:firstLine="482"/>
              <w:rPr>
                <w:rFonts w:ascii="Times New Roman" w:hAnsi="Times New Roman" w:eastAsia="宋体"/>
                <w:sz w:val="24"/>
              </w:rPr>
            </w:pPr>
            <w:r>
              <w:rPr>
                <w:rFonts w:hint="eastAsia" w:ascii="Times New Roman" w:hAnsi="Times New Roman" w:eastAsia="宋体"/>
                <w:sz w:val="24"/>
              </w:rPr>
              <w:t>②生产系统危险性</w:t>
            </w:r>
          </w:p>
          <w:p>
            <w:pPr>
              <w:pStyle w:val="84"/>
              <w:rPr>
                <w:rFonts w:cs="宋体"/>
                <w:lang w:val="zh-CN"/>
              </w:rPr>
            </w:pPr>
            <w:r>
              <w:rPr>
                <w:rFonts w:hint="eastAsia"/>
                <w:lang w:val="zh-CN"/>
              </w:rPr>
              <w:t>表</w:t>
            </w:r>
            <w:r>
              <w:rPr>
                <w:rFonts w:hint="eastAsia"/>
              </w:rPr>
              <w:t>4-</w:t>
            </w:r>
            <w:r>
              <w:t>16</w:t>
            </w:r>
            <w:r>
              <w:rPr>
                <w:rFonts w:hint="eastAsia"/>
                <w:lang w:val="zh-CN"/>
              </w:rPr>
              <w:t xml:space="preserve">  项目生产过程危害因素分析汇总一览表</w:t>
            </w:r>
          </w:p>
          <w:tbl>
            <w:tblPr>
              <w:tblStyle w:val="2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105"/>
              <w:gridCol w:w="2038"/>
              <w:gridCol w:w="1559"/>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9" w:type="dxa"/>
                  <w:vAlign w:val="center"/>
                </w:tcPr>
                <w:p>
                  <w:pPr>
                    <w:autoSpaceDE w:val="0"/>
                    <w:autoSpaceDN w:val="0"/>
                    <w:adjustRightInd w:val="0"/>
                    <w:jc w:val="center"/>
                    <w:rPr>
                      <w:rFonts w:ascii="Times New Roman" w:hAnsi="Times New Roman" w:eastAsia="宋体"/>
                      <w:b/>
                      <w:bCs/>
                      <w:kern w:val="0"/>
                    </w:rPr>
                  </w:pPr>
                  <w:r>
                    <w:rPr>
                      <w:rFonts w:ascii="Times New Roman" w:hAnsi="Times New Roman" w:eastAsia="宋体"/>
                      <w:b/>
                      <w:bCs/>
                      <w:kern w:val="0"/>
                    </w:rPr>
                    <w:t>装置名称</w:t>
                  </w:r>
                </w:p>
              </w:tc>
              <w:tc>
                <w:tcPr>
                  <w:tcW w:w="1105" w:type="dxa"/>
                  <w:vAlign w:val="center"/>
                </w:tcPr>
                <w:p>
                  <w:pPr>
                    <w:autoSpaceDE w:val="0"/>
                    <w:autoSpaceDN w:val="0"/>
                    <w:adjustRightInd w:val="0"/>
                    <w:jc w:val="center"/>
                    <w:rPr>
                      <w:rFonts w:ascii="Times New Roman" w:hAnsi="Times New Roman" w:eastAsia="宋体"/>
                      <w:b/>
                      <w:bCs/>
                      <w:kern w:val="0"/>
                    </w:rPr>
                  </w:pPr>
                  <w:r>
                    <w:rPr>
                      <w:rFonts w:ascii="Times New Roman" w:hAnsi="Times New Roman" w:eastAsia="宋体"/>
                      <w:b/>
                      <w:bCs/>
                      <w:kern w:val="0"/>
                    </w:rPr>
                    <w:t>作业特点</w:t>
                  </w:r>
                </w:p>
              </w:tc>
              <w:tc>
                <w:tcPr>
                  <w:tcW w:w="2038" w:type="dxa"/>
                  <w:vAlign w:val="center"/>
                </w:tcPr>
                <w:p>
                  <w:pPr>
                    <w:autoSpaceDE w:val="0"/>
                    <w:autoSpaceDN w:val="0"/>
                    <w:adjustRightInd w:val="0"/>
                    <w:jc w:val="center"/>
                    <w:rPr>
                      <w:rFonts w:ascii="Times New Roman" w:hAnsi="Times New Roman" w:eastAsia="宋体"/>
                      <w:b/>
                      <w:bCs/>
                      <w:kern w:val="0"/>
                    </w:rPr>
                  </w:pPr>
                  <w:r>
                    <w:rPr>
                      <w:rFonts w:ascii="Times New Roman" w:hAnsi="Times New Roman" w:eastAsia="宋体"/>
                      <w:b/>
                      <w:bCs/>
                      <w:kern w:val="0"/>
                    </w:rPr>
                    <w:t>物料名称</w:t>
                  </w:r>
                </w:p>
              </w:tc>
              <w:tc>
                <w:tcPr>
                  <w:tcW w:w="1559" w:type="dxa"/>
                  <w:vAlign w:val="center"/>
                </w:tcPr>
                <w:p>
                  <w:pPr>
                    <w:autoSpaceDE w:val="0"/>
                    <w:autoSpaceDN w:val="0"/>
                    <w:adjustRightInd w:val="0"/>
                    <w:jc w:val="center"/>
                    <w:rPr>
                      <w:rFonts w:ascii="Times New Roman" w:hAnsi="Times New Roman" w:eastAsia="宋体"/>
                      <w:b/>
                      <w:bCs/>
                      <w:kern w:val="0"/>
                    </w:rPr>
                  </w:pPr>
                  <w:r>
                    <w:rPr>
                      <w:rFonts w:ascii="Times New Roman" w:hAnsi="Times New Roman" w:eastAsia="宋体"/>
                      <w:b/>
                      <w:bCs/>
                      <w:kern w:val="0"/>
                    </w:rPr>
                    <w:t>危险因素</w:t>
                  </w:r>
                </w:p>
              </w:tc>
              <w:tc>
                <w:tcPr>
                  <w:tcW w:w="1855" w:type="dxa"/>
                  <w:vAlign w:val="center"/>
                </w:tcPr>
                <w:p>
                  <w:pPr>
                    <w:autoSpaceDE w:val="0"/>
                    <w:autoSpaceDN w:val="0"/>
                    <w:adjustRightInd w:val="0"/>
                    <w:jc w:val="center"/>
                    <w:rPr>
                      <w:rFonts w:ascii="Times New Roman" w:hAnsi="Times New Roman" w:eastAsia="宋体"/>
                      <w:b/>
                      <w:bCs/>
                      <w:kern w:val="0"/>
                    </w:rPr>
                  </w:pPr>
                  <w:r>
                    <w:rPr>
                      <w:rFonts w:ascii="Times New Roman" w:hAnsi="Times New Roman" w:eastAsia="宋体"/>
                      <w:b/>
                      <w:bCs/>
                      <w:kern w:val="0"/>
                    </w:rPr>
                    <w:t>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9" w:type="dxa"/>
                  <w:vAlign w:val="center"/>
                </w:tcPr>
                <w:p>
                  <w:pPr>
                    <w:autoSpaceDE w:val="0"/>
                    <w:autoSpaceDN w:val="0"/>
                    <w:adjustRightInd w:val="0"/>
                    <w:snapToGrid w:val="0"/>
                    <w:jc w:val="center"/>
                    <w:rPr>
                      <w:rFonts w:ascii="Times New Roman" w:hAnsi="Times New Roman" w:eastAsia="宋体"/>
                      <w:kern w:val="0"/>
                    </w:rPr>
                  </w:pPr>
                  <w:r>
                    <w:rPr>
                      <w:rFonts w:hint="eastAsia" w:ascii="Times New Roman" w:hAnsi="Times New Roman" w:eastAsia="宋体"/>
                      <w:kern w:val="0"/>
                    </w:rPr>
                    <w:t>生产区</w:t>
                  </w:r>
                </w:p>
              </w:tc>
              <w:tc>
                <w:tcPr>
                  <w:tcW w:w="1105" w:type="dxa"/>
                  <w:vAlign w:val="center"/>
                </w:tcPr>
                <w:p>
                  <w:pPr>
                    <w:autoSpaceDE w:val="0"/>
                    <w:autoSpaceDN w:val="0"/>
                    <w:adjustRightInd w:val="0"/>
                    <w:snapToGrid w:val="0"/>
                    <w:jc w:val="center"/>
                    <w:rPr>
                      <w:rFonts w:ascii="Times New Roman" w:hAnsi="Times New Roman" w:eastAsia="宋体"/>
                      <w:kern w:val="0"/>
                    </w:rPr>
                  </w:pPr>
                  <w:r>
                    <w:rPr>
                      <w:rFonts w:hint="eastAsia" w:ascii="Times New Roman" w:hAnsi="Times New Roman" w:eastAsia="宋体"/>
                      <w:kern w:val="0"/>
                    </w:rPr>
                    <w:t>操作过程反应</w:t>
                  </w:r>
                </w:p>
              </w:tc>
              <w:tc>
                <w:tcPr>
                  <w:tcW w:w="2038" w:type="dxa"/>
                  <w:vAlign w:val="center"/>
                </w:tcPr>
                <w:p>
                  <w:pPr>
                    <w:autoSpaceDE w:val="0"/>
                    <w:autoSpaceDN w:val="0"/>
                    <w:adjustRightInd w:val="0"/>
                    <w:snapToGrid w:val="0"/>
                    <w:jc w:val="center"/>
                    <w:rPr>
                      <w:rFonts w:ascii="Times New Roman" w:hAnsi="Times New Roman" w:eastAsia="宋体"/>
                      <w:kern w:val="0"/>
                    </w:rPr>
                  </w:pPr>
                  <w:r>
                    <w:rPr>
                      <w:rFonts w:hint="eastAsia" w:ascii="Times New Roman" w:hAnsi="Times New Roman" w:eastAsia="宋体"/>
                      <w:kern w:val="0"/>
                    </w:rPr>
                    <w:t>易燃物料</w:t>
                  </w:r>
                </w:p>
              </w:tc>
              <w:tc>
                <w:tcPr>
                  <w:tcW w:w="1559" w:type="dxa"/>
                  <w:vAlign w:val="center"/>
                </w:tcPr>
                <w:p>
                  <w:pPr>
                    <w:autoSpaceDE w:val="0"/>
                    <w:autoSpaceDN w:val="0"/>
                    <w:adjustRightInd w:val="0"/>
                    <w:snapToGrid w:val="0"/>
                    <w:jc w:val="center"/>
                    <w:rPr>
                      <w:rFonts w:ascii="Times New Roman" w:hAnsi="Times New Roman" w:eastAsia="宋体"/>
                      <w:kern w:val="0"/>
                    </w:rPr>
                  </w:pPr>
                  <w:r>
                    <w:rPr>
                      <w:rFonts w:hint="eastAsia" w:ascii="Times New Roman" w:hAnsi="Times New Roman" w:eastAsia="宋体"/>
                      <w:kern w:val="0"/>
                    </w:rPr>
                    <w:t>泄漏、遇明火燃烧</w:t>
                  </w:r>
                </w:p>
              </w:tc>
              <w:tc>
                <w:tcPr>
                  <w:tcW w:w="1855" w:type="dxa"/>
                  <w:vAlign w:val="center"/>
                </w:tcPr>
                <w:p>
                  <w:pPr>
                    <w:autoSpaceDE w:val="0"/>
                    <w:autoSpaceDN w:val="0"/>
                    <w:adjustRightInd w:val="0"/>
                    <w:snapToGrid w:val="0"/>
                    <w:jc w:val="center"/>
                    <w:rPr>
                      <w:rFonts w:ascii="Times New Roman" w:hAnsi="Times New Roman" w:eastAsia="宋体"/>
                      <w:kern w:val="0"/>
                    </w:rPr>
                  </w:pPr>
                  <w:r>
                    <w:rPr>
                      <w:rFonts w:ascii="Times New Roman" w:hAnsi="Times New Roman" w:eastAsia="宋体"/>
                      <w:kern w:val="0"/>
                    </w:rPr>
                    <w:t>泄漏</w:t>
                  </w:r>
                  <w:r>
                    <w:rPr>
                      <w:rFonts w:hint="eastAsia" w:ascii="Times New Roman" w:hAnsi="Times New Roman" w:eastAsia="宋体"/>
                      <w:kern w:val="0"/>
                    </w:rPr>
                    <w:t>、火灾，</w:t>
                  </w:r>
                  <w:r>
                    <w:rPr>
                      <w:rFonts w:ascii="Times New Roman" w:hAnsi="Times New Roman" w:eastAsia="宋体"/>
                      <w:kern w:val="0"/>
                    </w:rPr>
                    <w:t>污染大气</w:t>
                  </w:r>
                </w:p>
              </w:tc>
            </w:tr>
          </w:tbl>
          <w:p>
            <w:pPr>
              <w:pStyle w:val="74"/>
              <w:ind w:firstLine="496" w:firstLineChars="200"/>
              <w:rPr>
                <w:rFonts w:ascii="Times New Roman" w:hAnsi="Times New Roman" w:eastAsia="宋体"/>
              </w:rPr>
            </w:pPr>
            <w:r>
              <w:rPr>
                <w:rFonts w:hint="eastAsia" w:ascii="Times New Roman" w:hAnsi="Times New Roman" w:eastAsia="宋体"/>
              </w:rPr>
              <w:t>③</w:t>
            </w:r>
            <w:r>
              <w:rPr>
                <w:rFonts w:ascii="Times New Roman" w:hAnsi="Times New Roman" w:eastAsia="宋体"/>
              </w:rPr>
              <w:t>环境风险类型及危害分析</w:t>
            </w:r>
          </w:p>
          <w:p>
            <w:pPr>
              <w:pStyle w:val="74"/>
              <w:ind w:firstLine="496" w:firstLineChars="200"/>
              <w:rPr>
                <w:rFonts w:ascii="Times New Roman" w:hAnsi="Times New Roman" w:eastAsia="宋体"/>
              </w:rPr>
            </w:pPr>
            <w:r>
              <w:rPr>
                <w:rFonts w:hint="eastAsia" w:ascii="Times New Roman" w:hAnsi="Times New Roman" w:eastAsia="宋体"/>
              </w:rPr>
              <w:t>根据对项目的物质和生产系统危险性的识别，项目可能发生的突发环境风险事件类型及危害分析见下表：</w:t>
            </w:r>
          </w:p>
          <w:p>
            <w:pPr>
              <w:pStyle w:val="84"/>
              <w:rPr>
                <w:rFonts w:cs="宋体"/>
                <w:bCs/>
                <w:lang w:val="zh-CN"/>
              </w:rPr>
            </w:pPr>
            <w:r>
              <w:rPr>
                <w:rFonts w:hint="eastAsia"/>
                <w:lang w:val="zh-CN"/>
              </w:rPr>
              <w:t>表</w:t>
            </w:r>
            <w:r>
              <w:rPr>
                <w:rFonts w:hint="eastAsia"/>
              </w:rPr>
              <w:t>4-</w:t>
            </w:r>
            <w:r>
              <w:t>17</w:t>
            </w:r>
            <w:r>
              <w:rPr>
                <w:rFonts w:hint="eastAsia"/>
                <w:lang w:val="zh-CN"/>
              </w:rPr>
              <w:t xml:space="preserve">  项目环境风险类型及危害分析一览表</w:t>
            </w:r>
          </w:p>
          <w:tbl>
            <w:tblPr>
              <w:tblStyle w:val="2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89"/>
              <w:gridCol w:w="1076"/>
              <w:gridCol w:w="1521"/>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2" w:type="dxa"/>
                  <w:vAlign w:val="center"/>
                </w:tcPr>
                <w:p>
                  <w:pPr>
                    <w:pStyle w:val="75"/>
                    <w:snapToGrid w:val="0"/>
                    <w:spacing w:afterLines="0" w:line="240" w:lineRule="auto"/>
                    <w:jc w:val="center"/>
                    <w:rPr>
                      <w:rFonts w:ascii="Times New Roman" w:hAnsi="Times New Roman" w:eastAsia="宋体"/>
                      <w:bCs/>
                      <w:color w:val="auto"/>
                      <w:szCs w:val="21"/>
                    </w:rPr>
                  </w:pPr>
                  <w:r>
                    <w:rPr>
                      <w:rFonts w:ascii="Times New Roman" w:hAnsi="Times New Roman" w:eastAsia="宋体"/>
                      <w:bCs/>
                      <w:color w:val="auto"/>
                      <w:szCs w:val="21"/>
                    </w:rPr>
                    <w:t>风险单元</w:t>
                  </w:r>
                </w:p>
              </w:tc>
              <w:tc>
                <w:tcPr>
                  <w:tcW w:w="1089" w:type="dxa"/>
                  <w:vAlign w:val="center"/>
                </w:tcPr>
                <w:p>
                  <w:pPr>
                    <w:pStyle w:val="75"/>
                    <w:snapToGrid w:val="0"/>
                    <w:spacing w:afterLines="0" w:line="240" w:lineRule="auto"/>
                    <w:jc w:val="center"/>
                    <w:rPr>
                      <w:rFonts w:ascii="Times New Roman" w:hAnsi="Times New Roman" w:eastAsia="宋体"/>
                      <w:bCs/>
                      <w:color w:val="auto"/>
                      <w:szCs w:val="21"/>
                    </w:rPr>
                  </w:pPr>
                  <w:r>
                    <w:rPr>
                      <w:rFonts w:ascii="Times New Roman" w:hAnsi="Times New Roman" w:eastAsia="宋体"/>
                      <w:bCs/>
                      <w:color w:val="auto"/>
                      <w:szCs w:val="21"/>
                    </w:rPr>
                    <w:t>危险设备</w:t>
                  </w:r>
                </w:p>
              </w:tc>
              <w:tc>
                <w:tcPr>
                  <w:tcW w:w="1076" w:type="dxa"/>
                  <w:vAlign w:val="center"/>
                </w:tcPr>
                <w:p>
                  <w:pPr>
                    <w:pStyle w:val="75"/>
                    <w:snapToGrid w:val="0"/>
                    <w:spacing w:afterLines="0" w:line="240" w:lineRule="auto"/>
                    <w:jc w:val="center"/>
                    <w:rPr>
                      <w:rFonts w:ascii="Times New Roman" w:hAnsi="Times New Roman" w:eastAsia="宋体"/>
                      <w:bCs/>
                      <w:color w:val="auto"/>
                      <w:szCs w:val="21"/>
                    </w:rPr>
                  </w:pPr>
                  <w:r>
                    <w:rPr>
                      <w:rFonts w:ascii="Times New Roman" w:hAnsi="Times New Roman" w:eastAsia="宋体"/>
                      <w:bCs/>
                      <w:color w:val="auto"/>
                      <w:szCs w:val="21"/>
                    </w:rPr>
                    <w:t>事故种类</w:t>
                  </w:r>
                </w:p>
              </w:tc>
              <w:tc>
                <w:tcPr>
                  <w:tcW w:w="1521" w:type="dxa"/>
                  <w:vAlign w:val="center"/>
                </w:tcPr>
                <w:p>
                  <w:pPr>
                    <w:pStyle w:val="75"/>
                    <w:snapToGrid w:val="0"/>
                    <w:spacing w:afterLines="0" w:line="240" w:lineRule="auto"/>
                    <w:jc w:val="center"/>
                    <w:rPr>
                      <w:rFonts w:ascii="Times New Roman" w:hAnsi="Times New Roman" w:eastAsia="宋体"/>
                      <w:bCs/>
                      <w:color w:val="auto"/>
                      <w:szCs w:val="21"/>
                    </w:rPr>
                  </w:pPr>
                  <w:r>
                    <w:rPr>
                      <w:rFonts w:ascii="Times New Roman" w:hAnsi="Times New Roman" w:eastAsia="宋体"/>
                      <w:bCs/>
                      <w:color w:val="auto"/>
                      <w:szCs w:val="21"/>
                    </w:rPr>
                    <w:t>产生原因</w:t>
                  </w:r>
                </w:p>
              </w:tc>
              <w:tc>
                <w:tcPr>
                  <w:tcW w:w="2818" w:type="dxa"/>
                  <w:vAlign w:val="center"/>
                </w:tcPr>
                <w:p>
                  <w:pPr>
                    <w:pStyle w:val="75"/>
                    <w:snapToGrid w:val="0"/>
                    <w:spacing w:afterLines="0" w:line="240" w:lineRule="auto"/>
                    <w:jc w:val="center"/>
                    <w:rPr>
                      <w:rFonts w:ascii="Times New Roman" w:hAnsi="Times New Roman" w:eastAsia="宋体"/>
                      <w:bCs/>
                      <w:color w:val="auto"/>
                      <w:szCs w:val="21"/>
                    </w:rPr>
                  </w:pPr>
                  <w:r>
                    <w:rPr>
                      <w:rFonts w:hint="eastAsia" w:ascii="Times New Roman" w:hAnsi="Times New Roman" w:eastAsia="宋体"/>
                      <w:bCs/>
                      <w:color w:val="auto"/>
                      <w:szCs w:val="21"/>
                    </w:rPr>
                    <w:t>危害后果分析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2"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生产区</w:t>
                  </w:r>
                </w:p>
              </w:tc>
              <w:tc>
                <w:tcPr>
                  <w:tcW w:w="1089"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喷漆间</w:t>
                  </w:r>
                </w:p>
              </w:tc>
              <w:tc>
                <w:tcPr>
                  <w:tcW w:w="1076"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火灾</w:t>
                  </w:r>
                </w:p>
              </w:tc>
              <w:tc>
                <w:tcPr>
                  <w:tcW w:w="1521"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遇明火燃烧</w:t>
                  </w:r>
                </w:p>
              </w:tc>
              <w:tc>
                <w:tcPr>
                  <w:tcW w:w="2818"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发生火灾后形成的烟气，对大气环境的影响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2"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生产区</w:t>
                  </w:r>
                </w:p>
              </w:tc>
              <w:tc>
                <w:tcPr>
                  <w:tcW w:w="1089"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材料间</w:t>
                  </w:r>
                </w:p>
              </w:tc>
              <w:tc>
                <w:tcPr>
                  <w:tcW w:w="1076" w:type="dxa"/>
                  <w:vAlign w:val="center"/>
                </w:tcPr>
                <w:p>
                  <w:pPr>
                    <w:pStyle w:val="75"/>
                    <w:snapToGrid w:val="0"/>
                    <w:spacing w:afterLines="0" w:line="240" w:lineRule="auto"/>
                    <w:jc w:val="center"/>
                    <w:rPr>
                      <w:rFonts w:ascii="Times New Roman" w:hAnsi="Times New Roman" w:eastAsia="宋体"/>
                      <w:b w:val="0"/>
                      <w:color w:val="auto"/>
                      <w:szCs w:val="21"/>
                    </w:rPr>
                  </w:pPr>
                  <w:r>
                    <w:rPr>
                      <w:rFonts w:ascii="Times New Roman" w:hAnsi="Times New Roman" w:eastAsia="宋体"/>
                      <w:b w:val="0"/>
                      <w:color w:val="auto"/>
                      <w:szCs w:val="21"/>
                    </w:rPr>
                    <w:t>泄漏</w:t>
                  </w:r>
                  <w:r>
                    <w:rPr>
                      <w:rFonts w:hint="eastAsia" w:ascii="Times New Roman" w:hAnsi="Times New Roman" w:eastAsia="宋体"/>
                      <w:b w:val="0"/>
                      <w:color w:val="auto"/>
                      <w:szCs w:val="21"/>
                    </w:rPr>
                    <w:t>、火灾</w:t>
                  </w:r>
                </w:p>
              </w:tc>
              <w:tc>
                <w:tcPr>
                  <w:tcW w:w="1521"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包装桶破损</w:t>
                  </w:r>
                </w:p>
              </w:tc>
              <w:tc>
                <w:tcPr>
                  <w:tcW w:w="2818"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发生泄漏、火灾、爆炸后形成的烟气，对大气环境的影响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2"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危废暂存间</w:t>
                  </w:r>
                </w:p>
              </w:tc>
              <w:tc>
                <w:tcPr>
                  <w:tcW w:w="1089"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易燃危废</w:t>
                  </w:r>
                </w:p>
              </w:tc>
              <w:tc>
                <w:tcPr>
                  <w:tcW w:w="1076" w:type="dxa"/>
                  <w:vAlign w:val="center"/>
                </w:tcPr>
                <w:p>
                  <w:pPr>
                    <w:pStyle w:val="75"/>
                    <w:snapToGrid w:val="0"/>
                    <w:spacing w:afterLines="0" w:line="240" w:lineRule="auto"/>
                    <w:jc w:val="center"/>
                    <w:rPr>
                      <w:rFonts w:ascii="Times New Roman" w:hAnsi="Times New Roman" w:eastAsia="宋体"/>
                      <w:b w:val="0"/>
                      <w:color w:val="auto"/>
                      <w:szCs w:val="21"/>
                    </w:rPr>
                  </w:pPr>
                  <w:r>
                    <w:rPr>
                      <w:rFonts w:ascii="Times New Roman" w:hAnsi="Times New Roman" w:eastAsia="宋体"/>
                      <w:b w:val="0"/>
                      <w:color w:val="auto"/>
                      <w:szCs w:val="21"/>
                    </w:rPr>
                    <w:t>泄漏</w:t>
                  </w:r>
                  <w:r>
                    <w:rPr>
                      <w:rFonts w:hint="eastAsia" w:ascii="Times New Roman" w:hAnsi="Times New Roman" w:eastAsia="宋体"/>
                      <w:b w:val="0"/>
                      <w:color w:val="auto"/>
                      <w:szCs w:val="21"/>
                    </w:rPr>
                    <w:t>、火灾</w:t>
                  </w:r>
                </w:p>
              </w:tc>
              <w:tc>
                <w:tcPr>
                  <w:tcW w:w="1521"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泄露、遇明火燃烧</w:t>
                  </w:r>
                </w:p>
              </w:tc>
              <w:tc>
                <w:tcPr>
                  <w:tcW w:w="2818"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发生泄漏，发生火灾后形成的烟气，对大气、地下水环境的影响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2"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废水</w:t>
                  </w:r>
                </w:p>
              </w:tc>
              <w:tc>
                <w:tcPr>
                  <w:tcW w:w="1089"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消防废水</w:t>
                  </w:r>
                </w:p>
              </w:tc>
              <w:tc>
                <w:tcPr>
                  <w:tcW w:w="1076"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废水漫流</w:t>
                  </w:r>
                </w:p>
              </w:tc>
              <w:tc>
                <w:tcPr>
                  <w:tcW w:w="1521"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发生火灾后的次生环境影响</w:t>
                  </w:r>
                </w:p>
              </w:tc>
              <w:tc>
                <w:tcPr>
                  <w:tcW w:w="2818" w:type="dxa"/>
                  <w:vAlign w:val="center"/>
                </w:tcPr>
                <w:p>
                  <w:pPr>
                    <w:pStyle w:val="75"/>
                    <w:snapToGrid w:val="0"/>
                    <w:spacing w:afterLines="0" w:line="240" w:lineRule="auto"/>
                    <w:jc w:val="center"/>
                    <w:rPr>
                      <w:rFonts w:ascii="Times New Roman" w:hAnsi="Times New Roman" w:eastAsia="宋体"/>
                      <w:b w:val="0"/>
                      <w:color w:val="auto"/>
                      <w:szCs w:val="21"/>
                    </w:rPr>
                  </w:pPr>
                  <w:r>
                    <w:rPr>
                      <w:rFonts w:hint="eastAsia" w:ascii="Times New Roman" w:hAnsi="Times New Roman" w:eastAsia="宋体"/>
                      <w:b w:val="0"/>
                      <w:color w:val="auto"/>
                      <w:szCs w:val="21"/>
                    </w:rPr>
                    <w:t>消防废水未经处理直接排放，对地表水环境产生影响</w:t>
                  </w:r>
                </w:p>
              </w:tc>
            </w:tr>
          </w:tbl>
          <w:p>
            <w:pPr>
              <w:adjustRightInd w:val="0"/>
              <w:snapToGrid w:val="0"/>
              <w:spacing w:line="360" w:lineRule="auto"/>
              <w:ind w:firstLine="480"/>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3</w:t>
            </w:r>
            <w:r>
              <w:rPr>
                <w:rFonts w:hint="eastAsia" w:ascii="Times New Roman" w:hAnsi="Times New Roman" w:eastAsia="宋体"/>
                <w:sz w:val="24"/>
              </w:rPr>
              <w:t>）</w:t>
            </w:r>
            <w:r>
              <w:rPr>
                <w:rFonts w:ascii="Times New Roman" w:hAnsi="Times New Roman" w:eastAsia="宋体"/>
                <w:sz w:val="24"/>
                <w:lang w:val="en-GB"/>
              </w:rPr>
              <w:t>风险事故环境影响分析</w:t>
            </w:r>
          </w:p>
          <w:p>
            <w:pPr>
              <w:adjustRightInd w:val="0"/>
              <w:snapToGrid w:val="0"/>
              <w:spacing w:line="360" w:lineRule="auto"/>
              <w:ind w:firstLine="480"/>
              <w:rPr>
                <w:rFonts w:ascii="Times New Roman" w:hAnsi="Times New Roman" w:eastAsia="宋体"/>
                <w:sz w:val="24"/>
                <w:szCs w:val="24"/>
              </w:rPr>
            </w:pPr>
            <w:r>
              <w:rPr>
                <w:rFonts w:ascii="Times New Roman" w:hAnsi="Times New Roman" w:eastAsia="宋体"/>
                <w:sz w:val="24"/>
              </w:rPr>
              <w:t>本项</w:t>
            </w:r>
            <w:r>
              <w:rPr>
                <w:rFonts w:ascii="Times New Roman" w:hAnsi="Times New Roman" w:eastAsia="宋体"/>
                <w:sz w:val="24"/>
                <w:szCs w:val="24"/>
              </w:rPr>
              <w:t>目生产中</w:t>
            </w:r>
            <w:r>
              <w:rPr>
                <w:rFonts w:hint="eastAsia" w:ascii="Times New Roman" w:hAnsi="Times New Roman" w:eastAsia="宋体"/>
                <w:sz w:val="24"/>
                <w:szCs w:val="24"/>
              </w:rPr>
              <w:t>风险</w:t>
            </w:r>
            <w:r>
              <w:rPr>
                <w:rFonts w:ascii="Times New Roman" w:hAnsi="Times New Roman" w:eastAsia="宋体"/>
                <w:sz w:val="24"/>
                <w:szCs w:val="24"/>
              </w:rPr>
              <w:t>原</w:t>
            </w:r>
            <w:r>
              <w:rPr>
                <w:rFonts w:hint="eastAsia" w:ascii="Times New Roman" w:hAnsi="Times New Roman" w:eastAsia="宋体"/>
                <w:sz w:val="24"/>
                <w:szCs w:val="24"/>
              </w:rPr>
              <w:t>辅</w:t>
            </w:r>
            <w:r>
              <w:rPr>
                <w:rFonts w:ascii="Times New Roman" w:hAnsi="Times New Roman" w:eastAsia="宋体"/>
                <w:sz w:val="24"/>
                <w:szCs w:val="24"/>
              </w:rPr>
              <w:t>料在使用和储存过程中</w:t>
            </w:r>
            <w:r>
              <w:rPr>
                <w:rFonts w:hint="eastAsia" w:ascii="Times New Roman" w:hAnsi="Times New Roman" w:eastAsia="宋体"/>
                <w:sz w:val="24"/>
                <w:szCs w:val="24"/>
              </w:rPr>
              <w:t>，包装</w:t>
            </w:r>
            <w:r>
              <w:rPr>
                <w:rFonts w:ascii="Times New Roman" w:hAnsi="Times New Roman" w:eastAsia="宋体"/>
                <w:sz w:val="24"/>
                <w:szCs w:val="24"/>
              </w:rPr>
              <w:t>破裂引发的泄漏事故以及泄漏引发火灾爆炸事故</w:t>
            </w:r>
            <w:r>
              <w:rPr>
                <w:rFonts w:hint="eastAsia" w:ascii="Times New Roman" w:hAnsi="Times New Roman" w:eastAsia="宋体"/>
                <w:sz w:val="24"/>
                <w:szCs w:val="24"/>
              </w:rPr>
              <w:t>，操作过程若操作不当也会引发火灾爆炸事故，事故发生后会引起次生</w:t>
            </w:r>
            <w:r>
              <w:rPr>
                <w:rFonts w:ascii="Times New Roman" w:hAnsi="Times New Roman" w:eastAsia="宋体"/>
                <w:sz w:val="24"/>
                <w:szCs w:val="24"/>
              </w:rPr>
              <w:t>/</w:t>
            </w:r>
            <w:r>
              <w:rPr>
                <w:rFonts w:hint="eastAsia" w:ascii="Times New Roman" w:hAnsi="Times New Roman" w:eastAsia="宋体"/>
                <w:sz w:val="24"/>
                <w:szCs w:val="24"/>
              </w:rPr>
              <w:t>伴生环境污染：</w:t>
            </w:r>
          </w:p>
          <w:p>
            <w:pPr>
              <w:adjustRightInd w:val="0"/>
              <w:snapToGrid w:val="0"/>
              <w:spacing w:line="360" w:lineRule="auto"/>
              <w:ind w:firstLine="480"/>
              <w:rPr>
                <w:rFonts w:ascii="Times New Roman" w:hAnsi="Times New Roman" w:eastAsia="宋体"/>
                <w:sz w:val="24"/>
                <w:szCs w:val="24"/>
              </w:rPr>
            </w:pPr>
            <w:r>
              <w:rPr>
                <w:rFonts w:hint="eastAsia" w:ascii="Times New Roman" w:hAnsi="Times New Roman" w:eastAsia="宋体"/>
                <w:sz w:val="24"/>
                <w:szCs w:val="24"/>
              </w:rPr>
              <w:t>①项目原料发生泄漏的风险主要原因是包装桶老化或撞击、员工操作失误和管理不到位，造成清洗剂、涂料、机油、切削液等液态原料桶破裂后泄漏，泄漏后在其周围形成液池，液池表面在气流运动下使液体中的有机物挥发，对</w:t>
            </w:r>
            <w:r>
              <w:rPr>
                <w:rFonts w:ascii="Times New Roman" w:hAnsi="Times New Roman" w:eastAsia="宋体"/>
                <w:sz w:val="24"/>
                <w:szCs w:val="24"/>
              </w:rPr>
              <w:t>人身安全及周围环境产生的危害</w:t>
            </w:r>
            <w:r>
              <w:rPr>
                <w:rFonts w:hint="eastAsia" w:ascii="Times New Roman" w:hAnsi="Times New Roman" w:eastAsia="宋体"/>
                <w:sz w:val="24"/>
                <w:szCs w:val="24"/>
              </w:rPr>
              <w:t>。</w:t>
            </w:r>
          </w:p>
          <w:p>
            <w:pPr>
              <w:adjustRightInd w:val="0"/>
              <w:snapToGrid w:val="0"/>
              <w:spacing w:line="360" w:lineRule="auto"/>
              <w:ind w:firstLine="480"/>
              <w:rPr>
                <w:rFonts w:ascii="Times New Roman" w:hAnsi="Times New Roman" w:eastAsia="宋体"/>
                <w:sz w:val="24"/>
                <w:szCs w:val="24"/>
              </w:rPr>
            </w:pPr>
            <w:r>
              <w:rPr>
                <w:rFonts w:hint="eastAsia" w:ascii="Times New Roman" w:hAnsi="Times New Roman" w:eastAsia="宋体"/>
                <w:sz w:val="24"/>
                <w:szCs w:val="24"/>
              </w:rPr>
              <w:t>②</w:t>
            </w:r>
            <w:r>
              <w:rPr>
                <w:rFonts w:ascii="Times New Roman" w:hAnsi="Times New Roman" w:eastAsia="宋体"/>
                <w:sz w:val="24"/>
                <w:szCs w:val="24"/>
              </w:rPr>
              <w:t>火灾、爆炸风险事故会引发的伴生/次生的污染物排放</w:t>
            </w:r>
            <w:r>
              <w:rPr>
                <w:rFonts w:hint="eastAsia" w:ascii="Times New Roman" w:hAnsi="Times New Roman" w:eastAsia="宋体"/>
                <w:sz w:val="24"/>
                <w:szCs w:val="24"/>
              </w:rPr>
              <w:t>，</w:t>
            </w:r>
            <w:r>
              <w:rPr>
                <w:rFonts w:ascii="Times New Roman" w:hAnsi="Times New Roman" w:eastAsia="宋体"/>
                <w:sz w:val="24"/>
                <w:szCs w:val="24"/>
              </w:rPr>
              <w:t>污染物主要包括</w:t>
            </w:r>
            <w:r>
              <w:rPr>
                <w:rFonts w:hint="eastAsia" w:ascii="Times New Roman" w:hAnsi="Times New Roman" w:eastAsia="宋体"/>
                <w:sz w:val="24"/>
                <w:szCs w:val="24"/>
              </w:rPr>
              <w:t>烟气、</w:t>
            </w:r>
            <w:r>
              <w:rPr>
                <w:rFonts w:ascii="Times New Roman" w:hAnsi="Times New Roman" w:eastAsia="宋体"/>
                <w:sz w:val="24"/>
                <w:szCs w:val="24"/>
              </w:rPr>
              <w:t>二氧化硫</w:t>
            </w:r>
            <w:r>
              <w:rPr>
                <w:rFonts w:hint="eastAsia" w:ascii="Times New Roman" w:hAnsi="Times New Roman" w:eastAsia="宋体"/>
                <w:sz w:val="24"/>
                <w:szCs w:val="24"/>
              </w:rPr>
              <w:t>、</w:t>
            </w:r>
            <w:r>
              <w:rPr>
                <w:rFonts w:ascii="Times New Roman" w:hAnsi="Times New Roman" w:eastAsia="宋体"/>
                <w:sz w:val="24"/>
                <w:szCs w:val="24"/>
              </w:rPr>
              <w:t>一氧化碳</w:t>
            </w:r>
            <w:r>
              <w:rPr>
                <w:rFonts w:hint="eastAsia" w:ascii="Times New Roman" w:hAnsi="Times New Roman" w:eastAsia="宋体"/>
                <w:sz w:val="24"/>
                <w:szCs w:val="24"/>
              </w:rPr>
              <w:t>、氮氧化物</w:t>
            </w:r>
            <w:r>
              <w:rPr>
                <w:rFonts w:ascii="Times New Roman" w:hAnsi="Times New Roman" w:eastAsia="宋体"/>
                <w:sz w:val="24"/>
                <w:szCs w:val="24"/>
              </w:rPr>
              <w:t>等</w:t>
            </w:r>
            <w:r>
              <w:rPr>
                <w:rFonts w:hint="eastAsia" w:ascii="Times New Roman" w:hAnsi="Times New Roman" w:eastAsia="宋体"/>
                <w:sz w:val="24"/>
                <w:szCs w:val="24"/>
              </w:rPr>
              <w:t>，</w:t>
            </w:r>
            <w:r>
              <w:rPr>
                <w:rFonts w:ascii="Times New Roman" w:hAnsi="Times New Roman" w:eastAsia="宋体"/>
                <w:sz w:val="24"/>
                <w:szCs w:val="24"/>
              </w:rPr>
              <w:t>伴生/次生的污染物扩散至环境空气中</w:t>
            </w:r>
            <w:r>
              <w:rPr>
                <w:rFonts w:hint="eastAsia" w:ascii="Times New Roman" w:hAnsi="Times New Roman" w:eastAsia="宋体"/>
                <w:sz w:val="24"/>
                <w:szCs w:val="24"/>
              </w:rPr>
              <w:t>，对</w:t>
            </w:r>
            <w:r>
              <w:rPr>
                <w:rFonts w:ascii="Times New Roman" w:hAnsi="Times New Roman" w:eastAsia="宋体"/>
                <w:sz w:val="24"/>
                <w:szCs w:val="24"/>
              </w:rPr>
              <w:t>人身安全及周围环境产生的危害</w:t>
            </w:r>
            <w:r>
              <w:rPr>
                <w:rFonts w:hint="eastAsia" w:ascii="Times New Roman" w:hAnsi="Times New Roman" w:eastAsia="宋体"/>
                <w:sz w:val="24"/>
                <w:szCs w:val="24"/>
              </w:rPr>
              <w:t>。</w:t>
            </w:r>
          </w:p>
          <w:p>
            <w:pPr>
              <w:adjustRightInd w:val="0"/>
              <w:snapToGrid w:val="0"/>
              <w:spacing w:line="360" w:lineRule="auto"/>
              <w:ind w:firstLine="482"/>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4</w:t>
            </w:r>
            <w:r>
              <w:rPr>
                <w:rFonts w:hint="eastAsia" w:ascii="Times New Roman" w:hAnsi="Times New Roman" w:eastAsia="宋体"/>
                <w:sz w:val="24"/>
              </w:rPr>
              <w:t>）环境风险防范措施</w:t>
            </w:r>
          </w:p>
          <w:p>
            <w:pPr>
              <w:pStyle w:val="8"/>
              <w:adjustRightInd w:val="0"/>
              <w:snapToGrid w:val="0"/>
              <w:spacing w:line="360" w:lineRule="auto"/>
              <w:ind w:firstLine="480" w:firstLineChars="200"/>
              <w:jc w:val="both"/>
              <w:rPr>
                <w:rFonts w:ascii="Times New Roman" w:hAnsi="Times New Roman" w:eastAsia="宋体"/>
                <w:bCs/>
                <w:kern w:val="0"/>
                <w:sz w:val="24"/>
              </w:rPr>
            </w:pPr>
            <w:r>
              <w:rPr>
                <w:rFonts w:hint="eastAsia" w:ascii="Times New Roman" w:hAnsi="Times New Roman" w:eastAsia="宋体"/>
                <w:bCs/>
                <w:kern w:val="0"/>
                <w:sz w:val="24"/>
              </w:rPr>
              <w:t>①项目企业应建立生产操作手册，加强员工教育和操作技能培训，防止误操作。</w:t>
            </w:r>
          </w:p>
          <w:p>
            <w:pPr>
              <w:pStyle w:val="8"/>
              <w:adjustRightInd w:val="0"/>
              <w:snapToGrid w:val="0"/>
              <w:spacing w:line="360" w:lineRule="auto"/>
              <w:ind w:firstLine="480" w:firstLineChars="200"/>
              <w:jc w:val="both"/>
              <w:rPr>
                <w:rFonts w:ascii="Times New Roman" w:hAnsi="Times New Roman" w:eastAsia="宋体"/>
                <w:bCs/>
                <w:kern w:val="0"/>
                <w:sz w:val="24"/>
              </w:rPr>
            </w:pPr>
            <w:r>
              <w:rPr>
                <w:rFonts w:hint="eastAsia" w:ascii="Times New Roman" w:hAnsi="Times New Roman" w:eastAsia="宋体"/>
                <w:bCs/>
                <w:kern w:val="0"/>
                <w:sz w:val="24"/>
              </w:rPr>
              <w:t>②项目企业应加强生产设备管理，定期对生产设备进行检修维护，确保生产设施正常有效运行。</w:t>
            </w:r>
          </w:p>
          <w:p>
            <w:pPr>
              <w:adjustRightInd w:val="0"/>
              <w:snapToGrid w:val="0"/>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kern w:val="0"/>
                <w:sz w:val="24"/>
                <w:szCs w:val="24"/>
              </w:rPr>
              <w:t>③生产车间均设置吸附棉、消防砂、石灰粉等应急吸附物质，能对泄漏物进行有效覆盖与吸附，减缓泄漏物的挥发；</w:t>
            </w:r>
          </w:p>
          <w:p>
            <w:pPr>
              <w:adjustRightInd w:val="0"/>
              <w:snapToGrid w:val="0"/>
              <w:spacing w:line="360" w:lineRule="auto"/>
              <w:ind w:firstLine="480" w:firstLineChars="200"/>
              <w:rPr>
                <w:rFonts w:ascii="Times New Roman" w:hAnsi="Times New Roman" w:eastAsia="宋体"/>
                <w:kern w:val="0"/>
                <w:sz w:val="24"/>
                <w:szCs w:val="24"/>
              </w:rPr>
            </w:pPr>
            <w:r>
              <w:rPr>
                <w:rFonts w:hint="eastAsia" w:ascii="Times New Roman" w:hAnsi="Times New Roman" w:eastAsia="宋体"/>
                <w:kern w:val="0"/>
                <w:sz w:val="24"/>
                <w:szCs w:val="24"/>
              </w:rPr>
              <w:t>④生产车间可设置可燃、有毒气体检测装置等检测装置，可快速发现事故源；</w:t>
            </w:r>
          </w:p>
          <w:p>
            <w:pPr>
              <w:adjustRightInd w:val="0"/>
              <w:snapToGrid w:val="0"/>
              <w:spacing w:line="360" w:lineRule="auto"/>
              <w:ind w:firstLine="480" w:firstLineChars="200"/>
              <w:rPr>
                <w:rFonts w:ascii="Times New Roman" w:hAnsi="Times New Roman" w:eastAsia="宋体"/>
                <w:kern w:val="0"/>
                <w:sz w:val="24"/>
                <w:szCs w:val="24"/>
              </w:rPr>
            </w:pPr>
            <w:r>
              <w:rPr>
                <w:rFonts w:hint="eastAsia" w:ascii="Times New Roman" w:hAnsi="Times New Roman" w:eastAsia="宋体"/>
                <w:kern w:val="0"/>
                <w:sz w:val="24"/>
                <w:szCs w:val="24"/>
              </w:rPr>
              <w:t>⑤项目加强废气处理设备的维护和管理，确保污染物达标排放，严防废气事故排放的发生；</w:t>
            </w:r>
          </w:p>
          <w:p>
            <w:pPr>
              <w:adjustRightInd w:val="0"/>
              <w:snapToGrid w:val="0"/>
              <w:spacing w:line="360" w:lineRule="auto"/>
              <w:ind w:firstLine="480" w:firstLineChars="200"/>
              <w:rPr>
                <w:rFonts w:ascii="Times New Roman" w:hAnsi="Times New Roman" w:eastAsia="宋体"/>
                <w:kern w:val="0"/>
                <w:sz w:val="24"/>
                <w:szCs w:val="24"/>
              </w:rPr>
            </w:pPr>
            <w:r>
              <w:rPr>
                <w:rFonts w:hint="eastAsia" w:ascii="Times New Roman" w:hAnsi="Times New Roman" w:eastAsia="宋体"/>
                <w:kern w:val="0"/>
                <w:sz w:val="24"/>
                <w:szCs w:val="24"/>
              </w:rPr>
              <w:t>⑥生产车间均应配置完善的灭火系统，并加强生产防火措施，提高员工防火意识。</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sz w:val="24"/>
              </w:rPr>
              <w:t>⑦</w:t>
            </w:r>
            <w:r>
              <w:rPr>
                <w:rFonts w:hint="eastAsia" w:ascii="Times New Roman" w:hAnsi="Times New Roman" w:eastAsia="宋体"/>
                <w:sz w:val="24"/>
                <w:szCs w:val="24"/>
              </w:rPr>
              <w:t>涂料间、喷漆房、流平间、清洗间、烘干间、危废暂存间</w:t>
            </w:r>
            <w:r>
              <w:rPr>
                <w:rFonts w:hint="eastAsia" w:ascii="Times New Roman" w:hAnsi="Times New Roman" w:eastAsia="宋体"/>
                <w:sz w:val="24"/>
              </w:rPr>
              <w:t>地面采取防渗措施，涂料储存间设置漫坡或截留渠，能有效截留收集泄漏物料；</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⑧严格按照国家相关规范要求，对工艺、设备采取相应的措施，</w:t>
            </w:r>
            <w:r>
              <w:rPr>
                <w:rFonts w:hint="eastAsia" w:ascii="Times New Roman" w:hAnsi="Times New Roman" w:eastAsia="宋体"/>
                <w:kern w:val="0"/>
                <w:sz w:val="24"/>
                <w:szCs w:val="20"/>
              </w:rPr>
              <w:t>采取分区防渗措施，</w:t>
            </w:r>
            <w:r>
              <w:rPr>
                <w:rFonts w:hint="eastAsia" w:ascii="Times New Roman" w:hAnsi="Times New Roman" w:eastAsia="宋体"/>
                <w:sz w:val="24"/>
              </w:rPr>
              <w:t>根据各生产功能单元可能泄漏至地面区域的污染物性质和生产单元的构筑方式等，划分为一般防渗区、简单防渗区和重点防渗区。</w:t>
            </w:r>
          </w:p>
          <w:p>
            <w:pPr>
              <w:pStyle w:val="8"/>
              <w:adjustRightInd w:val="0"/>
              <w:snapToGrid w:val="0"/>
              <w:spacing w:line="360" w:lineRule="auto"/>
              <w:ind w:firstLine="480" w:firstLineChars="200"/>
              <w:jc w:val="both"/>
              <w:rPr>
                <w:rFonts w:ascii="Times New Roman" w:hAnsi="Times New Roman" w:eastAsia="宋体"/>
                <w:bCs/>
                <w:kern w:val="0"/>
                <w:sz w:val="24"/>
              </w:rPr>
            </w:pPr>
            <w:r>
              <w:rPr>
                <w:rFonts w:hint="eastAsia" w:ascii="Times New Roman" w:hAnsi="Times New Roman" w:eastAsia="宋体"/>
                <w:bCs/>
                <w:kern w:val="0"/>
                <w:sz w:val="24"/>
              </w:rPr>
              <w:t>⑨生产过程中若发生泄漏应及时处置和报告，对泄漏的液体可用吸附材料进行吸附。</w:t>
            </w:r>
          </w:p>
          <w:p>
            <w:pPr>
              <w:adjustRightInd w:val="0"/>
              <w:snapToGrid w:val="0"/>
              <w:spacing w:line="360" w:lineRule="auto"/>
              <w:ind w:firstLine="482"/>
              <w:rPr>
                <w:rFonts w:ascii="Times New Roman" w:hAnsi="Times New Roman" w:eastAsia="宋体"/>
                <w:sz w:val="24"/>
              </w:rPr>
            </w:pPr>
            <w:r>
              <w:rPr>
                <w:rFonts w:hint="eastAsia" w:ascii="Times New Roman" w:hAnsi="Times New Roman" w:eastAsia="宋体"/>
                <w:bCs/>
                <w:kern w:val="0"/>
                <w:sz w:val="24"/>
              </w:rPr>
              <w:t>⑩在厂区配备灭火沙子、手提式干粉灭火器、消防水龙带等，一旦发生起火事故，及时有效的进行扑灭</w:t>
            </w:r>
            <w:r>
              <w:rPr>
                <w:rFonts w:hint="eastAsia" w:ascii="Times New Roman" w:hAnsi="Times New Roman" w:eastAsia="宋体"/>
                <w:sz w:val="24"/>
              </w:rPr>
              <w:t>。</w:t>
            </w:r>
          </w:p>
          <w:p>
            <w:pPr>
              <w:pStyle w:val="36"/>
            </w:pPr>
            <w:r>
              <w:t>8</w:t>
            </w:r>
            <w:r>
              <w:rPr>
                <w:rFonts w:hint="eastAsia"/>
              </w:rPr>
              <w:t>、</w:t>
            </w:r>
            <w:r>
              <w:t>环保投资</w:t>
            </w:r>
          </w:p>
          <w:p>
            <w:pPr>
              <w:pStyle w:val="36"/>
              <w:ind w:firstLine="480"/>
            </w:pPr>
            <w:r>
              <w:rPr>
                <w:b w:val="0"/>
                <w:bCs/>
              </w:rPr>
              <w:t>项目总投资2000万元，其中环保投资51.5万元，约占总投资的2.6%。具体投资见下表。</w:t>
            </w:r>
          </w:p>
          <w:p>
            <w:pPr>
              <w:pStyle w:val="71"/>
              <w:rPr>
                <w:color w:val="auto"/>
              </w:rPr>
            </w:pPr>
            <w:r>
              <w:rPr>
                <w:color w:val="auto"/>
              </w:rPr>
              <w:t xml:space="preserve">表4-18 </w:t>
            </w:r>
            <w:r>
              <w:rPr>
                <w:rFonts w:hint="eastAsia"/>
                <w:color w:val="auto"/>
              </w:rPr>
              <w:t xml:space="preserve"> </w:t>
            </w:r>
            <w:r>
              <w:rPr>
                <w:color w:val="auto"/>
              </w:rPr>
              <w:t>环保投资一览表</w:t>
            </w:r>
          </w:p>
          <w:tbl>
            <w:tblPr>
              <w:tblStyle w:val="26"/>
              <w:tblW w:w="7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223"/>
              <w:gridCol w:w="1264"/>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702" w:type="dxa"/>
                  <w:vAlign w:val="center"/>
                </w:tcPr>
                <w:p>
                  <w:pPr>
                    <w:adjustRightInd w:val="0"/>
                    <w:snapToGrid w:val="0"/>
                    <w:jc w:val="center"/>
                    <w:textAlignment w:val="baseline"/>
                    <w:rPr>
                      <w:rFonts w:ascii="Times New Roman" w:hAnsi="Times New Roman" w:eastAsia="宋体"/>
                      <w:b/>
                      <w:bCs/>
                      <w:kern w:val="0"/>
                    </w:rPr>
                  </w:pPr>
                  <w:r>
                    <w:rPr>
                      <w:rFonts w:ascii="Times New Roman" w:hAnsi="Times New Roman" w:eastAsia="宋体"/>
                      <w:b/>
                      <w:bCs/>
                    </w:rPr>
                    <w:t>项目</w:t>
                  </w:r>
                </w:p>
              </w:tc>
              <w:tc>
                <w:tcPr>
                  <w:tcW w:w="3223" w:type="dxa"/>
                  <w:vAlign w:val="center"/>
                </w:tcPr>
                <w:p>
                  <w:pPr>
                    <w:adjustRightInd w:val="0"/>
                    <w:snapToGrid w:val="0"/>
                    <w:jc w:val="center"/>
                    <w:textAlignment w:val="baseline"/>
                    <w:rPr>
                      <w:rFonts w:ascii="Times New Roman" w:hAnsi="Times New Roman" w:eastAsia="宋体"/>
                      <w:b/>
                      <w:bCs/>
                      <w:kern w:val="0"/>
                    </w:rPr>
                  </w:pPr>
                  <w:r>
                    <w:rPr>
                      <w:rFonts w:ascii="Times New Roman" w:hAnsi="Times New Roman" w:eastAsia="宋体"/>
                      <w:b/>
                      <w:bCs/>
                    </w:rPr>
                    <w:t>环保设施或措施</w:t>
                  </w:r>
                </w:p>
              </w:tc>
              <w:tc>
                <w:tcPr>
                  <w:tcW w:w="1264" w:type="dxa"/>
                  <w:vAlign w:val="center"/>
                </w:tcPr>
                <w:p>
                  <w:pPr>
                    <w:adjustRightInd w:val="0"/>
                    <w:snapToGrid w:val="0"/>
                    <w:jc w:val="center"/>
                    <w:textAlignment w:val="baseline"/>
                    <w:rPr>
                      <w:rFonts w:ascii="Times New Roman" w:hAnsi="Times New Roman" w:eastAsia="宋体"/>
                      <w:b/>
                      <w:bCs/>
                      <w:kern w:val="0"/>
                    </w:rPr>
                  </w:pPr>
                  <w:r>
                    <w:rPr>
                      <w:rFonts w:ascii="Times New Roman" w:hAnsi="Times New Roman" w:eastAsia="宋体"/>
                      <w:b/>
                      <w:bCs/>
                    </w:rPr>
                    <w:t>数量</w:t>
                  </w:r>
                </w:p>
              </w:tc>
              <w:tc>
                <w:tcPr>
                  <w:tcW w:w="1609" w:type="dxa"/>
                  <w:vAlign w:val="center"/>
                </w:tcPr>
                <w:p>
                  <w:pPr>
                    <w:adjustRightInd w:val="0"/>
                    <w:snapToGrid w:val="0"/>
                    <w:jc w:val="center"/>
                    <w:textAlignment w:val="baseline"/>
                    <w:rPr>
                      <w:rFonts w:ascii="Times New Roman" w:hAnsi="Times New Roman" w:eastAsia="宋体"/>
                      <w:b/>
                      <w:bCs/>
                      <w:kern w:val="0"/>
                    </w:rPr>
                  </w:pPr>
                  <w:r>
                    <w:rPr>
                      <w:rFonts w:ascii="Times New Roman" w:hAnsi="Times New Roman" w:eastAsia="宋体"/>
                      <w:b/>
                      <w:bCs/>
                    </w:rPr>
                    <w:t>投资</w:t>
                  </w:r>
                  <w:r>
                    <w:rPr>
                      <w:rFonts w:hint="eastAsia" w:ascii="Times New Roman" w:hAnsi="Times New Roman" w:eastAsia="宋体"/>
                      <w:b/>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02" w:type="dxa"/>
                  <w:vMerge w:val="restart"/>
                  <w:vAlign w:val="center"/>
                </w:tcPr>
                <w:p>
                  <w:pPr>
                    <w:adjustRightInd w:val="0"/>
                    <w:snapToGrid w:val="0"/>
                    <w:jc w:val="center"/>
                    <w:textAlignment w:val="baseline"/>
                    <w:rPr>
                      <w:rFonts w:ascii="Times New Roman" w:hAnsi="Times New Roman" w:eastAsia="宋体"/>
                      <w:kern w:val="0"/>
                    </w:rPr>
                  </w:pPr>
                  <w:r>
                    <w:rPr>
                      <w:rFonts w:ascii="Times New Roman" w:hAnsi="Times New Roman" w:eastAsia="宋体"/>
                    </w:rPr>
                    <w:t>废气处理</w:t>
                  </w:r>
                </w:p>
              </w:tc>
              <w:tc>
                <w:tcPr>
                  <w:tcW w:w="3223" w:type="dxa"/>
                  <w:vAlign w:val="center"/>
                </w:tcPr>
                <w:p>
                  <w:pPr>
                    <w:jc w:val="center"/>
                    <w:rPr>
                      <w:rFonts w:ascii="Times New Roman" w:hAnsi="Times New Roman" w:eastAsia="宋体"/>
                      <w:kern w:val="0"/>
                    </w:rPr>
                  </w:pPr>
                  <w:r>
                    <w:rPr>
                      <w:rFonts w:hint="eastAsia" w:ascii="Times New Roman" w:hAnsi="Times New Roman" w:eastAsia="宋体"/>
                      <w:lang w:bidi="zh-CN"/>
                    </w:rPr>
                    <w:t>管道负压收集+脉冲除尘器+</w:t>
                  </w:r>
                  <w:r>
                    <w:rPr>
                      <w:rFonts w:ascii="Times New Roman" w:hAnsi="Times New Roman" w:eastAsia="宋体"/>
                      <w:lang w:bidi="zh-CN"/>
                    </w:rPr>
                    <w:t>1</w:t>
                  </w:r>
                  <w:r>
                    <w:rPr>
                      <w:rFonts w:hint="eastAsia" w:ascii="Times New Roman" w:hAnsi="Times New Roman" w:eastAsia="宋体"/>
                      <w:lang w:bidi="zh-CN"/>
                    </w:rPr>
                    <w:t>#</w:t>
                  </w:r>
                  <w:r>
                    <w:rPr>
                      <w:rFonts w:ascii="Times New Roman" w:hAnsi="Times New Roman" w:eastAsia="宋体"/>
                      <w:lang w:bidi="zh-CN"/>
                    </w:rPr>
                    <w:t>17m</w:t>
                  </w:r>
                  <w:r>
                    <w:rPr>
                      <w:rFonts w:hint="eastAsia" w:ascii="Times New Roman" w:hAnsi="Times New Roman" w:eastAsia="宋体"/>
                      <w:lang w:bidi="zh-CN"/>
                    </w:rPr>
                    <w:t>排气筒</w:t>
                  </w:r>
                  <w:r>
                    <w:rPr>
                      <w:rFonts w:hint="eastAsia" w:ascii="Times New Roman" w:hAnsi="Times New Roman" w:eastAsia="宋体"/>
                    </w:rPr>
                    <w:t>（</w:t>
                  </w:r>
                  <w:r>
                    <w:rPr>
                      <w:rFonts w:hint="eastAsia" w:ascii="Times New Roman" w:hAnsi="Times New Roman" w:eastAsia="宋体"/>
                      <w:sz w:val="18"/>
                      <w:szCs w:val="18"/>
                      <w:lang w:bidi="zh-CN"/>
                    </w:rPr>
                    <w:t>DA0</w:t>
                  </w:r>
                  <w:r>
                    <w:rPr>
                      <w:rFonts w:ascii="Times New Roman" w:hAnsi="Times New Roman" w:eastAsia="宋体"/>
                      <w:sz w:val="18"/>
                      <w:szCs w:val="18"/>
                      <w:lang w:bidi="zh-CN"/>
                    </w:rPr>
                    <w:t>01</w:t>
                  </w:r>
                  <w:r>
                    <w:rPr>
                      <w:rFonts w:hint="eastAsia" w:ascii="Times New Roman" w:hAnsi="Times New Roman" w:eastAsia="宋体"/>
                    </w:rPr>
                    <w:t>）</w:t>
                  </w:r>
                </w:p>
              </w:tc>
              <w:tc>
                <w:tcPr>
                  <w:tcW w:w="1264" w:type="dxa"/>
                  <w:vAlign w:val="center"/>
                </w:tcPr>
                <w:p>
                  <w:pPr>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套</w:t>
                  </w:r>
                </w:p>
              </w:tc>
              <w:tc>
                <w:tcPr>
                  <w:tcW w:w="1609" w:type="dxa"/>
                  <w:vAlign w:val="center"/>
                </w:tcPr>
                <w:p>
                  <w:pPr>
                    <w:adjustRightInd w:val="0"/>
                    <w:snapToGrid w:val="0"/>
                    <w:jc w:val="center"/>
                    <w:textAlignment w:val="baseline"/>
                    <w:rPr>
                      <w:rFonts w:ascii="Times New Roman" w:hAnsi="Times New Roman" w:eastAsia="宋体" w:cs="Times New Roman"/>
                      <w:snapToGrid w:val="0"/>
                      <w:kern w:val="0"/>
                    </w:rPr>
                  </w:pPr>
                  <w:r>
                    <w:rPr>
                      <w:rFonts w:ascii="Times New Roman" w:hAnsi="Times New Roman" w:eastAsia="宋体" w:cs="Times New Roman"/>
                      <w:snapToGrid w:val="0"/>
                      <w:kern w:val="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02" w:type="dxa"/>
                  <w:vMerge w:val="continue"/>
                  <w:vAlign w:val="center"/>
                </w:tcPr>
                <w:p>
                  <w:pPr>
                    <w:adjustRightInd w:val="0"/>
                    <w:snapToGrid w:val="0"/>
                    <w:jc w:val="center"/>
                    <w:textAlignment w:val="baseline"/>
                    <w:rPr>
                      <w:rFonts w:ascii="Times New Roman" w:hAnsi="Times New Roman" w:eastAsia="宋体"/>
                    </w:rPr>
                  </w:pPr>
                </w:p>
              </w:tc>
              <w:tc>
                <w:tcPr>
                  <w:tcW w:w="3223" w:type="dxa"/>
                  <w:vAlign w:val="center"/>
                </w:tcPr>
                <w:p>
                  <w:pPr>
                    <w:jc w:val="center"/>
                    <w:rPr>
                      <w:rFonts w:ascii="Times New Roman" w:hAnsi="Times New Roman" w:eastAsia="宋体"/>
                    </w:rPr>
                  </w:pPr>
                  <w:r>
                    <w:rPr>
                      <w:rFonts w:hint="eastAsia" w:ascii="Times New Roman" w:hAnsi="Times New Roman" w:eastAsia="宋体"/>
                      <w:lang w:bidi="zh-CN"/>
                    </w:rPr>
                    <w:t>管道负压收集+</w:t>
                  </w:r>
                  <w:r>
                    <w:rPr>
                      <w:rFonts w:hint="eastAsia" w:ascii="Times New Roman" w:hAnsi="Times New Roman" w:eastAsia="宋体"/>
                    </w:rPr>
                    <w:t>干式过滤器+四级活性炭吸附脱附催化燃烧废气处理装置+</w:t>
                  </w:r>
                  <w:r>
                    <w:rPr>
                      <w:rFonts w:ascii="Times New Roman" w:hAnsi="Times New Roman" w:eastAsia="宋体"/>
                    </w:rPr>
                    <w:t>2#</w:t>
                  </w:r>
                  <w:r>
                    <w:rPr>
                      <w:rFonts w:ascii="Times New Roman" w:hAnsi="Times New Roman" w:eastAsia="宋体"/>
                      <w:lang w:bidi="zh-CN"/>
                    </w:rPr>
                    <w:t>17m</w:t>
                  </w:r>
                  <w:r>
                    <w:rPr>
                      <w:rFonts w:hint="eastAsia" w:ascii="Times New Roman" w:hAnsi="Times New Roman" w:eastAsia="宋体"/>
                      <w:lang w:bidi="zh-CN"/>
                    </w:rPr>
                    <w:t>排气筒（</w:t>
                  </w:r>
                  <w:r>
                    <w:rPr>
                      <w:rFonts w:hint="eastAsia" w:ascii="Times New Roman" w:hAnsi="Times New Roman" w:eastAsia="宋体"/>
                      <w:sz w:val="18"/>
                      <w:szCs w:val="18"/>
                      <w:lang w:bidi="zh-CN"/>
                    </w:rPr>
                    <w:t>DA0</w:t>
                  </w:r>
                  <w:r>
                    <w:rPr>
                      <w:rFonts w:ascii="Times New Roman" w:hAnsi="Times New Roman" w:eastAsia="宋体"/>
                      <w:sz w:val="18"/>
                      <w:szCs w:val="18"/>
                      <w:lang w:bidi="zh-CN"/>
                    </w:rPr>
                    <w:t>02</w:t>
                  </w:r>
                  <w:r>
                    <w:rPr>
                      <w:rFonts w:hint="eastAsia" w:ascii="Times New Roman" w:hAnsi="Times New Roman" w:eastAsia="宋体"/>
                      <w:lang w:bidi="zh-CN"/>
                    </w:rPr>
                    <w:t>）</w:t>
                  </w:r>
                </w:p>
              </w:tc>
              <w:tc>
                <w:tcPr>
                  <w:tcW w:w="1264" w:type="dxa"/>
                  <w:vAlign w:val="center"/>
                </w:tcPr>
                <w:p>
                  <w:pPr>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套</w:t>
                  </w:r>
                </w:p>
              </w:tc>
              <w:tc>
                <w:tcPr>
                  <w:tcW w:w="1609" w:type="dxa"/>
                  <w:vAlign w:val="center"/>
                </w:tcPr>
                <w:p>
                  <w:pPr>
                    <w:adjustRightInd w:val="0"/>
                    <w:snapToGrid w:val="0"/>
                    <w:jc w:val="center"/>
                    <w:textAlignment w:val="baseline"/>
                    <w:rPr>
                      <w:rFonts w:ascii="Times New Roman" w:hAnsi="Times New Roman" w:eastAsia="宋体" w:cs="Times New Roman"/>
                      <w:snapToGrid w:val="0"/>
                      <w:kern w:val="0"/>
                    </w:rPr>
                  </w:pPr>
                  <w:r>
                    <w:rPr>
                      <w:rFonts w:ascii="Times New Roman" w:hAnsi="Times New Roman" w:eastAsia="宋体" w:cs="Times New Roman"/>
                      <w:snapToGrid w:val="0"/>
                      <w:kern w:val="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02" w:type="dxa"/>
                  <w:vAlign w:val="center"/>
                </w:tcPr>
                <w:p>
                  <w:pPr>
                    <w:adjustRightInd w:val="0"/>
                    <w:snapToGrid w:val="0"/>
                    <w:jc w:val="center"/>
                    <w:textAlignment w:val="baseline"/>
                    <w:rPr>
                      <w:rFonts w:ascii="Times New Roman" w:hAnsi="Times New Roman" w:eastAsia="宋体"/>
                      <w:kern w:val="0"/>
                    </w:rPr>
                  </w:pPr>
                  <w:r>
                    <w:rPr>
                      <w:rFonts w:ascii="Times New Roman" w:hAnsi="Times New Roman" w:eastAsia="宋体"/>
                    </w:rPr>
                    <w:t>废水处理</w:t>
                  </w:r>
                </w:p>
              </w:tc>
              <w:tc>
                <w:tcPr>
                  <w:tcW w:w="3223" w:type="dxa"/>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厂内化粪池</w:t>
                  </w:r>
                </w:p>
              </w:tc>
              <w:tc>
                <w:tcPr>
                  <w:tcW w:w="126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座</w:t>
                  </w:r>
                </w:p>
              </w:tc>
              <w:tc>
                <w:tcPr>
                  <w:tcW w:w="1609" w:type="dxa"/>
                  <w:vAlign w:val="center"/>
                </w:tcPr>
                <w:p>
                  <w:pPr>
                    <w:adjustRightInd w:val="0"/>
                    <w:snapToGrid w:val="0"/>
                    <w:jc w:val="center"/>
                    <w:textAlignment w:val="baseline"/>
                    <w:rPr>
                      <w:rFonts w:ascii="Times New Roman" w:hAnsi="Times New Roman" w:eastAsia="宋体" w:cs="Times New Roman"/>
                      <w:kern w:val="0"/>
                    </w:rPr>
                  </w:pPr>
                  <w:r>
                    <w:rPr>
                      <w:rFonts w:ascii="Times New Roman" w:hAnsi="Times New Roman" w:eastAsia="宋体" w:cs="Times New Roman"/>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02" w:type="dxa"/>
                  <w:vAlign w:val="center"/>
                </w:tcPr>
                <w:p>
                  <w:pPr>
                    <w:adjustRightInd w:val="0"/>
                    <w:snapToGrid w:val="0"/>
                    <w:jc w:val="center"/>
                    <w:textAlignment w:val="baseline"/>
                    <w:rPr>
                      <w:rFonts w:ascii="Times New Roman" w:hAnsi="Times New Roman" w:eastAsia="宋体"/>
                      <w:kern w:val="0"/>
                    </w:rPr>
                  </w:pPr>
                  <w:r>
                    <w:rPr>
                      <w:rFonts w:ascii="Times New Roman" w:hAnsi="Times New Roman" w:eastAsia="宋体"/>
                    </w:rPr>
                    <w:t>噪声污染治理</w:t>
                  </w:r>
                </w:p>
              </w:tc>
              <w:tc>
                <w:tcPr>
                  <w:tcW w:w="3223" w:type="dxa"/>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bCs/>
                    </w:rPr>
                    <w:t>采取隔声、基础减振措施</w:t>
                  </w:r>
                </w:p>
              </w:tc>
              <w:tc>
                <w:tcPr>
                  <w:tcW w:w="1264" w:type="dxa"/>
                  <w:vAlign w:val="center"/>
                </w:tcPr>
                <w:p>
                  <w:pPr>
                    <w:adjustRightInd w:val="0"/>
                    <w:snapToGrid w:val="0"/>
                    <w:jc w:val="center"/>
                    <w:rPr>
                      <w:rFonts w:ascii="Times New Roman" w:hAnsi="Times New Roman" w:eastAsia="宋体" w:cs="Times New Roman"/>
                      <w:kern w:val="0"/>
                    </w:rPr>
                  </w:pPr>
                  <w:r>
                    <w:rPr>
                      <w:rFonts w:ascii="Times New Roman" w:hAnsi="Times New Roman" w:eastAsia="宋体" w:cs="Times New Roman"/>
                    </w:rPr>
                    <w:t>配套</w:t>
                  </w:r>
                </w:p>
              </w:tc>
              <w:tc>
                <w:tcPr>
                  <w:tcW w:w="1609" w:type="dxa"/>
                  <w:vAlign w:val="center"/>
                </w:tcPr>
                <w:p>
                  <w:pPr>
                    <w:adjustRightInd w:val="0"/>
                    <w:snapToGrid w:val="0"/>
                    <w:jc w:val="center"/>
                    <w:textAlignment w:val="baseline"/>
                    <w:rPr>
                      <w:rFonts w:ascii="Times New Roman" w:hAnsi="Times New Roman" w:eastAsia="宋体" w:cs="Times New Roman"/>
                      <w:kern w:val="0"/>
                    </w:rPr>
                  </w:pPr>
                  <w:r>
                    <w:rPr>
                      <w:rFonts w:ascii="Times New Roman" w:hAnsi="Times New Roman" w:eastAsia="宋体" w:cs="Times New Roman"/>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02" w:type="dxa"/>
                  <w:vMerge w:val="restart"/>
                  <w:vAlign w:val="center"/>
                </w:tcPr>
                <w:p>
                  <w:pPr>
                    <w:adjustRightInd w:val="0"/>
                    <w:snapToGrid w:val="0"/>
                    <w:jc w:val="center"/>
                    <w:textAlignment w:val="baseline"/>
                    <w:rPr>
                      <w:rFonts w:ascii="Times New Roman" w:hAnsi="Times New Roman" w:eastAsia="宋体"/>
                      <w:kern w:val="0"/>
                    </w:rPr>
                  </w:pPr>
                  <w:r>
                    <w:rPr>
                      <w:rFonts w:ascii="Times New Roman" w:hAnsi="Times New Roman" w:eastAsia="宋体"/>
                    </w:rPr>
                    <w:t>固体废物治理</w:t>
                  </w:r>
                </w:p>
              </w:tc>
              <w:tc>
                <w:tcPr>
                  <w:tcW w:w="3223" w:type="dxa"/>
                  <w:vAlign w:val="center"/>
                </w:tcPr>
                <w:p>
                  <w:pPr>
                    <w:adjustRightInd w:val="0"/>
                    <w:snapToGrid w:val="0"/>
                    <w:jc w:val="center"/>
                    <w:textAlignment w:val="baseline"/>
                    <w:rPr>
                      <w:rFonts w:ascii="Times New Roman" w:hAnsi="Times New Roman" w:eastAsia="宋体" w:cs="Times New Roman"/>
                      <w:kern w:val="0"/>
                    </w:rPr>
                  </w:pPr>
                  <w:r>
                    <w:rPr>
                      <w:rFonts w:hint="eastAsia" w:ascii="Times New Roman" w:hAnsi="Times New Roman" w:eastAsia="宋体" w:cs="Times New Roman"/>
                      <w:kern w:val="0"/>
                    </w:rPr>
                    <w:t>一般固废暂存区</w:t>
                  </w:r>
                </w:p>
              </w:tc>
              <w:tc>
                <w:tcPr>
                  <w:tcW w:w="1264" w:type="dxa"/>
                  <w:vAlign w:val="center"/>
                </w:tcPr>
                <w:p>
                  <w:pPr>
                    <w:jc w:val="center"/>
                    <w:rPr>
                      <w:rFonts w:ascii="Times New Roman" w:hAnsi="Times New Roman" w:eastAsia="宋体" w:cs="Times New Roman"/>
                      <w:kern w:val="0"/>
                    </w:rPr>
                  </w:pPr>
                  <w:r>
                    <w:rPr>
                      <w:rFonts w:hint="eastAsia" w:ascii="Times New Roman" w:hAnsi="Times New Roman" w:eastAsia="宋体" w:cs="Times New Roman"/>
                      <w:kern w:val="0"/>
                    </w:rPr>
                    <w:t>/</w:t>
                  </w:r>
                </w:p>
              </w:tc>
              <w:tc>
                <w:tcPr>
                  <w:tcW w:w="1609" w:type="dxa"/>
                  <w:vAlign w:val="center"/>
                </w:tcPr>
                <w:p>
                  <w:pPr>
                    <w:adjustRightInd w:val="0"/>
                    <w:snapToGrid w:val="0"/>
                    <w:jc w:val="center"/>
                    <w:textAlignment w:val="baseline"/>
                    <w:rPr>
                      <w:rFonts w:ascii="Times New Roman" w:hAnsi="Times New Roman" w:eastAsia="宋体" w:cs="Times New Roman"/>
                      <w:kern w:val="0"/>
                    </w:rPr>
                  </w:pPr>
                  <w:r>
                    <w:rPr>
                      <w:rFonts w:hint="eastAsia" w:ascii="Times New Roman" w:hAnsi="Times New Roman" w:eastAsia="宋体" w:cs="Times New Roman"/>
                      <w:kern w:val="0"/>
                    </w:rPr>
                    <w:t>0</w:t>
                  </w:r>
                  <w:r>
                    <w:rPr>
                      <w:rFonts w:ascii="Times New Roman" w:hAnsi="Times New Roman" w:eastAsia="宋体" w:cs="Times New Roman"/>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02" w:type="dxa"/>
                  <w:vMerge w:val="continue"/>
                  <w:vAlign w:val="center"/>
                </w:tcPr>
                <w:p>
                  <w:pPr>
                    <w:adjustRightInd w:val="0"/>
                    <w:snapToGrid w:val="0"/>
                    <w:jc w:val="center"/>
                    <w:textAlignment w:val="baseline"/>
                    <w:rPr>
                      <w:rFonts w:ascii="Times New Roman" w:hAnsi="Times New Roman" w:eastAsia="宋体"/>
                    </w:rPr>
                  </w:pPr>
                </w:p>
              </w:tc>
              <w:tc>
                <w:tcPr>
                  <w:tcW w:w="3223" w:type="dxa"/>
                  <w:vAlign w:val="center"/>
                </w:tcPr>
                <w:p>
                  <w:pPr>
                    <w:adjustRightInd w:val="0"/>
                    <w:snapToGrid w:val="0"/>
                    <w:jc w:val="center"/>
                    <w:textAlignment w:val="baseline"/>
                    <w:rPr>
                      <w:rFonts w:ascii="Times New Roman" w:hAnsi="Times New Roman" w:eastAsia="宋体" w:cs="Times New Roman"/>
                      <w:kern w:val="0"/>
                    </w:rPr>
                  </w:pPr>
                  <w:r>
                    <w:rPr>
                      <w:rFonts w:ascii="Times New Roman" w:hAnsi="Times New Roman" w:eastAsia="宋体" w:cs="Times New Roman"/>
                      <w:kern w:val="0"/>
                    </w:rPr>
                    <w:t>危废暂存间（16m</w:t>
                  </w:r>
                  <w:r>
                    <w:rPr>
                      <w:rFonts w:ascii="Times New Roman" w:hAnsi="Times New Roman" w:eastAsia="宋体" w:cs="Times New Roman"/>
                      <w:kern w:val="0"/>
                      <w:vertAlign w:val="superscript"/>
                    </w:rPr>
                    <w:t>2</w:t>
                  </w:r>
                  <w:r>
                    <w:rPr>
                      <w:rFonts w:hint="eastAsia" w:ascii="Times New Roman" w:hAnsi="Times New Roman" w:eastAsia="宋体" w:cs="Times New Roman"/>
                      <w:kern w:val="0"/>
                    </w:rPr>
                    <w:t>）</w:t>
                  </w:r>
                </w:p>
              </w:tc>
              <w:tc>
                <w:tcPr>
                  <w:tcW w:w="1264" w:type="dxa"/>
                  <w:vAlign w:val="center"/>
                </w:tcPr>
                <w:p>
                  <w:pPr>
                    <w:jc w:val="center"/>
                    <w:rPr>
                      <w:rFonts w:ascii="Times New Roman" w:hAnsi="Times New Roman" w:eastAsia="宋体" w:cs="Times New Roman"/>
                    </w:rPr>
                  </w:pPr>
                  <w:r>
                    <w:rPr>
                      <w:rFonts w:ascii="Times New Roman" w:hAnsi="Times New Roman" w:eastAsia="宋体" w:cs="Times New Roman"/>
                    </w:rPr>
                    <w:t>/</w:t>
                  </w:r>
                </w:p>
              </w:tc>
              <w:tc>
                <w:tcPr>
                  <w:tcW w:w="1609" w:type="dxa"/>
                  <w:vAlign w:val="center"/>
                </w:tcPr>
                <w:p>
                  <w:pPr>
                    <w:adjustRightInd w:val="0"/>
                    <w:snapToGrid w:val="0"/>
                    <w:jc w:val="center"/>
                    <w:textAlignment w:val="baseline"/>
                    <w:rPr>
                      <w:rFonts w:ascii="Times New Roman" w:hAnsi="Times New Roman" w:eastAsia="宋体" w:cs="Times New Roman"/>
                      <w:kern w:val="0"/>
                    </w:rPr>
                  </w:pPr>
                  <w:r>
                    <w:rPr>
                      <w:rFonts w:hint="eastAsia" w:ascii="Times New Roman" w:hAnsi="Times New Roman" w:eastAsia="宋体" w:cs="Times New Roman"/>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02" w:type="dxa"/>
                  <w:vAlign w:val="center"/>
                </w:tcPr>
                <w:p>
                  <w:pPr>
                    <w:adjustRightInd w:val="0"/>
                    <w:snapToGrid w:val="0"/>
                    <w:jc w:val="center"/>
                    <w:textAlignment w:val="baseline"/>
                    <w:rPr>
                      <w:rFonts w:ascii="Times New Roman" w:hAnsi="Times New Roman" w:eastAsia="宋体"/>
                    </w:rPr>
                  </w:pPr>
                  <w:r>
                    <w:rPr>
                      <w:rFonts w:hint="eastAsia" w:ascii="Times New Roman" w:hAnsi="Times New Roman" w:eastAsia="宋体"/>
                    </w:rPr>
                    <w:t>地下水</w:t>
                  </w:r>
                </w:p>
              </w:tc>
              <w:tc>
                <w:tcPr>
                  <w:tcW w:w="3223" w:type="dxa"/>
                  <w:vAlign w:val="center"/>
                </w:tcPr>
                <w:p>
                  <w:pPr>
                    <w:adjustRightInd w:val="0"/>
                    <w:snapToGrid w:val="0"/>
                    <w:jc w:val="center"/>
                    <w:textAlignment w:val="baseline"/>
                    <w:rPr>
                      <w:rFonts w:ascii="Times New Roman" w:hAnsi="Times New Roman" w:eastAsia="宋体" w:cs="Times New Roman"/>
                      <w:kern w:val="0"/>
                    </w:rPr>
                  </w:pPr>
                  <w:r>
                    <w:rPr>
                      <w:rFonts w:hint="eastAsia" w:ascii="Times New Roman" w:hAnsi="Times New Roman" w:eastAsia="宋体"/>
                    </w:rPr>
                    <w:t>分区防渗</w:t>
                  </w:r>
                </w:p>
              </w:tc>
              <w:tc>
                <w:tcPr>
                  <w:tcW w:w="1264" w:type="dxa"/>
                  <w:vAlign w:val="center"/>
                </w:tcPr>
                <w:p>
                  <w:pPr>
                    <w:jc w:val="center"/>
                    <w:rPr>
                      <w:rFonts w:ascii="Times New Roman" w:hAnsi="Times New Roman" w:eastAsia="宋体" w:cs="Times New Roman"/>
                    </w:rPr>
                  </w:pPr>
                  <w:r>
                    <w:rPr>
                      <w:rFonts w:hint="eastAsia" w:ascii="Times New Roman" w:hAnsi="Times New Roman" w:eastAsia="宋体" w:cs="Times New Roman"/>
                    </w:rPr>
                    <w:t>/</w:t>
                  </w:r>
                </w:p>
              </w:tc>
              <w:tc>
                <w:tcPr>
                  <w:tcW w:w="1609" w:type="dxa"/>
                  <w:vAlign w:val="center"/>
                </w:tcPr>
                <w:p>
                  <w:pPr>
                    <w:adjustRightInd w:val="0"/>
                    <w:snapToGrid w:val="0"/>
                    <w:jc w:val="center"/>
                    <w:textAlignment w:val="baseline"/>
                    <w:rPr>
                      <w:rFonts w:ascii="Times New Roman" w:hAnsi="Times New Roman" w:eastAsia="宋体" w:cs="Times New Roman"/>
                      <w:kern w:val="0"/>
                    </w:rPr>
                  </w:pPr>
                  <w:r>
                    <w:rPr>
                      <w:rFonts w:hint="eastAsia" w:ascii="Times New Roman" w:hAnsi="Times New Roman" w:eastAsia="宋体" w:cs="Times New Roman"/>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4925" w:type="dxa"/>
                  <w:gridSpan w:val="2"/>
                  <w:vAlign w:val="center"/>
                </w:tcPr>
                <w:p>
                  <w:pPr>
                    <w:jc w:val="center"/>
                    <w:rPr>
                      <w:rFonts w:ascii="Times New Roman" w:hAnsi="Times New Roman" w:eastAsia="宋体"/>
                      <w:kern w:val="0"/>
                    </w:rPr>
                  </w:pPr>
                  <w:r>
                    <w:rPr>
                      <w:rFonts w:ascii="Times New Roman" w:hAnsi="Times New Roman" w:eastAsia="宋体"/>
                      <w:kern w:val="0"/>
                    </w:rPr>
                    <w:t>合计</w:t>
                  </w:r>
                </w:p>
              </w:tc>
              <w:tc>
                <w:tcPr>
                  <w:tcW w:w="1264" w:type="dxa"/>
                  <w:vAlign w:val="center"/>
                </w:tcPr>
                <w:p>
                  <w:pPr>
                    <w:jc w:val="center"/>
                    <w:rPr>
                      <w:rFonts w:ascii="Times New Roman" w:hAnsi="Times New Roman" w:eastAsia="宋体" w:cs="Times New Roman"/>
                    </w:rPr>
                  </w:pPr>
                  <w:r>
                    <w:rPr>
                      <w:rFonts w:ascii="Times New Roman" w:hAnsi="Times New Roman" w:eastAsia="宋体" w:cs="Times New Roman"/>
                    </w:rPr>
                    <w:t>/</w:t>
                  </w:r>
                </w:p>
              </w:tc>
              <w:tc>
                <w:tcPr>
                  <w:tcW w:w="1609" w:type="dxa"/>
                  <w:vAlign w:val="center"/>
                </w:tcPr>
                <w:p>
                  <w:pPr>
                    <w:jc w:val="center"/>
                    <w:rPr>
                      <w:rFonts w:ascii="Times New Roman" w:hAnsi="Times New Roman" w:eastAsia="宋体" w:cs="Times New Roman"/>
                      <w:kern w:val="0"/>
                    </w:rPr>
                  </w:pPr>
                  <w:r>
                    <w:rPr>
                      <w:rFonts w:ascii="Times New Roman" w:hAnsi="Times New Roman" w:eastAsia="宋体" w:cs="Times New Roman"/>
                      <w:kern w:val="0"/>
                    </w:rPr>
                    <w:t>51.5</w:t>
                  </w:r>
                </w:p>
              </w:tc>
            </w:tr>
          </w:tbl>
          <w:p>
            <w:pPr>
              <w:pStyle w:val="36"/>
            </w:pPr>
          </w:p>
          <w:p>
            <w:pPr>
              <w:pStyle w:val="36"/>
            </w:pPr>
          </w:p>
          <w:p>
            <w:pPr>
              <w:pStyle w:val="36"/>
            </w:pPr>
          </w:p>
        </w:tc>
      </w:tr>
    </w:tbl>
    <w:p>
      <w:pPr>
        <w:rPr>
          <w:rFonts w:ascii="Times New Roman" w:hAnsi="Times New Roman" w:eastAsia="宋体"/>
        </w:rPr>
        <w:sectPr>
          <w:pgSz w:w="11906" w:h="16838"/>
          <w:pgMar w:top="1440" w:right="1800" w:bottom="1440" w:left="1800" w:header="851" w:footer="992" w:gutter="0"/>
          <w:cols w:space="425" w:num="1"/>
          <w:docGrid w:type="lines" w:linePitch="312" w:charSpace="0"/>
        </w:sectPr>
      </w:pPr>
    </w:p>
    <w:p>
      <w:pPr>
        <w:pStyle w:val="21"/>
        <w:rPr>
          <w:bCs/>
          <w:color w:val="auto"/>
        </w:rPr>
      </w:pPr>
      <w:r>
        <w:rPr>
          <w:rFonts w:hint="eastAsia"/>
          <w:color w:val="auto"/>
        </w:rPr>
        <w:t>五、环境保护措施监督检查清单</w:t>
      </w:r>
      <w:bookmarkEnd w:id="11"/>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1167"/>
        <w:gridCol w:w="1661"/>
        <w:gridCol w:w="1410"/>
        <w:gridCol w:w="1417"/>
        <w:gridCol w:w="26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tcBorders>
              <w:top w:val="single" w:color="auto" w:sz="12" w:space="0"/>
              <w:bottom w:val="single" w:color="auto" w:sz="4" w:space="0"/>
              <w:tl2br w:val="single" w:color="auto" w:sz="4" w:space="0"/>
            </w:tcBorders>
            <w:tcMar>
              <w:left w:w="57" w:type="dxa"/>
              <w:right w:w="57" w:type="dxa"/>
            </w:tcMar>
            <w:vAlign w:val="center"/>
          </w:tcPr>
          <w:p>
            <w:pPr>
              <w:adjustRightInd w:val="0"/>
              <w:snapToGrid w:val="0"/>
              <w:ind w:right="210" w:rightChars="100"/>
              <w:jc w:val="right"/>
              <w:rPr>
                <w:rFonts w:ascii="Times New Roman" w:hAnsi="Times New Roman" w:eastAsia="宋体" w:cs="Times New Roman"/>
                <w:b/>
                <w:bCs/>
                <w:sz w:val="24"/>
                <w:szCs w:val="24"/>
              </w:rPr>
            </w:pPr>
            <w:bookmarkStart w:id="32" w:name="_Hlk153355647"/>
            <w:r>
              <w:rPr>
                <w:rFonts w:ascii="Times New Roman" w:hAnsi="Times New Roman" w:eastAsia="宋体" w:cs="Times New Roman"/>
                <w:b/>
                <w:bCs/>
                <w:sz w:val="24"/>
                <w:szCs w:val="24"/>
              </w:rPr>
              <w:t>内容</w:t>
            </w:r>
          </w:p>
          <w:p>
            <w:pPr>
              <w:adjustRightInd w:val="0"/>
              <w:snapToGrid w:val="0"/>
              <w:ind w:left="105" w:leftChars="50"/>
              <w:rPr>
                <w:rFonts w:ascii="Times New Roman" w:hAnsi="Times New Roman" w:eastAsia="宋体" w:cs="Times New Roman"/>
                <w:b/>
                <w:bCs/>
                <w:sz w:val="24"/>
                <w:szCs w:val="24"/>
              </w:rPr>
            </w:pPr>
            <w:r>
              <w:rPr>
                <w:rFonts w:ascii="Times New Roman" w:hAnsi="Times New Roman" w:eastAsia="宋体" w:cs="Times New Roman"/>
                <w:b/>
                <w:bCs/>
                <w:sz w:val="24"/>
                <w:szCs w:val="24"/>
              </w:rPr>
              <w:t>要素</w:t>
            </w:r>
          </w:p>
        </w:tc>
        <w:tc>
          <w:tcPr>
            <w:tcW w:w="1661" w:type="dxa"/>
            <w:tcMar>
              <w:left w:w="57" w:type="dxa"/>
              <w:right w:w="57" w:type="dxa"/>
            </w:tcMar>
            <w:vAlign w:val="center"/>
          </w:tcPr>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排放口（编号、名称）/污染源</w:t>
            </w:r>
          </w:p>
        </w:tc>
        <w:tc>
          <w:tcPr>
            <w:tcW w:w="1410" w:type="dxa"/>
            <w:tcMar>
              <w:left w:w="57" w:type="dxa"/>
              <w:right w:w="57" w:type="dxa"/>
            </w:tcMar>
            <w:vAlign w:val="center"/>
          </w:tcPr>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污染物项目</w:t>
            </w:r>
          </w:p>
        </w:tc>
        <w:tc>
          <w:tcPr>
            <w:tcW w:w="1417" w:type="dxa"/>
            <w:tcMar>
              <w:left w:w="57" w:type="dxa"/>
              <w:right w:w="57" w:type="dxa"/>
            </w:tcMar>
            <w:vAlign w:val="center"/>
          </w:tcPr>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环境保护措施</w:t>
            </w:r>
          </w:p>
        </w:tc>
        <w:tc>
          <w:tcPr>
            <w:tcW w:w="2621" w:type="dxa"/>
            <w:tcMar>
              <w:left w:w="57" w:type="dxa"/>
              <w:right w:w="57" w:type="dxa"/>
            </w:tcMar>
            <w:vAlign w:val="center"/>
          </w:tcPr>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执行标准</w:t>
            </w:r>
          </w:p>
        </w:tc>
      </w:tr>
      <w:bookmarkEnd w:id="32"/>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vMerge w:val="restart"/>
            <w:tcBorders>
              <w:top w:val="single" w:color="auto" w:sz="4" w:space="0"/>
            </w:tcBorders>
            <w:tcMar>
              <w:left w:w="57" w:type="dxa"/>
              <w:right w:w="57" w:type="dxa"/>
            </w:tcMar>
            <w:vAlign w:val="center"/>
          </w:tcPr>
          <w:p>
            <w:pPr>
              <w:pStyle w:val="41"/>
              <w:rPr>
                <w:sz w:val="24"/>
                <w:szCs w:val="32"/>
              </w:rPr>
            </w:pPr>
            <w:r>
              <w:rPr>
                <w:sz w:val="24"/>
                <w:szCs w:val="32"/>
              </w:rPr>
              <w:t>大气环境</w:t>
            </w:r>
          </w:p>
        </w:tc>
        <w:tc>
          <w:tcPr>
            <w:tcW w:w="1661" w:type="dxa"/>
            <w:tcMar>
              <w:left w:w="57" w:type="dxa"/>
              <w:right w:w="57" w:type="dxa"/>
            </w:tcMar>
            <w:vAlign w:val="center"/>
          </w:tcPr>
          <w:p>
            <w:pPr>
              <w:pStyle w:val="41"/>
              <w:rPr>
                <w:rFonts w:cs="Times New Roman"/>
                <w:sz w:val="24"/>
              </w:rPr>
            </w:pPr>
            <w:r>
              <w:rPr>
                <w:rFonts w:hint="eastAsia" w:cs="Times New Roman"/>
                <w:sz w:val="24"/>
              </w:rPr>
              <w:t>DA0</w:t>
            </w:r>
            <w:r>
              <w:rPr>
                <w:rFonts w:cs="Times New Roman"/>
                <w:sz w:val="24"/>
              </w:rPr>
              <w:t>01</w:t>
            </w:r>
            <w:r>
              <w:rPr>
                <w:rFonts w:hint="eastAsia" w:cs="Times New Roman"/>
                <w:sz w:val="24"/>
              </w:rPr>
              <w:t>/17m排气筒</w:t>
            </w:r>
          </w:p>
        </w:tc>
        <w:tc>
          <w:tcPr>
            <w:tcW w:w="1410" w:type="dxa"/>
            <w:tcMar>
              <w:left w:w="57" w:type="dxa"/>
              <w:right w:w="57" w:type="dxa"/>
            </w:tcMar>
            <w:vAlign w:val="center"/>
          </w:tcPr>
          <w:p>
            <w:pPr>
              <w:pStyle w:val="41"/>
              <w:rPr>
                <w:rFonts w:cs="Times New Roman"/>
                <w:sz w:val="24"/>
              </w:rPr>
            </w:pPr>
            <w:r>
              <w:rPr>
                <w:rFonts w:hint="eastAsia" w:cs="Times New Roman"/>
                <w:sz w:val="24"/>
              </w:rPr>
              <w:t>颗粒物</w:t>
            </w:r>
          </w:p>
        </w:tc>
        <w:tc>
          <w:tcPr>
            <w:tcW w:w="1417" w:type="dxa"/>
            <w:tcMar>
              <w:left w:w="57" w:type="dxa"/>
              <w:right w:w="57" w:type="dxa"/>
            </w:tcMar>
            <w:vAlign w:val="center"/>
          </w:tcPr>
          <w:p>
            <w:pPr>
              <w:pStyle w:val="41"/>
              <w:jc w:val="both"/>
              <w:rPr>
                <w:rFonts w:cs="Times New Roman"/>
                <w:sz w:val="24"/>
              </w:rPr>
            </w:pPr>
            <w:r>
              <w:rPr>
                <w:rFonts w:hint="eastAsia" w:cs="Times New Roman"/>
                <w:sz w:val="24"/>
              </w:rPr>
              <w:t>管道负压收集+脉冲除尘器+</w:t>
            </w:r>
            <w:r>
              <w:rPr>
                <w:rFonts w:cs="Times New Roman"/>
                <w:sz w:val="24"/>
              </w:rPr>
              <w:t>17m</w:t>
            </w:r>
            <w:r>
              <w:rPr>
                <w:rFonts w:hint="eastAsia" w:cs="Times New Roman"/>
                <w:sz w:val="24"/>
              </w:rPr>
              <w:t>排气筒（DA0</w:t>
            </w:r>
            <w:r>
              <w:rPr>
                <w:rFonts w:cs="Times New Roman"/>
                <w:sz w:val="24"/>
              </w:rPr>
              <w:t>01</w:t>
            </w:r>
            <w:r>
              <w:rPr>
                <w:rFonts w:hint="eastAsia" w:cs="Times New Roman"/>
                <w:sz w:val="24"/>
              </w:rPr>
              <w:t>）</w:t>
            </w:r>
          </w:p>
        </w:tc>
        <w:tc>
          <w:tcPr>
            <w:tcW w:w="2621" w:type="dxa"/>
            <w:tcMar>
              <w:left w:w="57" w:type="dxa"/>
              <w:right w:w="57" w:type="dxa"/>
            </w:tcMar>
            <w:vAlign w:val="center"/>
          </w:tcPr>
          <w:p>
            <w:pPr>
              <w:pStyle w:val="41"/>
              <w:jc w:val="both"/>
              <w:rPr>
                <w:rFonts w:cs="Times New Roman"/>
                <w:sz w:val="24"/>
              </w:rPr>
            </w:pPr>
            <w:r>
              <w:rPr>
                <w:rFonts w:hint="eastAsia" w:cs="Times New Roman"/>
                <w:sz w:val="24"/>
              </w:rPr>
              <w:t>《大气污染物综合排放标准》（GB16297-1996）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vMerge w:val="continue"/>
            <w:tcMar>
              <w:left w:w="57" w:type="dxa"/>
              <w:right w:w="57" w:type="dxa"/>
            </w:tcMar>
            <w:vAlign w:val="center"/>
          </w:tcPr>
          <w:p>
            <w:pPr>
              <w:pStyle w:val="41"/>
              <w:rPr>
                <w:sz w:val="24"/>
                <w:szCs w:val="32"/>
              </w:rPr>
            </w:pPr>
          </w:p>
        </w:tc>
        <w:tc>
          <w:tcPr>
            <w:tcW w:w="1661" w:type="dxa"/>
            <w:vMerge w:val="restart"/>
            <w:tcMar>
              <w:left w:w="57" w:type="dxa"/>
              <w:right w:w="57" w:type="dxa"/>
            </w:tcMar>
            <w:vAlign w:val="center"/>
          </w:tcPr>
          <w:p>
            <w:pPr>
              <w:pStyle w:val="41"/>
              <w:rPr>
                <w:rFonts w:cs="Times New Roman"/>
                <w:sz w:val="24"/>
              </w:rPr>
            </w:pPr>
            <w:r>
              <w:rPr>
                <w:rFonts w:hint="eastAsia" w:cs="Times New Roman"/>
                <w:sz w:val="24"/>
              </w:rPr>
              <w:t>DA0</w:t>
            </w:r>
            <w:r>
              <w:rPr>
                <w:rFonts w:cs="Times New Roman"/>
                <w:sz w:val="24"/>
              </w:rPr>
              <w:t>02</w:t>
            </w:r>
            <w:r>
              <w:rPr>
                <w:rFonts w:hint="eastAsia" w:cs="Times New Roman"/>
                <w:sz w:val="24"/>
              </w:rPr>
              <w:t>/17m排气筒</w:t>
            </w:r>
          </w:p>
        </w:tc>
        <w:tc>
          <w:tcPr>
            <w:tcW w:w="1410" w:type="dxa"/>
            <w:tcMar>
              <w:left w:w="57" w:type="dxa"/>
              <w:right w:w="57" w:type="dxa"/>
            </w:tcMar>
            <w:vAlign w:val="center"/>
          </w:tcPr>
          <w:p>
            <w:pPr>
              <w:pStyle w:val="41"/>
              <w:rPr>
                <w:rFonts w:cs="Times New Roman"/>
                <w:sz w:val="24"/>
              </w:rPr>
            </w:pPr>
            <w:r>
              <w:rPr>
                <w:rFonts w:hint="eastAsia" w:cs="Times New Roman"/>
                <w:sz w:val="24"/>
              </w:rPr>
              <w:t>颗粒物</w:t>
            </w:r>
          </w:p>
        </w:tc>
        <w:tc>
          <w:tcPr>
            <w:tcW w:w="1417" w:type="dxa"/>
            <w:vMerge w:val="restart"/>
            <w:tcMar>
              <w:left w:w="57" w:type="dxa"/>
              <w:right w:w="57" w:type="dxa"/>
            </w:tcMar>
            <w:vAlign w:val="center"/>
          </w:tcPr>
          <w:p>
            <w:pPr>
              <w:pStyle w:val="41"/>
              <w:rPr>
                <w:rFonts w:cs="Times New Roman"/>
                <w:sz w:val="24"/>
              </w:rPr>
            </w:pPr>
            <w:r>
              <w:rPr>
                <w:rFonts w:hint="eastAsia" w:cs="Times New Roman"/>
                <w:sz w:val="24"/>
              </w:rPr>
              <w:t>管道负压收集+干式过滤器+吸附脱附催化燃烧废气处理装置+</w:t>
            </w:r>
            <w:r>
              <w:rPr>
                <w:rFonts w:cs="Times New Roman"/>
                <w:sz w:val="24"/>
              </w:rPr>
              <w:t>2#17m</w:t>
            </w:r>
            <w:r>
              <w:rPr>
                <w:rFonts w:hint="eastAsia" w:cs="Times New Roman"/>
                <w:sz w:val="24"/>
              </w:rPr>
              <w:t>排气筒（DA0</w:t>
            </w:r>
            <w:r>
              <w:rPr>
                <w:rFonts w:cs="Times New Roman"/>
                <w:sz w:val="24"/>
              </w:rPr>
              <w:t>02</w:t>
            </w:r>
            <w:r>
              <w:rPr>
                <w:rFonts w:hint="eastAsia" w:cs="Times New Roman"/>
                <w:sz w:val="24"/>
              </w:rPr>
              <w:t>）</w:t>
            </w:r>
          </w:p>
        </w:tc>
        <w:tc>
          <w:tcPr>
            <w:tcW w:w="2621" w:type="dxa"/>
            <w:tcMar>
              <w:left w:w="57" w:type="dxa"/>
              <w:right w:w="57" w:type="dxa"/>
            </w:tcMar>
            <w:vAlign w:val="center"/>
          </w:tcPr>
          <w:p>
            <w:pPr>
              <w:pStyle w:val="41"/>
              <w:jc w:val="both"/>
              <w:rPr>
                <w:rFonts w:cs="Times New Roman"/>
                <w:sz w:val="24"/>
              </w:rPr>
            </w:pPr>
            <w:r>
              <w:rPr>
                <w:rFonts w:hint="eastAsia" w:cs="Times New Roman"/>
                <w:sz w:val="24"/>
              </w:rPr>
              <w:t>《大气污染物综合排放标准》（GB16297-1996）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vMerge w:val="continue"/>
            <w:tcMar>
              <w:left w:w="57" w:type="dxa"/>
              <w:right w:w="57" w:type="dxa"/>
            </w:tcMar>
            <w:vAlign w:val="center"/>
          </w:tcPr>
          <w:p>
            <w:pPr>
              <w:pStyle w:val="41"/>
              <w:rPr>
                <w:sz w:val="24"/>
                <w:szCs w:val="32"/>
              </w:rPr>
            </w:pPr>
          </w:p>
        </w:tc>
        <w:tc>
          <w:tcPr>
            <w:tcW w:w="1661" w:type="dxa"/>
            <w:vMerge w:val="continue"/>
            <w:tcMar>
              <w:left w:w="57" w:type="dxa"/>
              <w:right w:w="57" w:type="dxa"/>
            </w:tcMar>
            <w:vAlign w:val="center"/>
          </w:tcPr>
          <w:p>
            <w:pPr>
              <w:pStyle w:val="41"/>
              <w:rPr>
                <w:rFonts w:cs="Times New Roman"/>
                <w:sz w:val="24"/>
              </w:rPr>
            </w:pPr>
          </w:p>
        </w:tc>
        <w:tc>
          <w:tcPr>
            <w:tcW w:w="1410" w:type="dxa"/>
            <w:tcMar>
              <w:left w:w="57" w:type="dxa"/>
              <w:right w:w="57" w:type="dxa"/>
            </w:tcMar>
            <w:vAlign w:val="center"/>
          </w:tcPr>
          <w:p>
            <w:pPr>
              <w:pStyle w:val="41"/>
              <w:rPr>
                <w:rFonts w:cs="Times New Roman"/>
                <w:sz w:val="24"/>
              </w:rPr>
            </w:pPr>
            <w:r>
              <w:rPr>
                <w:rFonts w:hint="eastAsia" w:cs="Times New Roman"/>
                <w:sz w:val="24"/>
              </w:rPr>
              <w:t>非甲烷总烃</w:t>
            </w:r>
          </w:p>
        </w:tc>
        <w:tc>
          <w:tcPr>
            <w:tcW w:w="1417" w:type="dxa"/>
            <w:vMerge w:val="continue"/>
            <w:tcMar>
              <w:left w:w="57" w:type="dxa"/>
              <w:right w:w="57" w:type="dxa"/>
            </w:tcMar>
            <w:vAlign w:val="center"/>
          </w:tcPr>
          <w:p>
            <w:pPr>
              <w:pStyle w:val="41"/>
              <w:jc w:val="both"/>
              <w:rPr>
                <w:rFonts w:cs="Times New Roman"/>
                <w:sz w:val="24"/>
              </w:rPr>
            </w:pPr>
          </w:p>
        </w:tc>
        <w:tc>
          <w:tcPr>
            <w:tcW w:w="2621" w:type="dxa"/>
            <w:tcMar>
              <w:left w:w="57" w:type="dxa"/>
              <w:right w:w="57" w:type="dxa"/>
            </w:tcMar>
            <w:vAlign w:val="center"/>
          </w:tcPr>
          <w:p>
            <w:pPr>
              <w:pStyle w:val="41"/>
              <w:jc w:val="both"/>
              <w:rPr>
                <w:rFonts w:cs="Times New Roman"/>
                <w:sz w:val="24"/>
              </w:rPr>
            </w:pPr>
            <w:r>
              <w:rPr>
                <w:rFonts w:hint="eastAsia" w:cs="Times New Roman"/>
                <w:sz w:val="24"/>
              </w:rPr>
              <w:t>《挥发性有机物排放控制标准》（DB61/T1061-2017）、《挥发性有机物无组织排放控制标准》（GB37822-2019）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vMerge w:val="continue"/>
            <w:tcMar>
              <w:left w:w="57" w:type="dxa"/>
              <w:right w:w="57" w:type="dxa"/>
            </w:tcMar>
            <w:vAlign w:val="center"/>
          </w:tcPr>
          <w:p>
            <w:pPr>
              <w:pStyle w:val="41"/>
              <w:rPr>
                <w:sz w:val="24"/>
                <w:szCs w:val="32"/>
              </w:rPr>
            </w:pPr>
          </w:p>
        </w:tc>
        <w:tc>
          <w:tcPr>
            <w:tcW w:w="1661" w:type="dxa"/>
            <w:vMerge w:val="continue"/>
            <w:tcMar>
              <w:left w:w="57" w:type="dxa"/>
              <w:right w:w="57" w:type="dxa"/>
            </w:tcMar>
            <w:vAlign w:val="center"/>
          </w:tcPr>
          <w:p>
            <w:pPr>
              <w:pStyle w:val="41"/>
              <w:rPr>
                <w:rFonts w:cs="Times New Roman"/>
                <w:sz w:val="24"/>
              </w:rPr>
            </w:pPr>
          </w:p>
        </w:tc>
        <w:tc>
          <w:tcPr>
            <w:tcW w:w="1410" w:type="dxa"/>
            <w:tcMar>
              <w:left w:w="57" w:type="dxa"/>
              <w:right w:w="57" w:type="dxa"/>
            </w:tcMar>
            <w:vAlign w:val="center"/>
          </w:tcPr>
          <w:p>
            <w:pPr>
              <w:pStyle w:val="41"/>
              <w:rPr>
                <w:rFonts w:cs="Times New Roman"/>
                <w:sz w:val="24"/>
              </w:rPr>
            </w:pPr>
            <w:r>
              <w:rPr>
                <w:rFonts w:hint="eastAsia" w:cs="Times New Roman"/>
                <w:sz w:val="24"/>
              </w:rPr>
              <w:t>二甲苯</w:t>
            </w:r>
          </w:p>
        </w:tc>
        <w:tc>
          <w:tcPr>
            <w:tcW w:w="1417" w:type="dxa"/>
            <w:vMerge w:val="continue"/>
            <w:tcMar>
              <w:left w:w="57" w:type="dxa"/>
              <w:right w:w="57" w:type="dxa"/>
            </w:tcMar>
            <w:vAlign w:val="center"/>
          </w:tcPr>
          <w:p>
            <w:pPr>
              <w:pStyle w:val="41"/>
              <w:jc w:val="both"/>
              <w:rPr>
                <w:rFonts w:cs="Times New Roman"/>
                <w:sz w:val="24"/>
              </w:rPr>
            </w:pPr>
          </w:p>
        </w:tc>
        <w:tc>
          <w:tcPr>
            <w:tcW w:w="2621" w:type="dxa"/>
            <w:tcMar>
              <w:left w:w="57" w:type="dxa"/>
              <w:right w:w="57" w:type="dxa"/>
            </w:tcMar>
            <w:vAlign w:val="center"/>
          </w:tcPr>
          <w:p>
            <w:pPr>
              <w:pStyle w:val="41"/>
              <w:jc w:val="both"/>
              <w:rPr>
                <w:rFonts w:cs="Times New Roman"/>
                <w:sz w:val="24"/>
              </w:rPr>
            </w:pPr>
            <w:r>
              <w:rPr>
                <w:rFonts w:hint="eastAsia" w:cs="Times New Roman"/>
                <w:sz w:val="24"/>
              </w:rPr>
              <w:t>《挥发性有机物排放控制标准》（DB61/T1061-2017）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tcMar>
              <w:left w:w="57" w:type="dxa"/>
              <w:right w:w="57" w:type="dxa"/>
            </w:tcMar>
            <w:vAlign w:val="center"/>
          </w:tcPr>
          <w:p>
            <w:pPr>
              <w:pStyle w:val="41"/>
              <w:rPr>
                <w:sz w:val="24"/>
                <w:szCs w:val="32"/>
              </w:rPr>
            </w:pPr>
            <w:r>
              <w:rPr>
                <w:sz w:val="24"/>
                <w:szCs w:val="32"/>
              </w:rPr>
              <w:t>地表水环境</w:t>
            </w:r>
          </w:p>
        </w:tc>
        <w:tc>
          <w:tcPr>
            <w:tcW w:w="1661" w:type="dxa"/>
            <w:tcMar>
              <w:left w:w="57" w:type="dxa"/>
              <w:right w:w="57" w:type="dxa"/>
            </w:tcMar>
            <w:vAlign w:val="center"/>
          </w:tcPr>
          <w:p>
            <w:pPr>
              <w:pStyle w:val="41"/>
              <w:rPr>
                <w:rFonts w:cs="Times New Roman"/>
                <w:sz w:val="24"/>
              </w:rPr>
            </w:pPr>
            <w:r>
              <w:rPr>
                <w:rFonts w:hint="eastAsia"/>
                <w:sz w:val="24"/>
                <w:szCs w:val="32"/>
              </w:rPr>
              <w:t>生活污水</w:t>
            </w:r>
          </w:p>
        </w:tc>
        <w:tc>
          <w:tcPr>
            <w:tcW w:w="1410" w:type="dxa"/>
            <w:tcMar>
              <w:left w:w="57" w:type="dxa"/>
              <w:right w:w="57" w:type="dxa"/>
            </w:tcMar>
            <w:vAlign w:val="center"/>
          </w:tcPr>
          <w:p>
            <w:pPr>
              <w:pStyle w:val="41"/>
              <w:rPr>
                <w:rFonts w:cs="Times New Roman"/>
                <w:sz w:val="24"/>
              </w:rPr>
            </w:pPr>
            <w:r>
              <w:rPr>
                <w:rFonts w:hint="eastAsia"/>
                <w:sz w:val="24"/>
                <w:szCs w:val="32"/>
              </w:rPr>
              <w:t>C</w:t>
            </w:r>
            <w:r>
              <w:rPr>
                <w:sz w:val="24"/>
                <w:szCs w:val="32"/>
              </w:rPr>
              <w:t>OD</w:t>
            </w:r>
            <w:r>
              <w:rPr>
                <w:rFonts w:hint="eastAsia"/>
                <w:sz w:val="24"/>
                <w:szCs w:val="32"/>
              </w:rPr>
              <w:t>、B</w:t>
            </w:r>
            <w:r>
              <w:rPr>
                <w:sz w:val="24"/>
                <w:szCs w:val="32"/>
              </w:rPr>
              <w:t>OD</w:t>
            </w:r>
            <w:r>
              <w:rPr>
                <w:sz w:val="24"/>
                <w:szCs w:val="32"/>
                <w:vertAlign w:val="subscript"/>
              </w:rPr>
              <w:t>5</w:t>
            </w:r>
            <w:r>
              <w:rPr>
                <w:rFonts w:hint="eastAsia"/>
                <w:sz w:val="24"/>
                <w:szCs w:val="32"/>
              </w:rPr>
              <w:t>、S</w:t>
            </w:r>
            <w:r>
              <w:rPr>
                <w:sz w:val="24"/>
                <w:szCs w:val="32"/>
              </w:rPr>
              <w:t>S</w:t>
            </w:r>
            <w:r>
              <w:rPr>
                <w:rFonts w:hint="eastAsia"/>
                <w:sz w:val="24"/>
                <w:szCs w:val="32"/>
              </w:rPr>
              <w:t>、氨氮</w:t>
            </w:r>
          </w:p>
        </w:tc>
        <w:tc>
          <w:tcPr>
            <w:tcW w:w="1417" w:type="dxa"/>
            <w:tcMar>
              <w:left w:w="57" w:type="dxa"/>
              <w:right w:w="57" w:type="dxa"/>
            </w:tcMar>
            <w:vAlign w:val="center"/>
          </w:tcPr>
          <w:p>
            <w:pPr>
              <w:pStyle w:val="41"/>
              <w:rPr>
                <w:rFonts w:cs="Times New Roman"/>
                <w:sz w:val="24"/>
              </w:rPr>
            </w:pPr>
            <w:r>
              <w:rPr>
                <w:rFonts w:hint="eastAsia"/>
                <w:sz w:val="24"/>
                <w:szCs w:val="32"/>
              </w:rPr>
              <w:t>化粪池</w:t>
            </w:r>
          </w:p>
        </w:tc>
        <w:tc>
          <w:tcPr>
            <w:tcW w:w="2621" w:type="dxa"/>
            <w:tcMar>
              <w:left w:w="57" w:type="dxa"/>
              <w:right w:w="57" w:type="dxa"/>
            </w:tcMar>
            <w:vAlign w:val="center"/>
          </w:tcPr>
          <w:p>
            <w:pPr>
              <w:pStyle w:val="41"/>
              <w:jc w:val="both"/>
              <w:rPr>
                <w:rFonts w:cs="Times New Roman"/>
                <w:sz w:val="24"/>
              </w:rPr>
            </w:pPr>
            <w:r>
              <w:rPr>
                <w:rFonts w:hint="eastAsia" w:cs="Times New Roman"/>
                <w:sz w:val="24"/>
              </w:rPr>
              <w:t>《污水综合排放标准》（GB8978-1996）三级标准、</w:t>
            </w:r>
            <w:r>
              <w:rPr>
                <w:rFonts w:hint="eastAsia" w:cs="Times New Roman"/>
                <w:kern w:val="0"/>
                <w:sz w:val="24"/>
              </w:rPr>
              <w:t>《污水排入城镇下水道水质标准》（GB/T 31962-2015）中B级标准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tcMar>
              <w:left w:w="57" w:type="dxa"/>
              <w:right w:w="57" w:type="dxa"/>
            </w:tcMar>
            <w:vAlign w:val="center"/>
          </w:tcPr>
          <w:p>
            <w:pPr>
              <w:pStyle w:val="41"/>
              <w:rPr>
                <w:sz w:val="24"/>
                <w:szCs w:val="32"/>
              </w:rPr>
            </w:pPr>
            <w:r>
              <w:rPr>
                <w:sz w:val="24"/>
                <w:szCs w:val="32"/>
              </w:rPr>
              <w:t>声环境</w:t>
            </w:r>
          </w:p>
        </w:tc>
        <w:tc>
          <w:tcPr>
            <w:tcW w:w="1661" w:type="dxa"/>
            <w:tcMar>
              <w:left w:w="57" w:type="dxa"/>
              <w:right w:w="57" w:type="dxa"/>
            </w:tcMar>
            <w:vAlign w:val="center"/>
          </w:tcPr>
          <w:p>
            <w:pPr>
              <w:pStyle w:val="41"/>
              <w:rPr>
                <w:sz w:val="24"/>
                <w:szCs w:val="32"/>
              </w:rPr>
            </w:pPr>
            <w:r>
              <w:rPr>
                <w:rFonts w:hint="eastAsia"/>
                <w:sz w:val="24"/>
                <w:szCs w:val="32"/>
              </w:rPr>
              <w:t>厂界</w:t>
            </w:r>
          </w:p>
        </w:tc>
        <w:tc>
          <w:tcPr>
            <w:tcW w:w="1410" w:type="dxa"/>
            <w:tcMar>
              <w:left w:w="57" w:type="dxa"/>
              <w:right w:w="57" w:type="dxa"/>
            </w:tcMar>
            <w:vAlign w:val="center"/>
          </w:tcPr>
          <w:p>
            <w:pPr>
              <w:pStyle w:val="41"/>
              <w:rPr>
                <w:sz w:val="24"/>
                <w:szCs w:val="32"/>
              </w:rPr>
            </w:pPr>
            <w:r>
              <w:rPr>
                <w:rFonts w:hint="eastAsia"/>
                <w:sz w:val="24"/>
                <w:szCs w:val="32"/>
              </w:rPr>
              <w:t>等效连续A</w:t>
            </w:r>
          </w:p>
          <w:p>
            <w:pPr>
              <w:pStyle w:val="41"/>
              <w:rPr>
                <w:sz w:val="24"/>
                <w:szCs w:val="32"/>
              </w:rPr>
            </w:pPr>
            <w:r>
              <w:rPr>
                <w:rFonts w:hint="eastAsia"/>
                <w:sz w:val="24"/>
                <w:szCs w:val="32"/>
              </w:rPr>
              <w:t>声级</w:t>
            </w:r>
          </w:p>
        </w:tc>
        <w:tc>
          <w:tcPr>
            <w:tcW w:w="1417" w:type="dxa"/>
            <w:tcMar>
              <w:left w:w="57" w:type="dxa"/>
              <w:right w:w="57" w:type="dxa"/>
            </w:tcMar>
            <w:vAlign w:val="center"/>
          </w:tcPr>
          <w:p>
            <w:pPr>
              <w:pStyle w:val="41"/>
              <w:jc w:val="both"/>
              <w:rPr>
                <w:sz w:val="24"/>
                <w:szCs w:val="32"/>
              </w:rPr>
            </w:pPr>
            <w:r>
              <w:rPr>
                <w:sz w:val="24"/>
                <w:szCs w:val="32"/>
              </w:rPr>
              <w:t>合理布局</w:t>
            </w:r>
          </w:p>
          <w:p>
            <w:pPr>
              <w:pStyle w:val="41"/>
              <w:jc w:val="both"/>
              <w:rPr>
                <w:sz w:val="24"/>
                <w:szCs w:val="32"/>
              </w:rPr>
            </w:pPr>
            <w:r>
              <w:rPr>
                <w:rFonts w:hint="eastAsia"/>
                <w:sz w:val="24"/>
                <w:szCs w:val="32"/>
              </w:rPr>
              <w:t>、建筑</w:t>
            </w:r>
            <w:r>
              <w:rPr>
                <w:sz w:val="24"/>
                <w:szCs w:val="32"/>
              </w:rPr>
              <w:t>隔音</w:t>
            </w:r>
            <w:r>
              <w:rPr>
                <w:rFonts w:hint="eastAsia"/>
                <w:sz w:val="24"/>
                <w:szCs w:val="32"/>
              </w:rPr>
              <w:t>、基础减振、采用变频风机</w:t>
            </w:r>
          </w:p>
        </w:tc>
        <w:tc>
          <w:tcPr>
            <w:tcW w:w="2621" w:type="dxa"/>
            <w:tcMar>
              <w:left w:w="57" w:type="dxa"/>
              <w:right w:w="57" w:type="dxa"/>
            </w:tcMar>
            <w:vAlign w:val="center"/>
          </w:tcPr>
          <w:p>
            <w:pPr>
              <w:pStyle w:val="41"/>
              <w:jc w:val="both"/>
              <w:rPr>
                <w:sz w:val="24"/>
                <w:szCs w:val="32"/>
              </w:rPr>
            </w:pPr>
            <w:r>
              <w:rPr>
                <w:sz w:val="24"/>
                <w:szCs w:val="32"/>
              </w:rPr>
              <w:t>《工业企业厂界环境噪声排放标准》（GB12348－2008）中</w:t>
            </w:r>
            <w:r>
              <w:rPr>
                <w:rFonts w:hint="eastAsia"/>
                <w:sz w:val="24"/>
                <w:szCs w:val="32"/>
              </w:rPr>
              <w:t>3类标准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tcMar>
              <w:left w:w="57" w:type="dxa"/>
              <w:right w:w="57" w:type="dxa"/>
            </w:tcMar>
            <w:vAlign w:val="center"/>
          </w:tcPr>
          <w:p>
            <w:pPr>
              <w:pStyle w:val="36"/>
              <w:ind w:firstLine="0" w:firstLineChars="0"/>
              <w:jc w:val="center"/>
              <w:rPr>
                <w:b w:val="0"/>
                <w:bCs/>
              </w:rPr>
            </w:pPr>
            <w:r>
              <w:rPr>
                <w:b w:val="0"/>
                <w:bCs/>
              </w:rPr>
              <w:t>固体废物</w:t>
            </w:r>
          </w:p>
        </w:tc>
        <w:tc>
          <w:tcPr>
            <w:tcW w:w="7109" w:type="dxa"/>
            <w:gridSpan w:val="4"/>
            <w:tcMar>
              <w:left w:w="57" w:type="dxa"/>
              <w:right w:w="57" w:type="dxa"/>
            </w:tcMar>
            <w:vAlign w:val="center"/>
          </w:tcPr>
          <w:p>
            <w:pPr>
              <w:pStyle w:val="36"/>
              <w:ind w:firstLine="0" w:firstLineChars="0"/>
              <w:rPr>
                <w:b w:val="0"/>
                <w:bCs/>
              </w:rPr>
            </w:pPr>
            <w:r>
              <w:rPr>
                <w:rFonts w:hint="eastAsia"/>
                <w:b w:val="0"/>
                <w:bCs/>
              </w:rPr>
              <w:t>1、生活垃圾分类收集于垃圾桶内，由环卫部门统一清运；</w:t>
            </w:r>
          </w:p>
          <w:p>
            <w:pPr>
              <w:pStyle w:val="36"/>
              <w:ind w:firstLine="0" w:firstLineChars="0"/>
              <w:rPr>
                <w:b w:val="0"/>
                <w:bCs/>
              </w:rPr>
            </w:pPr>
            <w:r>
              <w:rPr>
                <w:rFonts w:hint="eastAsia"/>
                <w:b w:val="0"/>
                <w:bCs/>
              </w:rPr>
              <w:t>2、一般固废主要包括除尘器收集粉尘</w:t>
            </w:r>
            <w:r>
              <w:rPr>
                <w:b w:val="0"/>
                <w:bCs/>
              </w:rPr>
              <w:t>、</w:t>
            </w:r>
            <w:r>
              <w:rPr>
                <w:rFonts w:hint="eastAsia"/>
                <w:b w:val="0"/>
                <w:bCs/>
              </w:rPr>
              <w:t>废边角料、废砂纸、废水性漆桶，暂存于车间内，按照一般固废进行处置；</w:t>
            </w:r>
          </w:p>
          <w:p>
            <w:pPr>
              <w:pStyle w:val="36"/>
              <w:ind w:firstLine="0" w:firstLineChars="0"/>
              <w:rPr>
                <w:b w:val="0"/>
                <w:bCs/>
              </w:rPr>
            </w:pPr>
            <w:r>
              <w:rPr>
                <w:rFonts w:hint="eastAsia"/>
                <w:b w:val="0"/>
                <w:bCs/>
              </w:rPr>
              <w:t>3、危险废物主要包括废抹布及手套、废涂料桶、废漆渣、废过滤纸盒、废活性炭、废催化剂、废机油、废切削液，分类暂存于危废间内，委托有资质单位进行处置。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tcMar>
              <w:left w:w="57" w:type="dxa"/>
              <w:right w:w="57" w:type="dxa"/>
            </w:tcMar>
            <w:vAlign w:val="center"/>
          </w:tcPr>
          <w:p>
            <w:pPr>
              <w:pStyle w:val="36"/>
              <w:ind w:firstLine="0" w:firstLineChars="0"/>
              <w:jc w:val="center"/>
              <w:rPr>
                <w:b w:val="0"/>
                <w:bCs/>
              </w:rPr>
            </w:pPr>
            <w:r>
              <w:rPr>
                <w:b w:val="0"/>
                <w:bCs/>
              </w:rPr>
              <w:t>土壤及地下水污染防治措施</w:t>
            </w:r>
          </w:p>
        </w:tc>
        <w:tc>
          <w:tcPr>
            <w:tcW w:w="7109" w:type="dxa"/>
            <w:gridSpan w:val="4"/>
            <w:tcMar>
              <w:left w:w="57" w:type="dxa"/>
              <w:right w:w="57" w:type="dxa"/>
            </w:tcMar>
            <w:vAlign w:val="center"/>
          </w:tcPr>
          <w:p>
            <w:pPr>
              <w:pStyle w:val="36"/>
              <w:ind w:firstLine="0" w:firstLineChars="0"/>
              <w:rPr>
                <w:b w:val="0"/>
                <w:bCs/>
              </w:rPr>
            </w:pPr>
            <w:r>
              <w:rPr>
                <w:rFonts w:hint="eastAsia"/>
                <w:b w:val="0"/>
                <w:bCs/>
              </w:rPr>
              <w:t>严格按照规范建设危废间和库房，做好基础防渗措施。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tcMar>
              <w:left w:w="57" w:type="dxa"/>
              <w:right w:w="57" w:type="dxa"/>
            </w:tcMar>
            <w:vAlign w:val="center"/>
          </w:tcPr>
          <w:p>
            <w:pPr>
              <w:pStyle w:val="36"/>
              <w:ind w:firstLine="0" w:firstLineChars="0"/>
              <w:jc w:val="center"/>
              <w:rPr>
                <w:b w:val="0"/>
                <w:bCs/>
              </w:rPr>
            </w:pPr>
            <w:r>
              <w:rPr>
                <w:b w:val="0"/>
                <w:bCs/>
              </w:rPr>
              <w:t>生态保护措施</w:t>
            </w:r>
          </w:p>
        </w:tc>
        <w:tc>
          <w:tcPr>
            <w:tcW w:w="7109" w:type="dxa"/>
            <w:gridSpan w:val="4"/>
            <w:tcMar>
              <w:left w:w="57" w:type="dxa"/>
              <w:right w:w="57" w:type="dxa"/>
            </w:tcMar>
            <w:vAlign w:val="center"/>
          </w:tcPr>
          <w:p>
            <w:pPr>
              <w:pStyle w:val="36"/>
              <w:ind w:firstLine="0" w:firstLineChars="0"/>
              <w:rPr>
                <w:b w:val="0"/>
                <w:bCs/>
              </w:rPr>
            </w:pPr>
            <w:r>
              <w:rPr>
                <w:rFonts w:hint="eastAsia"/>
                <w:b w:val="0"/>
                <w:bCs/>
              </w:rPr>
              <w:t>无</w:t>
            </w:r>
            <w:r>
              <w:rPr>
                <w:b w:val="0"/>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tcMar>
              <w:left w:w="57" w:type="dxa"/>
              <w:right w:w="57" w:type="dxa"/>
            </w:tcMar>
            <w:vAlign w:val="center"/>
          </w:tcPr>
          <w:p>
            <w:pPr>
              <w:pStyle w:val="36"/>
              <w:ind w:firstLine="0" w:firstLineChars="0"/>
              <w:jc w:val="center"/>
              <w:rPr>
                <w:b w:val="0"/>
                <w:bCs/>
              </w:rPr>
            </w:pPr>
            <w:r>
              <w:rPr>
                <w:b w:val="0"/>
                <w:bCs/>
              </w:rPr>
              <w:t>环境风险防范措施</w:t>
            </w:r>
          </w:p>
        </w:tc>
        <w:tc>
          <w:tcPr>
            <w:tcW w:w="7109" w:type="dxa"/>
            <w:gridSpan w:val="4"/>
            <w:tcMar>
              <w:left w:w="57" w:type="dxa"/>
              <w:right w:w="57" w:type="dxa"/>
            </w:tcMar>
            <w:vAlign w:val="center"/>
          </w:tcPr>
          <w:p>
            <w:pPr>
              <w:pStyle w:val="36"/>
              <w:ind w:firstLine="0" w:firstLineChars="0"/>
              <w:rPr>
                <w:b w:val="0"/>
                <w:bCs/>
              </w:rPr>
            </w:pPr>
            <w:r>
              <w:rPr>
                <w:rFonts w:hint="eastAsia"/>
                <w:b w:val="0"/>
                <w:bCs/>
              </w:rPr>
              <w:t>生产区原料</w:t>
            </w:r>
            <w:r>
              <w:rPr>
                <w:b w:val="0"/>
                <w:bCs/>
              </w:rPr>
              <w:t>储存于阴凉、通风的位置，远离火种、热源。</w:t>
            </w:r>
            <w:r>
              <w:rPr>
                <w:rFonts w:hint="eastAsia"/>
                <w:b w:val="0"/>
                <w:bCs/>
              </w:rPr>
              <w:t>生产区、库房内应设置灭火器，以便在火灾发生时第一时间进行灭火。车间设置</w:t>
            </w:r>
            <w:r>
              <w:rPr>
                <w:b w:val="0"/>
                <w:bCs/>
              </w:rPr>
              <w:t>通风设施。厂房内严禁吸烟和使用明火。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167" w:type="dxa"/>
            <w:tcMar>
              <w:left w:w="57" w:type="dxa"/>
              <w:right w:w="57" w:type="dxa"/>
            </w:tcMar>
            <w:vAlign w:val="center"/>
          </w:tcPr>
          <w:p>
            <w:pPr>
              <w:pStyle w:val="36"/>
              <w:ind w:firstLine="0" w:firstLineChars="0"/>
              <w:jc w:val="center"/>
              <w:rPr>
                <w:b w:val="0"/>
                <w:bCs/>
              </w:rPr>
            </w:pPr>
            <w:r>
              <w:rPr>
                <w:b w:val="0"/>
                <w:bCs/>
              </w:rPr>
              <w:t>其他环境管理要求</w:t>
            </w:r>
          </w:p>
        </w:tc>
        <w:tc>
          <w:tcPr>
            <w:tcW w:w="7109" w:type="dxa"/>
            <w:gridSpan w:val="4"/>
            <w:tcMar>
              <w:left w:w="57" w:type="dxa"/>
              <w:right w:w="57" w:type="dxa"/>
            </w:tcMar>
            <w:vAlign w:val="center"/>
          </w:tcPr>
          <w:p>
            <w:pPr>
              <w:pStyle w:val="36"/>
              <w:ind w:firstLine="0" w:firstLineChars="0"/>
              <w:rPr>
                <w:b w:val="0"/>
                <w:bCs/>
              </w:rPr>
            </w:pPr>
            <w:r>
              <w:rPr>
                <w:rFonts w:hint="eastAsia"/>
                <w:b w:val="0"/>
                <w:bCs/>
              </w:rPr>
              <w:t>1、建立环境管理制度，落实环境保护责任；</w:t>
            </w:r>
          </w:p>
          <w:p>
            <w:pPr>
              <w:pStyle w:val="36"/>
              <w:ind w:firstLine="0" w:firstLineChars="0"/>
              <w:rPr>
                <w:b w:val="0"/>
                <w:bCs/>
              </w:rPr>
            </w:pPr>
            <w:r>
              <w:rPr>
                <w:rFonts w:hint="eastAsia"/>
                <w:b w:val="0"/>
                <w:bCs/>
              </w:rPr>
              <w:t>2、及时根据厂区变化情况变更排污许可证，并落实排污许可管理要求；</w:t>
            </w:r>
          </w:p>
          <w:p>
            <w:pPr>
              <w:pStyle w:val="36"/>
              <w:ind w:firstLine="0" w:firstLineChars="0"/>
              <w:rPr>
                <w:b w:val="0"/>
                <w:bCs/>
              </w:rPr>
            </w:pPr>
            <w:r>
              <w:rPr>
                <w:b w:val="0"/>
                <w:bCs/>
              </w:rPr>
              <w:t>3</w:t>
            </w:r>
            <w:r>
              <w:rPr>
                <w:rFonts w:hint="eastAsia"/>
                <w:b w:val="0"/>
                <w:bCs/>
              </w:rPr>
              <w:t>、切实落实项目的各项污染防治措施，环保设施必须与生产工程同时设计、同时施工、同时投产，并在使用过程中加强管理，确保环保设施的运行率和净化效率，定期维护环保设施，保持其正常、稳定、有效运行；</w:t>
            </w:r>
          </w:p>
          <w:p>
            <w:pPr>
              <w:pStyle w:val="36"/>
              <w:ind w:firstLine="0" w:firstLineChars="0"/>
              <w:rPr>
                <w:b w:val="0"/>
                <w:bCs/>
              </w:rPr>
            </w:pPr>
            <w:r>
              <w:rPr>
                <w:b w:val="0"/>
                <w:bCs/>
              </w:rPr>
              <w:t>4</w:t>
            </w:r>
            <w:r>
              <w:rPr>
                <w:rFonts w:hint="eastAsia"/>
                <w:b w:val="0"/>
                <w:bCs/>
              </w:rPr>
              <w:t>、建立自行监测制度，根据环评要求开展自行监测（包括监测单位、监测内容、监测计划、监测因子、监测频次及监测资料管理）；</w:t>
            </w:r>
          </w:p>
          <w:p>
            <w:pPr>
              <w:pStyle w:val="36"/>
              <w:ind w:firstLine="0" w:firstLineChars="0"/>
              <w:rPr>
                <w:b w:val="0"/>
                <w:bCs/>
              </w:rPr>
            </w:pPr>
            <w:r>
              <w:rPr>
                <w:b w:val="0"/>
                <w:bCs/>
              </w:rPr>
              <w:t>5</w:t>
            </w:r>
            <w:r>
              <w:rPr>
                <w:rFonts w:hint="eastAsia"/>
                <w:b w:val="0"/>
                <w:bCs/>
              </w:rPr>
              <w:t>、排污口严格按照规范要求进行建设，张贴标识牌，并加强日常维护；</w:t>
            </w:r>
          </w:p>
          <w:p>
            <w:pPr>
              <w:pStyle w:val="36"/>
              <w:ind w:firstLine="0" w:firstLineChars="0"/>
              <w:rPr>
                <w:b w:val="0"/>
                <w:bCs/>
              </w:rPr>
            </w:pPr>
            <w:r>
              <w:rPr>
                <w:b w:val="0"/>
                <w:bCs/>
              </w:rPr>
              <w:t>6</w:t>
            </w:r>
            <w:r>
              <w:rPr>
                <w:rFonts w:hint="eastAsia"/>
                <w:b w:val="0"/>
                <w:bCs/>
              </w:rPr>
              <w:t>、对一般固废进行分类收集，有回收利用价值的全部回收利用，无利用价值的集中存放进行处理，做到日产日清；危废严格执行转移联单制度，合理处置；</w:t>
            </w:r>
          </w:p>
          <w:p>
            <w:pPr>
              <w:pStyle w:val="36"/>
              <w:ind w:firstLine="0" w:firstLineChars="0"/>
              <w:rPr>
                <w:b w:val="0"/>
                <w:bCs/>
              </w:rPr>
            </w:pPr>
            <w:r>
              <w:rPr>
                <w:b w:val="0"/>
                <w:bCs/>
              </w:rPr>
              <w:t>7</w:t>
            </w:r>
            <w:r>
              <w:rPr>
                <w:rFonts w:hint="eastAsia"/>
                <w:b w:val="0"/>
                <w:bCs/>
              </w:rPr>
              <w:t>、加强职工操作培训，提高职工技术水平和环保意识，建立健全各项规章制度，注意正确的操作规程。定期检修环保设备，确保达标排放。</w:t>
            </w:r>
          </w:p>
          <w:p>
            <w:pPr>
              <w:adjustRightInd w:val="0"/>
              <w:snapToGrid w:val="0"/>
              <w:spacing w:line="360" w:lineRule="auto"/>
              <w:rPr>
                <w:rFonts w:ascii="Times New Roman" w:hAnsi="Times New Roman" w:eastAsia="宋体" w:cs="Times New Roman"/>
                <w:bCs/>
              </w:rPr>
            </w:pPr>
            <w:r>
              <w:rPr>
                <w:rFonts w:hint="eastAsia" w:ascii="Times New Roman" w:hAnsi="Times New Roman" w:eastAsia="宋体"/>
                <w:bCs/>
                <w:sz w:val="24"/>
                <w:szCs w:val="24"/>
              </w:rPr>
              <w:t>8、</w:t>
            </w:r>
            <w:r>
              <w:rPr>
                <w:rFonts w:ascii="Times New Roman" w:hAnsi="Times New Roman" w:eastAsia="宋体"/>
                <w:bCs/>
                <w:sz w:val="24"/>
                <w:szCs w:val="24"/>
              </w:rPr>
              <w:t>竣工环境保护验收</w:t>
            </w:r>
            <w:r>
              <w:rPr>
                <w:rFonts w:hint="eastAsia" w:ascii="Times New Roman" w:hAnsi="Times New Roman" w:eastAsia="宋体"/>
                <w:bCs/>
                <w:sz w:val="24"/>
                <w:szCs w:val="24"/>
              </w:rPr>
              <w:t>：</w:t>
            </w:r>
            <w:r>
              <w:rPr>
                <w:rFonts w:ascii="Times New Roman" w:hAnsi="Times New Roman" w:eastAsia="宋体"/>
                <w:bCs/>
                <w:sz w:val="24"/>
                <w:szCs w:val="24"/>
              </w:rPr>
              <w:t>根据《建设项目竣工环境保护验收暂行办法》的规定，建设单位是建设项目竣工环境保护验收的责任主体，应当按照本办法规定的程序和标准，组织对配套建设的环境保护设施进行验收，编制验收报告，公开相关信息，接受社会监督，确保建设项目需要配套建设的环境保护设施与主体工程同时投产或者使用</w:t>
            </w:r>
            <w:r>
              <w:rPr>
                <w:rFonts w:hint="eastAsia" w:ascii="Times New Roman" w:hAnsi="Times New Roman" w:eastAsia="宋体"/>
                <w:bCs/>
                <w:sz w:val="24"/>
                <w:szCs w:val="24"/>
              </w:rPr>
              <w:t>。</w:t>
            </w:r>
          </w:p>
        </w:tc>
      </w:tr>
    </w:tbl>
    <w:p>
      <w:pPr>
        <w:pStyle w:val="21"/>
        <w:rPr>
          <w:bCs/>
          <w:color w:val="auto"/>
        </w:rPr>
      </w:pPr>
      <w:bookmarkStart w:id="33" w:name="_Toc29364"/>
      <w:r>
        <w:rPr>
          <w:rFonts w:hint="eastAsia"/>
          <w:color w:val="auto"/>
        </w:rPr>
        <w:t>六、结论</w:t>
      </w:r>
      <w:bookmarkEnd w:id="33"/>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75" w:hRule="atLeast"/>
        </w:trPr>
        <w:tc>
          <w:tcPr>
            <w:tcW w:w="5000" w:type="pct"/>
          </w:tcPr>
          <w:p>
            <w:pPr>
              <w:snapToGrid w:val="0"/>
              <w:spacing w:line="360" w:lineRule="auto"/>
              <w:ind w:firstLine="480" w:firstLineChars="200"/>
              <w:rPr>
                <w:rFonts w:ascii="Times New Roman" w:hAnsi="Times New Roman" w:eastAsia="宋体"/>
                <w:sz w:val="24"/>
              </w:rPr>
            </w:pPr>
            <w:r>
              <w:rPr>
                <w:rFonts w:hint="eastAsia" w:ascii="Times New Roman" w:hAnsi="Times New Roman" w:eastAsia="宋体"/>
                <w:kern w:val="0"/>
                <w:sz w:val="24"/>
              </w:rPr>
              <w:t>从</w:t>
            </w:r>
            <w:r>
              <w:rPr>
                <w:rFonts w:hint="eastAsia" w:ascii="Times New Roman" w:hAnsi="Times New Roman" w:eastAsia="宋体"/>
                <w:sz w:val="24"/>
              </w:rPr>
              <w:t>环境保护角度，建设项目环境影响可行。</w:t>
            </w:r>
          </w:p>
        </w:tc>
      </w:tr>
    </w:tbl>
    <w:p>
      <w:pPr>
        <w:rPr>
          <w:rFonts w:ascii="Times New Roman" w:hAnsi="Times New Roman" w:eastAsia="宋体"/>
        </w:rPr>
        <w:sectPr>
          <w:pgSz w:w="11906" w:h="16838"/>
          <w:pgMar w:top="1440" w:right="1800" w:bottom="1440" w:left="1800" w:header="851" w:footer="992" w:gutter="0"/>
          <w:cols w:space="425" w:num="1"/>
          <w:docGrid w:type="lines" w:linePitch="312" w:charSpace="0"/>
        </w:sectPr>
      </w:pPr>
    </w:p>
    <w:p>
      <w:pPr>
        <w:adjustRightInd w:val="0"/>
        <w:snapToGrid w:val="0"/>
        <w:outlineLvl w:val="0"/>
        <w:rPr>
          <w:rFonts w:ascii="Times New Roman" w:hAnsi="Times New Roman" w:eastAsia="宋体"/>
          <w:b/>
          <w:bCs/>
          <w:sz w:val="28"/>
          <w:szCs w:val="28"/>
        </w:rPr>
      </w:pPr>
      <w:bookmarkStart w:id="34" w:name="_Toc12682"/>
      <w:r>
        <w:rPr>
          <w:rFonts w:hint="eastAsia" w:ascii="Times New Roman" w:hAnsi="Times New Roman" w:eastAsia="宋体"/>
          <w:b/>
          <w:bCs/>
          <w:sz w:val="28"/>
          <w:szCs w:val="28"/>
        </w:rPr>
        <w:t>附表</w:t>
      </w:r>
      <w:bookmarkEnd w:id="34"/>
    </w:p>
    <w:p>
      <w:pPr>
        <w:adjustRightInd w:val="0"/>
        <w:snapToGrid w:val="0"/>
        <w:jc w:val="center"/>
        <w:rPr>
          <w:rFonts w:ascii="Times New Roman" w:hAnsi="Times New Roman" w:eastAsia="宋体"/>
          <w:b/>
          <w:bCs/>
          <w:sz w:val="28"/>
          <w:szCs w:val="28"/>
        </w:rPr>
      </w:pPr>
      <w:r>
        <w:rPr>
          <w:rFonts w:hint="eastAsia" w:ascii="Times New Roman" w:hAnsi="Times New Roman" w:eastAsia="宋体"/>
          <w:b/>
          <w:bCs/>
          <w:sz w:val="28"/>
          <w:szCs w:val="28"/>
        </w:rPr>
        <w:t>建设项目污染物排放量汇总表</w:t>
      </w:r>
    </w:p>
    <w:tbl>
      <w:tblPr>
        <w:tblStyle w:val="27"/>
        <w:tblW w:w="141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097"/>
        <w:gridCol w:w="1337"/>
        <w:gridCol w:w="2209"/>
        <w:gridCol w:w="1323"/>
        <w:gridCol w:w="1617"/>
        <w:gridCol w:w="1732"/>
        <w:gridCol w:w="1132"/>
        <w:gridCol w:w="2686"/>
        <w:gridCol w:w="10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tcBorders>
              <w:top w:val="single" w:color="auto" w:sz="12" w:space="0"/>
              <w:bottom w:val="single" w:color="auto" w:sz="4" w:space="0"/>
              <w:tl2br w:val="single" w:color="auto" w:sz="4" w:space="0"/>
            </w:tcBorders>
            <w:vAlign w:val="center"/>
          </w:tcPr>
          <w:p>
            <w:pPr>
              <w:pStyle w:val="41"/>
              <w:jc w:val="right"/>
              <w:rPr>
                <w:szCs w:val="21"/>
              </w:rPr>
            </w:pPr>
            <w:r>
              <w:rPr>
                <w:rFonts w:hint="eastAsia"/>
                <w:szCs w:val="21"/>
              </w:rPr>
              <w:t>项目</w:t>
            </w:r>
          </w:p>
          <w:p>
            <w:pPr>
              <w:pStyle w:val="41"/>
              <w:jc w:val="left"/>
              <w:rPr>
                <w:szCs w:val="21"/>
              </w:rPr>
            </w:pPr>
            <w:r>
              <w:rPr>
                <w:rFonts w:hint="eastAsia"/>
                <w:szCs w:val="21"/>
              </w:rPr>
              <w:t>分类</w:t>
            </w:r>
          </w:p>
        </w:tc>
        <w:tc>
          <w:tcPr>
            <w:tcW w:w="1337" w:type="dxa"/>
            <w:vAlign w:val="center"/>
          </w:tcPr>
          <w:p>
            <w:pPr>
              <w:pStyle w:val="41"/>
              <w:rPr>
                <w:szCs w:val="21"/>
              </w:rPr>
            </w:pPr>
            <w:r>
              <w:rPr>
                <w:rFonts w:hint="eastAsia"/>
                <w:szCs w:val="21"/>
              </w:rPr>
              <w:t>污染物名称</w:t>
            </w:r>
          </w:p>
        </w:tc>
        <w:tc>
          <w:tcPr>
            <w:tcW w:w="2209" w:type="dxa"/>
            <w:vAlign w:val="center"/>
          </w:tcPr>
          <w:p>
            <w:pPr>
              <w:pStyle w:val="41"/>
              <w:rPr>
                <w:szCs w:val="21"/>
              </w:rPr>
            </w:pPr>
            <w:r>
              <w:rPr>
                <w:rFonts w:hint="eastAsia"/>
                <w:szCs w:val="21"/>
              </w:rPr>
              <w:t>现有工程排放量（固体废物产生量）①</w:t>
            </w:r>
          </w:p>
        </w:tc>
        <w:tc>
          <w:tcPr>
            <w:tcW w:w="1323" w:type="dxa"/>
            <w:vAlign w:val="center"/>
          </w:tcPr>
          <w:p>
            <w:pPr>
              <w:pStyle w:val="41"/>
              <w:rPr>
                <w:szCs w:val="21"/>
              </w:rPr>
            </w:pPr>
            <w:r>
              <w:rPr>
                <w:rFonts w:hint="eastAsia"/>
                <w:szCs w:val="21"/>
              </w:rPr>
              <w:t>现有工程许可排放量②</w:t>
            </w:r>
          </w:p>
        </w:tc>
        <w:tc>
          <w:tcPr>
            <w:tcW w:w="1617" w:type="dxa"/>
            <w:vAlign w:val="center"/>
          </w:tcPr>
          <w:p>
            <w:pPr>
              <w:pStyle w:val="41"/>
              <w:rPr>
                <w:szCs w:val="21"/>
              </w:rPr>
            </w:pPr>
            <w:r>
              <w:rPr>
                <w:rFonts w:hint="eastAsia"/>
                <w:szCs w:val="21"/>
              </w:rPr>
              <w:t>在建工程排放量（固体废物产生量）③</w:t>
            </w:r>
          </w:p>
        </w:tc>
        <w:tc>
          <w:tcPr>
            <w:tcW w:w="1732" w:type="dxa"/>
            <w:vAlign w:val="center"/>
          </w:tcPr>
          <w:p>
            <w:pPr>
              <w:pStyle w:val="41"/>
              <w:rPr>
                <w:szCs w:val="21"/>
              </w:rPr>
            </w:pPr>
            <w:r>
              <w:rPr>
                <w:rFonts w:hint="eastAsia"/>
                <w:szCs w:val="21"/>
              </w:rPr>
              <w:t>本项目排放量（固体废物产生量）④</w:t>
            </w:r>
          </w:p>
        </w:tc>
        <w:tc>
          <w:tcPr>
            <w:tcW w:w="1132" w:type="dxa"/>
            <w:vAlign w:val="center"/>
          </w:tcPr>
          <w:p>
            <w:pPr>
              <w:pStyle w:val="41"/>
              <w:rPr>
                <w:szCs w:val="21"/>
              </w:rPr>
            </w:pPr>
            <w:r>
              <w:rPr>
                <w:rFonts w:hint="eastAsia"/>
                <w:szCs w:val="21"/>
              </w:rPr>
              <w:t>以新带老消减量⑤</w:t>
            </w:r>
          </w:p>
        </w:tc>
        <w:tc>
          <w:tcPr>
            <w:tcW w:w="2686" w:type="dxa"/>
            <w:vAlign w:val="center"/>
          </w:tcPr>
          <w:p>
            <w:pPr>
              <w:pStyle w:val="41"/>
              <w:rPr>
                <w:szCs w:val="21"/>
              </w:rPr>
            </w:pPr>
            <w:r>
              <w:rPr>
                <w:rFonts w:hint="eastAsia"/>
                <w:szCs w:val="21"/>
              </w:rPr>
              <w:t>本项目建成后全厂排放量（固体废物产生量）⑥</w:t>
            </w:r>
          </w:p>
        </w:tc>
        <w:tc>
          <w:tcPr>
            <w:tcW w:w="1037" w:type="dxa"/>
            <w:vAlign w:val="center"/>
          </w:tcPr>
          <w:p>
            <w:pPr>
              <w:pStyle w:val="41"/>
              <w:rPr>
                <w:szCs w:val="21"/>
              </w:rPr>
            </w:pPr>
            <w:r>
              <w:rPr>
                <w:rFonts w:hint="eastAsia"/>
                <w:szCs w:val="21"/>
              </w:rPr>
              <w:t>变化量⑦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restart"/>
            <w:tcBorders>
              <w:top w:val="single" w:color="auto" w:sz="4" w:space="0"/>
            </w:tcBorders>
            <w:vAlign w:val="center"/>
          </w:tcPr>
          <w:p>
            <w:pPr>
              <w:pStyle w:val="41"/>
              <w:rPr>
                <w:szCs w:val="21"/>
              </w:rPr>
            </w:pPr>
            <w:r>
              <w:rPr>
                <w:rFonts w:hint="eastAsia"/>
                <w:szCs w:val="21"/>
              </w:rPr>
              <w:t>废气</w:t>
            </w:r>
          </w:p>
        </w:tc>
        <w:tc>
          <w:tcPr>
            <w:tcW w:w="1337" w:type="dxa"/>
            <w:vAlign w:val="center"/>
          </w:tcPr>
          <w:p>
            <w:pPr>
              <w:pStyle w:val="41"/>
              <w:rPr>
                <w:szCs w:val="21"/>
              </w:rPr>
            </w:pPr>
            <w:r>
              <w:rPr>
                <w:rFonts w:hint="eastAsia"/>
                <w:szCs w:val="21"/>
              </w:rPr>
              <w:t>颗粒物</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87"/>
              <w:adjustRightInd w:val="0"/>
              <w:snapToGrid w:val="0"/>
              <w:spacing w:after="0"/>
              <w:rPr>
                <w:rFonts w:cs="宋体"/>
                <w:bCs/>
                <w:snapToGrid w:val="0"/>
                <w:kern w:val="21"/>
                <w:sz w:val="21"/>
                <w:szCs w:val="21"/>
              </w:rPr>
            </w:pPr>
            <w:r>
              <w:rPr>
                <w:rFonts w:hint="eastAsia" w:cs="宋体"/>
                <w:bCs/>
                <w:snapToGrid w:val="0"/>
                <w:kern w:val="21"/>
                <w:sz w:val="21"/>
                <w:szCs w:val="21"/>
              </w:rPr>
              <w:t>0</w:t>
            </w:r>
            <w:r>
              <w:rPr>
                <w:rFonts w:cs="宋体"/>
                <w:bCs/>
                <w:snapToGrid w:val="0"/>
                <w:kern w:val="21"/>
                <w:sz w:val="21"/>
                <w:szCs w:val="21"/>
              </w:rPr>
              <w:t>.193</w:t>
            </w:r>
            <w:r>
              <w:rPr>
                <w:rFonts w:hint="eastAsia" w:cs="宋体"/>
                <w:bCs/>
                <w:snapToGrid w:val="0"/>
                <w:kern w:val="21"/>
                <w:sz w:val="21"/>
                <w:szCs w:val="21"/>
              </w:rPr>
              <w:t>t</w:t>
            </w:r>
            <w:r>
              <w:rPr>
                <w:rFonts w:cs="宋体"/>
                <w:bCs/>
                <w:snapToGrid w:val="0"/>
                <w:kern w:val="21"/>
                <w:sz w:val="21"/>
                <w:szCs w:val="21"/>
              </w:rPr>
              <w:t>/</w:t>
            </w:r>
            <w:r>
              <w:rPr>
                <w:rFonts w:hint="eastAsia" w:cs="宋体"/>
                <w:bCs/>
                <w:snapToGrid w:val="0"/>
                <w:kern w:val="21"/>
                <w:sz w:val="21"/>
                <w:szCs w:val="21"/>
              </w:rPr>
              <w:t>a</w:t>
            </w:r>
          </w:p>
        </w:tc>
        <w:tc>
          <w:tcPr>
            <w:tcW w:w="1132" w:type="dxa"/>
            <w:vAlign w:val="center"/>
          </w:tcPr>
          <w:p>
            <w:pPr>
              <w:pStyle w:val="41"/>
              <w:rPr>
                <w:rFonts w:cs="宋体"/>
                <w:snapToGrid w:val="0"/>
                <w:kern w:val="21"/>
                <w:szCs w:val="21"/>
              </w:rPr>
            </w:pPr>
          </w:p>
        </w:tc>
        <w:tc>
          <w:tcPr>
            <w:tcW w:w="2686" w:type="dxa"/>
            <w:vAlign w:val="center"/>
          </w:tcPr>
          <w:p>
            <w:pPr>
              <w:widowControl/>
              <w:jc w:val="center"/>
              <w:textAlignment w:val="center"/>
              <w:rPr>
                <w:rFonts w:ascii="Times New Roman" w:hAnsi="Times New Roman" w:eastAsia="宋体" w:cs="宋体"/>
                <w:bCs/>
                <w:snapToGrid w:val="0"/>
                <w:kern w:val="21"/>
              </w:rPr>
            </w:pPr>
            <w:r>
              <w:rPr>
                <w:rFonts w:ascii="Times New Roman" w:hAnsi="Times New Roman" w:eastAsia="宋体" w:cs="宋体"/>
                <w:bCs/>
                <w:snapToGrid w:val="0"/>
                <w:kern w:val="21"/>
              </w:rPr>
              <w:t>0.193</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rFonts w:hint="eastAsia"/>
                <w:szCs w:val="21"/>
              </w:rPr>
              <w:t>非甲烷总烃</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widowControl/>
              <w:jc w:val="center"/>
              <w:textAlignment w:val="center"/>
              <w:rPr>
                <w:rFonts w:ascii="Times New Roman" w:hAnsi="Times New Roman" w:eastAsia="宋体" w:cs="宋体"/>
                <w:bCs/>
                <w:snapToGrid w:val="0"/>
                <w:kern w:val="21"/>
              </w:rPr>
            </w:pPr>
            <w:r>
              <w:rPr>
                <w:rFonts w:ascii="Times New Roman" w:hAnsi="Times New Roman" w:eastAsia="宋体" w:cs="宋体"/>
                <w:bCs/>
                <w:snapToGrid w:val="0"/>
                <w:kern w:val="21"/>
              </w:rPr>
              <w:t>0.334</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132" w:type="dxa"/>
            <w:vAlign w:val="center"/>
          </w:tcPr>
          <w:p>
            <w:pPr>
              <w:pStyle w:val="41"/>
              <w:rPr>
                <w:rFonts w:cs="宋体"/>
                <w:snapToGrid w:val="0"/>
                <w:kern w:val="21"/>
                <w:szCs w:val="21"/>
              </w:rPr>
            </w:pPr>
          </w:p>
        </w:tc>
        <w:tc>
          <w:tcPr>
            <w:tcW w:w="2686" w:type="dxa"/>
            <w:vAlign w:val="center"/>
          </w:tcPr>
          <w:p>
            <w:pPr>
              <w:widowControl/>
              <w:jc w:val="center"/>
              <w:textAlignment w:val="center"/>
              <w:rPr>
                <w:rFonts w:ascii="Times New Roman" w:hAnsi="Times New Roman" w:eastAsia="宋体" w:cs="宋体"/>
                <w:bCs/>
                <w:snapToGrid w:val="0"/>
                <w:kern w:val="21"/>
              </w:rPr>
            </w:pPr>
            <w:r>
              <w:rPr>
                <w:rFonts w:ascii="Times New Roman" w:hAnsi="Times New Roman" w:eastAsia="宋体" w:cs="宋体"/>
                <w:bCs/>
                <w:snapToGrid w:val="0"/>
                <w:kern w:val="21"/>
              </w:rPr>
              <w:t>0.334</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rFonts w:hint="eastAsia"/>
                <w:szCs w:val="21"/>
              </w:rPr>
              <w:t>二甲苯</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widowControl/>
              <w:jc w:val="center"/>
              <w:textAlignment w:val="center"/>
              <w:rPr>
                <w:rFonts w:ascii="Times New Roman" w:hAnsi="Times New Roman" w:eastAsia="宋体" w:cs="宋体"/>
                <w:bCs/>
                <w:snapToGrid w:val="0"/>
                <w:kern w:val="21"/>
              </w:rPr>
            </w:pPr>
            <w:r>
              <w:rPr>
                <w:rFonts w:ascii="Times New Roman" w:hAnsi="Times New Roman" w:eastAsia="宋体" w:cs="宋体"/>
                <w:bCs/>
                <w:snapToGrid w:val="0"/>
                <w:kern w:val="21"/>
              </w:rPr>
              <w:t>0.036</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132" w:type="dxa"/>
            <w:vAlign w:val="center"/>
          </w:tcPr>
          <w:p>
            <w:pPr>
              <w:pStyle w:val="41"/>
              <w:rPr>
                <w:rFonts w:cs="宋体"/>
                <w:snapToGrid w:val="0"/>
                <w:kern w:val="21"/>
                <w:szCs w:val="21"/>
              </w:rPr>
            </w:pPr>
          </w:p>
        </w:tc>
        <w:tc>
          <w:tcPr>
            <w:tcW w:w="2686" w:type="dxa"/>
            <w:vAlign w:val="center"/>
          </w:tcPr>
          <w:p>
            <w:pPr>
              <w:widowControl/>
              <w:jc w:val="center"/>
              <w:textAlignment w:val="center"/>
              <w:rPr>
                <w:rFonts w:ascii="Times New Roman" w:hAnsi="Times New Roman" w:eastAsia="宋体" w:cs="宋体"/>
                <w:bCs/>
                <w:snapToGrid w:val="0"/>
                <w:kern w:val="21"/>
              </w:rPr>
            </w:pPr>
            <w:r>
              <w:rPr>
                <w:rFonts w:ascii="Times New Roman" w:hAnsi="Times New Roman" w:eastAsia="宋体" w:cs="宋体"/>
                <w:bCs/>
                <w:snapToGrid w:val="0"/>
                <w:kern w:val="21"/>
              </w:rPr>
              <w:t>0.036</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restart"/>
            <w:vAlign w:val="center"/>
          </w:tcPr>
          <w:p>
            <w:pPr>
              <w:pStyle w:val="41"/>
              <w:rPr>
                <w:szCs w:val="21"/>
              </w:rPr>
            </w:pPr>
            <w:r>
              <w:rPr>
                <w:rFonts w:hint="eastAsia"/>
                <w:szCs w:val="21"/>
              </w:rPr>
              <w:t>废水</w:t>
            </w:r>
          </w:p>
        </w:tc>
        <w:tc>
          <w:tcPr>
            <w:tcW w:w="1337" w:type="dxa"/>
            <w:vAlign w:val="center"/>
          </w:tcPr>
          <w:p>
            <w:pPr>
              <w:pStyle w:val="41"/>
              <w:rPr>
                <w:szCs w:val="21"/>
              </w:rPr>
            </w:pPr>
            <w:r>
              <w:rPr>
                <w:rFonts w:cs="宋体"/>
                <w:snapToGrid w:val="0"/>
                <w:kern w:val="21"/>
                <w:szCs w:val="21"/>
              </w:rPr>
              <w:t>化学需氧量</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cs="宋体"/>
                <w:snapToGrid w:val="0"/>
                <w:kern w:val="21"/>
                <w:szCs w:val="21"/>
              </w:rPr>
              <w:t>0.175</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pStyle w:val="41"/>
              <w:rPr>
                <w:rFonts w:cs="宋体"/>
                <w:snapToGrid w:val="0"/>
                <w:kern w:val="21"/>
                <w:szCs w:val="21"/>
              </w:rPr>
            </w:pPr>
            <w:r>
              <w:rPr>
                <w:rFonts w:cs="宋体"/>
                <w:snapToGrid w:val="0"/>
                <w:kern w:val="21"/>
                <w:szCs w:val="21"/>
              </w:rPr>
              <w:t>0.175</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rFonts w:hint="eastAsia"/>
                <w:szCs w:val="21"/>
                <w:lang w:bidi="zh-CN"/>
              </w:rPr>
              <w:t>五日生</w:t>
            </w:r>
            <w:r>
              <w:rPr>
                <w:szCs w:val="21"/>
                <w:lang w:bidi="zh-CN"/>
              </w:rPr>
              <w:t>化需氧量</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cs="宋体"/>
                <w:snapToGrid w:val="0"/>
                <w:kern w:val="21"/>
                <w:szCs w:val="21"/>
              </w:rPr>
              <w:t>0.084</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pStyle w:val="41"/>
              <w:rPr>
                <w:rFonts w:cs="宋体"/>
                <w:snapToGrid w:val="0"/>
                <w:kern w:val="21"/>
                <w:szCs w:val="21"/>
              </w:rPr>
            </w:pPr>
            <w:r>
              <w:rPr>
                <w:rFonts w:cs="宋体"/>
                <w:snapToGrid w:val="0"/>
                <w:kern w:val="21"/>
                <w:szCs w:val="21"/>
              </w:rPr>
              <w:t>0.084</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szCs w:val="21"/>
                <w:lang w:bidi="zh-CN"/>
              </w:rPr>
              <w:t>悬浮物</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cs="宋体"/>
                <w:snapToGrid w:val="0"/>
                <w:kern w:val="21"/>
                <w:szCs w:val="21"/>
              </w:rPr>
              <w:t>0.063</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pStyle w:val="41"/>
              <w:rPr>
                <w:rFonts w:cs="宋体"/>
                <w:snapToGrid w:val="0"/>
                <w:kern w:val="21"/>
                <w:szCs w:val="21"/>
              </w:rPr>
            </w:pPr>
            <w:r>
              <w:rPr>
                <w:rFonts w:cs="宋体"/>
                <w:snapToGrid w:val="0"/>
                <w:kern w:val="21"/>
                <w:szCs w:val="21"/>
              </w:rPr>
              <w:t>0.063</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szCs w:val="21"/>
                <w:lang w:bidi="zh-CN"/>
              </w:rPr>
              <w:t>氨氮（以N计）</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cs="宋体"/>
                <w:snapToGrid w:val="0"/>
                <w:kern w:val="21"/>
                <w:szCs w:val="21"/>
              </w:rPr>
              <w:t>0.019</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pStyle w:val="41"/>
              <w:rPr>
                <w:rFonts w:cs="宋体"/>
                <w:snapToGrid w:val="0"/>
                <w:kern w:val="21"/>
                <w:szCs w:val="21"/>
              </w:rPr>
            </w:pPr>
            <w:r>
              <w:rPr>
                <w:rFonts w:cs="宋体"/>
                <w:snapToGrid w:val="0"/>
                <w:kern w:val="21"/>
                <w:szCs w:val="21"/>
              </w:rPr>
              <w:t>0.019</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lang w:bidi="zh-CN"/>
              </w:rPr>
            </w:pPr>
            <w:r>
              <w:rPr>
                <w:rFonts w:hint="eastAsia"/>
                <w:szCs w:val="21"/>
                <w:lang w:bidi="zh-CN"/>
              </w:rPr>
              <w:t>T</w:t>
            </w:r>
            <w:r>
              <w:rPr>
                <w:szCs w:val="21"/>
                <w:lang w:bidi="zh-CN"/>
              </w:rPr>
              <w:t>N</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cs="宋体"/>
                <w:snapToGrid w:val="0"/>
                <w:kern w:val="21"/>
                <w:szCs w:val="21"/>
              </w:rPr>
              <w:t>0.029</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pStyle w:val="41"/>
              <w:rPr>
                <w:rFonts w:cs="宋体"/>
                <w:snapToGrid w:val="0"/>
                <w:kern w:val="21"/>
                <w:szCs w:val="21"/>
              </w:rPr>
            </w:pPr>
            <w:r>
              <w:rPr>
                <w:rFonts w:cs="宋体"/>
                <w:snapToGrid w:val="0"/>
                <w:kern w:val="21"/>
                <w:szCs w:val="21"/>
              </w:rPr>
              <w:t>0.029</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rFonts w:hint="eastAsia"/>
                <w:szCs w:val="21"/>
              </w:rPr>
              <w:t>T</w:t>
            </w:r>
            <w:r>
              <w:rPr>
                <w:szCs w:val="21"/>
              </w:rPr>
              <w:t>P</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hint="eastAsia" w:cs="宋体"/>
                <w:snapToGrid w:val="0"/>
                <w:kern w:val="21"/>
                <w:szCs w:val="21"/>
              </w:rPr>
              <w:t>0</w:t>
            </w:r>
            <w:r>
              <w:rPr>
                <w:rFonts w:cs="宋体"/>
                <w:snapToGrid w:val="0"/>
                <w:kern w:val="21"/>
                <w:szCs w:val="21"/>
              </w:rPr>
              <w:t>.002</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pStyle w:val="41"/>
              <w:rPr>
                <w:rFonts w:cs="宋体"/>
                <w:snapToGrid w:val="0"/>
                <w:kern w:val="21"/>
                <w:szCs w:val="21"/>
              </w:rPr>
            </w:pPr>
            <w:r>
              <w:rPr>
                <w:rFonts w:hint="eastAsia" w:cs="宋体"/>
                <w:snapToGrid w:val="0"/>
                <w:kern w:val="21"/>
                <w:szCs w:val="21"/>
              </w:rPr>
              <w:t>0</w:t>
            </w:r>
            <w:r>
              <w:rPr>
                <w:rFonts w:cs="宋体"/>
                <w:snapToGrid w:val="0"/>
                <w:kern w:val="21"/>
                <w:szCs w:val="21"/>
              </w:rPr>
              <w:t>.002</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restart"/>
            <w:vAlign w:val="center"/>
          </w:tcPr>
          <w:p>
            <w:pPr>
              <w:pStyle w:val="41"/>
              <w:rPr>
                <w:szCs w:val="21"/>
              </w:rPr>
            </w:pPr>
            <w:r>
              <w:rPr>
                <w:rFonts w:hint="eastAsia"/>
                <w:szCs w:val="21"/>
              </w:rPr>
              <w:t>一般工业固体废物</w:t>
            </w:r>
          </w:p>
        </w:tc>
        <w:tc>
          <w:tcPr>
            <w:tcW w:w="1337" w:type="dxa"/>
            <w:vAlign w:val="center"/>
          </w:tcPr>
          <w:p>
            <w:pPr>
              <w:pStyle w:val="41"/>
              <w:rPr>
                <w:szCs w:val="21"/>
              </w:rPr>
            </w:pPr>
            <w:r>
              <w:rPr>
                <w:rFonts w:hint="eastAsia" w:cs="Times New Roman"/>
                <w:szCs w:val="21"/>
              </w:rPr>
              <w:t>除尘器收集粉尘</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szCs w:val="21"/>
              </w:rPr>
              <w:t>0.017</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ascii="Times New Roman" w:hAnsi="Times New Roman" w:eastAsia="宋体"/>
              </w:rPr>
              <w:t>0.017</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rFonts w:hint="eastAsia" w:cs="Times New Roman"/>
                <w:szCs w:val="21"/>
              </w:rPr>
              <w:t>废边角料</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szCs w:val="21"/>
              </w:rPr>
              <w:t>0.8</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ascii="Times New Roman" w:hAnsi="Times New Roman" w:eastAsia="宋体"/>
              </w:rPr>
              <w:t>0.8</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rFonts w:cs="Times New Roman"/>
                <w:szCs w:val="21"/>
              </w:rPr>
            </w:pPr>
            <w:r>
              <w:rPr>
                <w:rFonts w:hint="eastAsia" w:cs="Times New Roman"/>
                <w:szCs w:val="21"/>
              </w:rPr>
              <w:t>废</w:t>
            </w:r>
            <w:r>
              <w:rPr>
                <w:rFonts w:hint="eastAsia" w:cs="Times New Roman"/>
                <w:kern w:val="2"/>
                <w:szCs w:val="21"/>
              </w:rPr>
              <w:t>砂纸</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adjustRightInd w:val="0"/>
              <w:snapToGrid w:val="0"/>
              <w:jc w:val="center"/>
              <w:rPr>
                <w:rFonts w:ascii="Times New Roman" w:hAnsi="Times New Roman" w:eastAsia="宋体" w:cs="宋体"/>
                <w:bCs/>
                <w:snapToGrid w:val="0"/>
                <w:kern w:val="21"/>
              </w:rPr>
            </w:pPr>
            <w:r>
              <w:rPr>
                <w:rFonts w:hint="eastAsia" w:ascii="Times New Roman" w:hAnsi="Times New Roman" w:eastAsia="宋体"/>
              </w:rPr>
              <w:t>0</w:t>
            </w:r>
            <w:r>
              <w:rPr>
                <w:rFonts w:ascii="Times New Roman" w:hAnsi="Times New Roman" w:eastAsia="宋体"/>
              </w:rPr>
              <w:t>.1</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hint="eastAsia" w:ascii="Times New Roman" w:hAnsi="Times New Roman" w:eastAsia="宋体"/>
              </w:rPr>
              <w:t>0</w:t>
            </w:r>
            <w:r>
              <w:rPr>
                <w:rFonts w:ascii="Times New Roman" w:hAnsi="Times New Roman" w:eastAsia="宋体"/>
              </w:rPr>
              <w:t>.1</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rFonts w:hint="eastAsia" w:cs="Times New Roman"/>
                <w:szCs w:val="21"/>
              </w:rPr>
              <w:t>废水性漆桶</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adjustRightInd w:val="0"/>
              <w:snapToGrid w:val="0"/>
              <w:jc w:val="center"/>
              <w:rPr>
                <w:rFonts w:ascii="Times New Roman" w:hAnsi="Times New Roman" w:eastAsia="宋体" w:cs="宋体"/>
                <w:bCs/>
                <w:snapToGrid w:val="0"/>
                <w:kern w:val="21"/>
              </w:rPr>
            </w:pPr>
            <w:r>
              <w:rPr>
                <w:rFonts w:ascii="Times New Roman" w:hAnsi="Times New Roman" w:eastAsia="宋体"/>
              </w:rPr>
              <w:t>0.39</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ascii="Times New Roman" w:hAnsi="Times New Roman" w:eastAsia="宋体"/>
              </w:rPr>
              <w:t>0.39</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restart"/>
            <w:vAlign w:val="center"/>
          </w:tcPr>
          <w:p>
            <w:pPr>
              <w:pStyle w:val="41"/>
              <w:rPr>
                <w:szCs w:val="21"/>
              </w:rPr>
            </w:pPr>
            <w:r>
              <w:rPr>
                <w:rFonts w:hint="eastAsia"/>
                <w:szCs w:val="21"/>
              </w:rPr>
              <w:t>危险废物</w:t>
            </w:r>
          </w:p>
        </w:tc>
        <w:tc>
          <w:tcPr>
            <w:tcW w:w="1337" w:type="dxa"/>
            <w:vAlign w:val="center"/>
          </w:tcPr>
          <w:p>
            <w:pPr>
              <w:pStyle w:val="41"/>
              <w:rPr>
                <w:rFonts w:cs="Times New Roman"/>
                <w:szCs w:val="21"/>
              </w:rPr>
            </w:pPr>
            <w:r>
              <w:rPr>
                <w:rFonts w:hint="eastAsia"/>
                <w:szCs w:val="21"/>
              </w:rPr>
              <w:t>废抹布及手套</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szCs w:val="21"/>
              </w:rPr>
              <w:t>0.0001</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ascii="Times New Roman" w:hAnsi="Times New Roman" w:eastAsia="宋体"/>
              </w:rPr>
              <w:t>0.0001</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rFonts w:hint="eastAsia"/>
                <w:szCs w:val="21"/>
              </w:rPr>
              <w:t>废涂料桶</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hint="eastAsia"/>
                <w:szCs w:val="21"/>
              </w:rPr>
              <w:t>0.26</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hint="eastAsia" w:ascii="Times New Roman" w:hAnsi="Times New Roman" w:eastAsia="宋体"/>
              </w:rPr>
              <w:t>0.26</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rFonts w:hint="eastAsia"/>
                <w:szCs w:val="21"/>
              </w:rPr>
              <w:t>废漆渣</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hint="eastAsia"/>
                <w:szCs w:val="21"/>
              </w:rPr>
              <w:t>1.353</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hint="eastAsia" w:ascii="Times New Roman" w:hAnsi="Times New Roman" w:eastAsia="宋体"/>
              </w:rPr>
              <w:t>1.353</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rFonts w:hint="eastAsia"/>
                <w:szCs w:val="21"/>
              </w:rPr>
              <w:t>废过滤纸盒</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szCs w:val="21"/>
              </w:rPr>
              <w:t>0.774</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ascii="Times New Roman" w:hAnsi="Times New Roman" w:eastAsia="宋体"/>
              </w:rPr>
              <w:t>0.774</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rFonts w:hint="eastAsia"/>
                <w:szCs w:val="21"/>
              </w:rPr>
              <w:t>废活性炭</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hint="eastAsia"/>
                <w:szCs w:val="21"/>
              </w:rPr>
              <w:t>0</w:t>
            </w:r>
            <w:r>
              <w:rPr>
                <w:szCs w:val="21"/>
              </w:rPr>
              <w:t>.3</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hint="eastAsia" w:ascii="Times New Roman" w:hAnsi="Times New Roman" w:eastAsia="宋体"/>
              </w:rPr>
              <w:t>0</w:t>
            </w:r>
            <w:r>
              <w:rPr>
                <w:rFonts w:ascii="Times New Roman" w:hAnsi="Times New Roman" w:eastAsia="宋体"/>
              </w:rPr>
              <w:t>.3</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rFonts w:hint="eastAsia"/>
                <w:szCs w:val="21"/>
              </w:rPr>
              <w:t>废催化剂</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hint="eastAsia"/>
                <w:szCs w:val="21"/>
              </w:rPr>
              <w:t>0</w:t>
            </w:r>
            <w:r>
              <w:rPr>
                <w:szCs w:val="21"/>
              </w:rPr>
              <w:t>.02</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hint="eastAsia" w:ascii="Times New Roman" w:hAnsi="Times New Roman" w:eastAsia="宋体"/>
              </w:rPr>
              <w:t>0</w:t>
            </w:r>
            <w:r>
              <w:rPr>
                <w:rFonts w:ascii="Times New Roman" w:hAnsi="Times New Roman" w:eastAsia="宋体"/>
              </w:rPr>
              <w:t>.02</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rFonts w:cs="Times New Roman"/>
                <w:szCs w:val="21"/>
              </w:rPr>
            </w:pPr>
            <w:r>
              <w:rPr>
                <w:szCs w:val="21"/>
              </w:rPr>
              <w:t>废</w:t>
            </w:r>
            <w:r>
              <w:rPr>
                <w:rFonts w:hint="eastAsia"/>
                <w:szCs w:val="21"/>
              </w:rPr>
              <w:t>机油</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hint="eastAsia"/>
                <w:szCs w:val="21"/>
              </w:rPr>
              <w:t>0</w:t>
            </w:r>
            <w:r>
              <w:rPr>
                <w:szCs w:val="21"/>
              </w:rPr>
              <w:t>.15</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hint="eastAsia" w:ascii="Times New Roman" w:hAnsi="Times New Roman" w:eastAsia="宋体"/>
              </w:rPr>
              <w:t>0</w:t>
            </w:r>
            <w:r>
              <w:rPr>
                <w:rFonts w:ascii="Times New Roman" w:hAnsi="Times New Roman" w:eastAsia="宋体"/>
              </w:rPr>
              <w:t>.15</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1097" w:type="dxa"/>
            <w:vMerge w:val="continue"/>
            <w:vAlign w:val="center"/>
          </w:tcPr>
          <w:p>
            <w:pPr>
              <w:pStyle w:val="41"/>
              <w:rPr>
                <w:szCs w:val="21"/>
              </w:rPr>
            </w:pPr>
          </w:p>
        </w:tc>
        <w:tc>
          <w:tcPr>
            <w:tcW w:w="1337" w:type="dxa"/>
            <w:vAlign w:val="center"/>
          </w:tcPr>
          <w:p>
            <w:pPr>
              <w:pStyle w:val="41"/>
              <w:rPr>
                <w:szCs w:val="21"/>
              </w:rPr>
            </w:pPr>
            <w:r>
              <w:rPr>
                <w:szCs w:val="21"/>
              </w:rPr>
              <w:t>废</w:t>
            </w:r>
            <w:r>
              <w:rPr>
                <w:rFonts w:hint="eastAsia"/>
                <w:szCs w:val="21"/>
              </w:rPr>
              <w:t>切削液</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pStyle w:val="41"/>
              <w:rPr>
                <w:rFonts w:cs="宋体"/>
                <w:snapToGrid w:val="0"/>
                <w:kern w:val="21"/>
                <w:szCs w:val="21"/>
              </w:rPr>
            </w:pPr>
            <w:r>
              <w:rPr>
                <w:rFonts w:hint="eastAsia"/>
                <w:szCs w:val="21"/>
              </w:rPr>
              <w:t>0</w:t>
            </w:r>
            <w:r>
              <w:rPr>
                <w:szCs w:val="21"/>
              </w:rPr>
              <w:t>.43</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132" w:type="dxa"/>
            <w:vAlign w:val="center"/>
          </w:tcPr>
          <w:p>
            <w:pPr>
              <w:pStyle w:val="41"/>
              <w:rPr>
                <w:rFonts w:cs="宋体"/>
                <w:snapToGrid w:val="0"/>
                <w:kern w:val="21"/>
                <w:szCs w:val="21"/>
              </w:rPr>
            </w:pPr>
          </w:p>
        </w:tc>
        <w:tc>
          <w:tcPr>
            <w:tcW w:w="2686" w:type="dxa"/>
            <w:vAlign w:val="center"/>
          </w:tcPr>
          <w:p>
            <w:pPr>
              <w:pStyle w:val="41"/>
              <w:rPr>
                <w:rFonts w:cs="宋体"/>
                <w:snapToGrid w:val="0"/>
                <w:kern w:val="21"/>
                <w:szCs w:val="21"/>
              </w:rPr>
            </w:pPr>
            <w:r>
              <w:rPr>
                <w:rFonts w:hint="eastAsia"/>
                <w:szCs w:val="21"/>
              </w:rPr>
              <w:t>0</w:t>
            </w:r>
            <w:r>
              <w:rPr>
                <w:szCs w:val="21"/>
              </w:rPr>
              <w:t>.43</w:t>
            </w:r>
            <w:r>
              <w:rPr>
                <w:rFonts w:hint="eastAsia" w:cs="宋体"/>
                <w:snapToGrid w:val="0"/>
                <w:kern w:val="21"/>
                <w:szCs w:val="21"/>
              </w:rPr>
              <w:t>t</w:t>
            </w:r>
            <w:r>
              <w:rPr>
                <w:rFonts w:cs="宋体"/>
                <w:snapToGrid w:val="0"/>
                <w:kern w:val="21"/>
                <w:szCs w:val="21"/>
              </w:rPr>
              <w:t>/</w:t>
            </w:r>
            <w:r>
              <w:rPr>
                <w:rFonts w:hint="eastAsia" w:cs="宋体"/>
                <w:snapToGrid w:val="0"/>
                <w:kern w:val="21"/>
                <w:szCs w:val="21"/>
              </w:rPr>
              <w:t>a</w:t>
            </w:r>
          </w:p>
        </w:tc>
        <w:tc>
          <w:tcPr>
            <w:tcW w:w="1037" w:type="dxa"/>
            <w:vAlign w:val="center"/>
          </w:tcPr>
          <w:p>
            <w:pPr>
              <w:pStyle w:val="41"/>
              <w:rPr>
                <w:rFonts w:cs="宋体"/>
                <w:snapToGrid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trPr>
        <w:tc>
          <w:tcPr>
            <w:tcW w:w="2434" w:type="dxa"/>
            <w:gridSpan w:val="2"/>
            <w:vAlign w:val="center"/>
          </w:tcPr>
          <w:p>
            <w:pPr>
              <w:pStyle w:val="41"/>
              <w:rPr>
                <w:szCs w:val="21"/>
              </w:rPr>
            </w:pPr>
            <w:r>
              <w:rPr>
                <w:rFonts w:hint="eastAsia"/>
                <w:szCs w:val="21"/>
              </w:rPr>
              <w:t>生活垃圾</w:t>
            </w:r>
          </w:p>
        </w:tc>
        <w:tc>
          <w:tcPr>
            <w:tcW w:w="2209" w:type="dxa"/>
            <w:vAlign w:val="center"/>
          </w:tcPr>
          <w:p>
            <w:pPr>
              <w:pStyle w:val="41"/>
              <w:rPr>
                <w:rFonts w:cs="宋体"/>
                <w:snapToGrid w:val="0"/>
                <w:kern w:val="21"/>
                <w:szCs w:val="21"/>
              </w:rPr>
            </w:pPr>
          </w:p>
        </w:tc>
        <w:tc>
          <w:tcPr>
            <w:tcW w:w="1323" w:type="dxa"/>
            <w:vAlign w:val="center"/>
          </w:tcPr>
          <w:p>
            <w:pPr>
              <w:pStyle w:val="41"/>
              <w:rPr>
                <w:rFonts w:cs="宋体"/>
                <w:snapToGrid w:val="0"/>
                <w:kern w:val="21"/>
                <w:szCs w:val="21"/>
              </w:rPr>
            </w:pPr>
          </w:p>
        </w:tc>
        <w:tc>
          <w:tcPr>
            <w:tcW w:w="1617" w:type="dxa"/>
            <w:vAlign w:val="center"/>
          </w:tcPr>
          <w:p>
            <w:pPr>
              <w:pStyle w:val="41"/>
              <w:rPr>
                <w:rFonts w:cs="宋体"/>
                <w:snapToGrid w:val="0"/>
                <w:kern w:val="21"/>
                <w:szCs w:val="21"/>
              </w:rPr>
            </w:pPr>
          </w:p>
        </w:tc>
        <w:tc>
          <w:tcPr>
            <w:tcW w:w="1732" w:type="dxa"/>
            <w:vAlign w:val="center"/>
          </w:tcPr>
          <w:p>
            <w:pPr>
              <w:adjustRightInd w:val="0"/>
              <w:snapToGrid w:val="0"/>
              <w:jc w:val="center"/>
              <w:rPr>
                <w:rFonts w:ascii="Times New Roman" w:hAnsi="Times New Roman" w:eastAsia="宋体" w:cs="宋体"/>
                <w:bCs/>
                <w:snapToGrid w:val="0"/>
                <w:kern w:val="21"/>
              </w:rPr>
            </w:pPr>
            <w:r>
              <w:rPr>
                <w:rFonts w:ascii="Times New Roman" w:hAnsi="Times New Roman" w:eastAsia="宋体" w:cs="宋体"/>
                <w:bCs/>
                <w:snapToGrid w:val="0"/>
                <w:kern w:val="21"/>
              </w:rPr>
              <w:t>2.8</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132" w:type="dxa"/>
            <w:vAlign w:val="center"/>
          </w:tcPr>
          <w:p>
            <w:pPr>
              <w:pStyle w:val="41"/>
              <w:rPr>
                <w:rFonts w:cs="宋体"/>
                <w:snapToGrid w:val="0"/>
                <w:kern w:val="21"/>
                <w:szCs w:val="21"/>
              </w:rPr>
            </w:pPr>
          </w:p>
        </w:tc>
        <w:tc>
          <w:tcPr>
            <w:tcW w:w="2686" w:type="dxa"/>
            <w:vAlign w:val="center"/>
          </w:tcPr>
          <w:p>
            <w:pPr>
              <w:adjustRightInd w:val="0"/>
              <w:snapToGrid w:val="0"/>
              <w:jc w:val="center"/>
              <w:rPr>
                <w:rFonts w:ascii="Times New Roman" w:hAnsi="Times New Roman" w:eastAsia="宋体" w:cs="宋体"/>
                <w:bCs/>
                <w:snapToGrid w:val="0"/>
                <w:kern w:val="21"/>
              </w:rPr>
            </w:pPr>
            <w:r>
              <w:rPr>
                <w:rFonts w:ascii="Times New Roman" w:hAnsi="Times New Roman" w:eastAsia="宋体" w:cs="宋体"/>
                <w:bCs/>
                <w:snapToGrid w:val="0"/>
                <w:kern w:val="21"/>
              </w:rPr>
              <w:t>2.8</w:t>
            </w:r>
            <w:r>
              <w:rPr>
                <w:rFonts w:hint="eastAsia" w:ascii="Times New Roman" w:hAnsi="Times New Roman" w:eastAsia="宋体" w:cs="宋体"/>
                <w:bCs/>
                <w:snapToGrid w:val="0"/>
                <w:kern w:val="21"/>
              </w:rPr>
              <w:t>t</w:t>
            </w:r>
            <w:r>
              <w:rPr>
                <w:rFonts w:ascii="Times New Roman" w:hAnsi="Times New Roman" w:eastAsia="宋体" w:cs="宋体"/>
                <w:bCs/>
                <w:snapToGrid w:val="0"/>
                <w:kern w:val="21"/>
              </w:rPr>
              <w:t>/</w:t>
            </w:r>
            <w:r>
              <w:rPr>
                <w:rFonts w:hint="eastAsia" w:ascii="Times New Roman" w:hAnsi="Times New Roman" w:eastAsia="宋体" w:cs="宋体"/>
                <w:bCs/>
                <w:snapToGrid w:val="0"/>
                <w:kern w:val="21"/>
              </w:rPr>
              <w:t>a</w:t>
            </w:r>
          </w:p>
        </w:tc>
        <w:tc>
          <w:tcPr>
            <w:tcW w:w="1037" w:type="dxa"/>
            <w:vAlign w:val="center"/>
          </w:tcPr>
          <w:p>
            <w:pPr>
              <w:pStyle w:val="41"/>
              <w:rPr>
                <w:rFonts w:cs="宋体"/>
                <w:snapToGrid w:val="0"/>
                <w:kern w:val="21"/>
                <w:szCs w:val="21"/>
              </w:rPr>
            </w:pPr>
          </w:p>
        </w:tc>
      </w:tr>
    </w:tbl>
    <w:p>
      <w:pPr>
        <w:adjustRightInd w:val="0"/>
        <w:snapToGrid w:val="0"/>
        <w:rPr>
          <w:rFonts w:ascii="Times New Roman" w:hAnsi="Times New Roman" w:eastAsia="宋体" w:cs="Times New Roman"/>
        </w:rPr>
      </w:pPr>
      <w:r>
        <w:rPr>
          <w:rFonts w:ascii="Times New Roman" w:hAnsi="Times New Roman" w:eastAsia="宋体" w:cs="Times New Roman"/>
        </w:rPr>
        <w:t>注：</w:t>
      </w:r>
      <w:r>
        <w:rPr>
          <w:rFonts w:hint="eastAsia" w:ascii="Times New Roman" w:hAnsi="Times New Roman" w:eastAsia="宋体" w:cs="宋体"/>
        </w:rPr>
        <w:t>⑥</w:t>
      </w:r>
      <m:oMath>
        <m:r>
          <m:rPr/>
          <w:rPr>
            <w:rFonts w:ascii="Cambria Math" w:hAnsi="Cambria Math" w:eastAsia="宋体" w:cs="Times New Roman"/>
          </w:rPr>
          <m:t>=</m:t>
        </m:r>
      </m:oMath>
      <w:r>
        <w:rPr>
          <w:rFonts w:hint="eastAsia" w:ascii="Times New Roman" w:hAnsi="Times New Roman" w:eastAsia="宋体" w:cs="宋体"/>
        </w:rPr>
        <w:t>①</w:t>
      </w:r>
      <m:oMath>
        <m:r>
          <m:rPr/>
          <w:rPr>
            <w:rFonts w:ascii="Cambria Math" w:hAnsi="Cambria Math" w:eastAsia="宋体" w:cs="Times New Roman"/>
          </w:rPr>
          <m:t>+</m:t>
        </m:r>
      </m:oMath>
      <w:r>
        <w:rPr>
          <w:rFonts w:hint="eastAsia" w:ascii="Times New Roman" w:hAnsi="Times New Roman" w:eastAsia="宋体" w:cs="宋体"/>
        </w:rPr>
        <w:t>③</w:t>
      </w:r>
      <m:oMath>
        <m:r>
          <m:rPr/>
          <w:rPr>
            <w:rFonts w:ascii="Cambria Math" w:hAnsi="Cambria Math" w:eastAsia="宋体" w:cs="Times New Roman"/>
          </w:rPr>
          <m:t>+</m:t>
        </m:r>
      </m:oMath>
      <w:r>
        <w:rPr>
          <w:rFonts w:hint="eastAsia" w:ascii="Times New Roman" w:hAnsi="Times New Roman" w:eastAsia="宋体" w:cs="宋体"/>
        </w:rPr>
        <w:t>④</w:t>
      </w:r>
      <m:oMath>
        <m:r>
          <m:rPr/>
          <w:rPr>
            <w:rFonts w:ascii="Cambria Math" w:hAnsi="Cambria Math" w:eastAsia="宋体" w:cs="Times New Roman"/>
          </w:rPr>
          <m:t>−</m:t>
        </m:r>
      </m:oMath>
      <w:r>
        <w:rPr>
          <w:rFonts w:hint="eastAsia" w:ascii="Times New Roman" w:hAnsi="Times New Roman" w:eastAsia="宋体" w:cs="宋体"/>
        </w:rPr>
        <w:t>⑤</w:t>
      </w:r>
      <w:r>
        <w:rPr>
          <w:rFonts w:ascii="Times New Roman" w:hAnsi="Times New Roman" w:eastAsia="宋体" w:cs="Times New Roman"/>
        </w:rPr>
        <w:t>；</w:t>
      </w:r>
      <w:r>
        <w:rPr>
          <w:rFonts w:hint="eastAsia" w:ascii="Times New Roman" w:hAnsi="Times New Roman" w:eastAsia="宋体" w:cs="宋体"/>
        </w:rPr>
        <w:t>⑦</w:t>
      </w:r>
      <m:oMath>
        <m:r>
          <m:rPr/>
          <w:rPr>
            <w:rFonts w:ascii="Cambria Math" w:hAnsi="Cambria Math" w:eastAsia="宋体" w:cs="Times New Roman"/>
          </w:rPr>
          <m:t>=</m:t>
        </m:r>
      </m:oMath>
      <w:r>
        <w:rPr>
          <w:rFonts w:hint="eastAsia" w:ascii="Times New Roman" w:hAnsi="Times New Roman" w:eastAsia="宋体" w:cs="宋体"/>
        </w:rPr>
        <w:t>⑥</w:t>
      </w:r>
      <m:oMath>
        <m:r>
          <m:rPr/>
          <w:rPr>
            <w:rFonts w:ascii="Cambria Math" w:hAnsi="Cambria Math" w:eastAsia="宋体" w:cs="Times New Roman"/>
          </w:rPr>
          <m:t>−</m:t>
        </m:r>
      </m:oMath>
      <w:r>
        <w:rPr>
          <w:rFonts w:hint="eastAsia" w:ascii="Times New Roman" w:hAnsi="Times New Roman" w:eastAsia="宋体" w:cs="宋体"/>
        </w:rPr>
        <w:t>①</w:t>
      </w:r>
    </w:p>
    <w:sectPr>
      <w:foot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Courier New">
    <w:altName w:val="Consolas"/>
    <w:panose1 w:val="02070309020205020404"/>
    <w:charset w:val="00"/>
    <w:family w:val="modern"/>
    <w:pitch w:val="default"/>
    <w:sig w:usb0="00000000" w:usb1="00000000" w:usb2="00000009" w:usb3="00000000" w:csb0="000001FF" w:csb1="00000000"/>
  </w:font>
  <w:font w:name="Arial Black">
    <w:altName w:val="Arial"/>
    <w:panose1 w:val="020B0A04020102020204"/>
    <w:charset w:val="00"/>
    <w:family w:val="swiss"/>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Microsoft YaHei UI">
    <w:altName w:val="宋体"/>
    <w:panose1 w:val="020B0503020204020204"/>
    <w:charset w:val="86"/>
    <w:family w:val="swiss"/>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Lucida Sans">
    <w:altName w:val="Segoe UI Symbol"/>
    <w:panose1 w:val="020B0602030504020204"/>
    <w:charset w:val="00"/>
    <w:family w:val="swiss"/>
    <w:pitch w:val="default"/>
    <w:sig w:usb0="00000000" w:usb1="00000000" w:usb2="00000000" w:usb3="00000000" w:csb0="00000001" w:csb1="00000000"/>
  </w:font>
  <w:font w:name="Cambria Math">
    <w:panose1 w:val="02040503050406030204"/>
    <w:charset w:val="00"/>
    <w:family w:val="roman"/>
    <w:pitch w:val="default"/>
    <w:sig w:usb0="A00002EF" w:usb1="420020EB" w:usb2="00000000" w:usb3="00000000" w:csb0="2000009F" w:csb1="00000000"/>
  </w:font>
  <w:font w:name="Wingdings 2">
    <w:panose1 w:val="050201020105070707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Wingdings 2">
    <w:panose1 w:val="05020102010507070707"/>
    <w:charset w:val="00"/>
    <w:family w:val="auto"/>
    <w:pitch w:val="default"/>
    <w:sig w:usb0="00000000" w:usb1="00000000" w:usb2="00000000" w:usb3="00000000" w:csb0="80000000" w:csb1="00000000"/>
  </w:font>
  <w:font w:name="Kingsoft Symbol">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30"/>
      </w:rPr>
    </w:pPr>
    <w:r>
      <w:fldChar w:fldCharType="begin"/>
    </w:r>
    <w:r>
      <w:rPr>
        <w:rStyle w:val="30"/>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3024546"/>
    </w:sdtPr>
    <w:sdtEndPr>
      <w:rPr>
        <w:rFonts w:ascii="Times New Roman" w:hAnsi="Times New Roman" w:cs="Times New Roman"/>
        <w:sz w:val="21"/>
        <w:szCs w:val="21"/>
      </w:rPr>
    </w:sdtEndPr>
    <w:sdtContent>
      <w:p>
        <w:pPr>
          <w:pStyle w:val="1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15</w:t>
        </w:r>
        <w:r>
          <w:rPr>
            <w:rFonts w:ascii="Times New Roman" w:hAnsi="Times New Roman" w:cs="Times New Roman"/>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82A67"/>
    <w:multiLevelType w:val="multilevel"/>
    <w:tmpl w:val="10F82A67"/>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
    <w:nsid w:val="4254A31A"/>
    <w:multiLevelType w:val="singleLevel"/>
    <w:tmpl w:val="4254A31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mNmI5YmMwOTMzMmNlZDNiMTVhOGZiYjRiZWVkYjAifQ=="/>
  </w:docVars>
  <w:rsids>
    <w:rsidRoot w:val="005E6128"/>
    <w:rsid w:val="000016FE"/>
    <w:rsid w:val="00004F11"/>
    <w:rsid w:val="00005202"/>
    <w:rsid w:val="00007867"/>
    <w:rsid w:val="0001027B"/>
    <w:rsid w:val="00011C88"/>
    <w:rsid w:val="0001252E"/>
    <w:rsid w:val="0001347F"/>
    <w:rsid w:val="0001407B"/>
    <w:rsid w:val="00015CE5"/>
    <w:rsid w:val="00017EEA"/>
    <w:rsid w:val="00024D4E"/>
    <w:rsid w:val="00024E9D"/>
    <w:rsid w:val="00025CC5"/>
    <w:rsid w:val="0003021C"/>
    <w:rsid w:val="000303AC"/>
    <w:rsid w:val="000312AD"/>
    <w:rsid w:val="00031E26"/>
    <w:rsid w:val="0003222F"/>
    <w:rsid w:val="00033142"/>
    <w:rsid w:val="00033D36"/>
    <w:rsid w:val="00033EAB"/>
    <w:rsid w:val="00035762"/>
    <w:rsid w:val="000358A7"/>
    <w:rsid w:val="00040138"/>
    <w:rsid w:val="000407F6"/>
    <w:rsid w:val="000417DD"/>
    <w:rsid w:val="00042747"/>
    <w:rsid w:val="000438A6"/>
    <w:rsid w:val="00043B50"/>
    <w:rsid w:val="00044868"/>
    <w:rsid w:val="00044A79"/>
    <w:rsid w:val="00050CF0"/>
    <w:rsid w:val="00050D17"/>
    <w:rsid w:val="00053CE4"/>
    <w:rsid w:val="00055BB6"/>
    <w:rsid w:val="00055E97"/>
    <w:rsid w:val="00056238"/>
    <w:rsid w:val="000563D8"/>
    <w:rsid w:val="0005680D"/>
    <w:rsid w:val="00057869"/>
    <w:rsid w:val="00057B94"/>
    <w:rsid w:val="000603D0"/>
    <w:rsid w:val="0006111C"/>
    <w:rsid w:val="0006144E"/>
    <w:rsid w:val="0006188F"/>
    <w:rsid w:val="00065A28"/>
    <w:rsid w:val="00072DD0"/>
    <w:rsid w:val="00075C61"/>
    <w:rsid w:val="000801FB"/>
    <w:rsid w:val="0008202C"/>
    <w:rsid w:val="0008208C"/>
    <w:rsid w:val="00082500"/>
    <w:rsid w:val="00083BEA"/>
    <w:rsid w:val="00083D49"/>
    <w:rsid w:val="0008416C"/>
    <w:rsid w:val="00087459"/>
    <w:rsid w:val="000A0EDE"/>
    <w:rsid w:val="000A25BA"/>
    <w:rsid w:val="000A280A"/>
    <w:rsid w:val="000A420C"/>
    <w:rsid w:val="000A45A7"/>
    <w:rsid w:val="000A4BE8"/>
    <w:rsid w:val="000A4C0A"/>
    <w:rsid w:val="000A5F07"/>
    <w:rsid w:val="000A6133"/>
    <w:rsid w:val="000A6C76"/>
    <w:rsid w:val="000B22C9"/>
    <w:rsid w:val="000B2F33"/>
    <w:rsid w:val="000B40D9"/>
    <w:rsid w:val="000B4360"/>
    <w:rsid w:val="000B488D"/>
    <w:rsid w:val="000B6623"/>
    <w:rsid w:val="000B7650"/>
    <w:rsid w:val="000C05D3"/>
    <w:rsid w:val="000C11B1"/>
    <w:rsid w:val="000C40E1"/>
    <w:rsid w:val="000C42FF"/>
    <w:rsid w:val="000C43F8"/>
    <w:rsid w:val="000C479C"/>
    <w:rsid w:val="000C688A"/>
    <w:rsid w:val="000C6986"/>
    <w:rsid w:val="000D1643"/>
    <w:rsid w:val="000D2CE2"/>
    <w:rsid w:val="000D4C04"/>
    <w:rsid w:val="000D4E10"/>
    <w:rsid w:val="000D6858"/>
    <w:rsid w:val="000D70B0"/>
    <w:rsid w:val="000D74B5"/>
    <w:rsid w:val="000D7B6B"/>
    <w:rsid w:val="000D7DF5"/>
    <w:rsid w:val="000E0458"/>
    <w:rsid w:val="000E04F7"/>
    <w:rsid w:val="000E081E"/>
    <w:rsid w:val="000E1200"/>
    <w:rsid w:val="000E1522"/>
    <w:rsid w:val="000E2D2A"/>
    <w:rsid w:val="000E3073"/>
    <w:rsid w:val="000E3A5A"/>
    <w:rsid w:val="000E4084"/>
    <w:rsid w:val="000E4452"/>
    <w:rsid w:val="000E5776"/>
    <w:rsid w:val="000E68B9"/>
    <w:rsid w:val="000E699F"/>
    <w:rsid w:val="000E6B3A"/>
    <w:rsid w:val="000E6C42"/>
    <w:rsid w:val="000F0638"/>
    <w:rsid w:val="000F07D8"/>
    <w:rsid w:val="000F1663"/>
    <w:rsid w:val="000F2F98"/>
    <w:rsid w:val="000F3B8B"/>
    <w:rsid w:val="000F3F83"/>
    <w:rsid w:val="00100DA4"/>
    <w:rsid w:val="001011CB"/>
    <w:rsid w:val="00101222"/>
    <w:rsid w:val="001012DD"/>
    <w:rsid w:val="001013A7"/>
    <w:rsid w:val="001014B1"/>
    <w:rsid w:val="0010151E"/>
    <w:rsid w:val="001048C5"/>
    <w:rsid w:val="00104B7D"/>
    <w:rsid w:val="0010673F"/>
    <w:rsid w:val="00107A2A"/>
    <w:rsid w:val="00112120"/>
    <w:rsid w:val="0011462C"/>
    <w:rsid w:val="00114CE0"/>
    <w:rsid w:val="00115D03"/>
    <w:rsid w:val="001175C0"/>
    <w:rsid w:val="00117DF7"/>
    <w:rsid w:val="00120781"/>
    <w:rsid w:val="00121B91"/>
    <w:rsid w:val="001234BF"/>
    <w:rsid w:val="0012366E"/>
    <w:rsid w:val="001243DB"/>
    <w:rsid w:val="0012590B"/>
    <w:rsid w:val="00127CD0"/>
    <w:rsid w:val="00131671"/>
    <w:rsid w:val="00132822"/>
    <w:rsid w:val="001328C5"/>
    <w:rsid w:val="00133394"/>
    <w:rsid w:val="00134C41"/>
    <w:rsid w:val="001365D1"/>
    <w:rsid w:val="001371C2"/>
    <w:rsid w:val="00137699"/>
    <w:rsid w:val="00140910"/>
    <w:rsid w:val="001414D2"/>
    <w:rsid w:val="00141E74"/>
    <w:rsid w:val="00142773"/>
    <w:rsid w:val="00142ABC"/>
    <w:rsid w:val="0014311D"/>
    <w:rsid w:val="0014312D"/>
    <w:rsid w:val="00145FFE"/>
    <w:rsid w:val="00146AA6"/>
    <w:rsid w:val="00147288"/>
    <w:rsid w:val="001476B3"/>
    <w:rsid w:val="00150D9B"/>
    <w:rsid w:val="001519F2"/>
    <w:rsid w:val="001521FE"/>
    <w:rsid w:val="001527F9"/>
    <w:rsid w:val="001533C0"/>
    <w:rsid w:val="001537A2"/>
    <w:rsid w:val="00154C6A"/>
    <w:rsid w:val="00163FA2"/>
    <w:rsid w:val="0016466A"/>
    <w:rsid w:val="00165484"/>
    <w:rsid w:val="001673B1"/>
    <w:rsid w:val="001677A6"/>
    <w:rsid w:val="00167933"/>
    <w:rsid w:val="001701D9"/>
    <w:rsid w:val="001716CE"/>
    <w:rsid w:val="001717E0"/>
    <w:rsid w:val="0017184B"/>
    <w:rsid w:val="00172273"/>
    <w:rsid w:val="0017259F"/>
    <w:rsid w:val="00172E46"/>
    <w:rsid w:val="00173051"/>
    <w:rsid w:val="00174392"/>
    <w:rsid w:val="00176CA8"/>
    <w:rsid w:val="00176F96"/>
    <w:rsid w:val="001773AC"/>
    <w:rsid w:val="00180CB9"/>
    <w:rsid w:val="00181DD8"/>
    <w:rsid w:val="00182301"/>
    <w:rsid w:val="001826FE"/>
    <w:rsid w:val="00183233"/>
    <w:rsid w:val="001833D2"/>
    <w:rsid w:val="00183704"/>
    <w:rsid w:val="001841CE"/>
    <w:rsid w:val="00184D60"/>
    <w:rsid w:val="00187E32"/>
    <w:rsid w:val="00190C7A"/>
    <w:rsid w:val="0019102E"/>
    <w:rsid w:val="0019288D"/>
    <w:rsid w:val="001928EE"/>
    <w:rsid w:val="0019634C"/>
    <w:rsid w:val="001A1A82"/>
    <w:rsid w:val="001A22B0"/>
    <w:rsid w:val="001A3C6D"/>
    <w:rsid w:val="001A40A3"/>
    <w:rsid w:val="001A6E01"/>
    <w:rsid w:val="001B142A"/>
    <w:rsid w:val="001B15E4"/>
    <w:rsid w:val="001B1C42"/>
    <w:rsid w:val="001B60C9"/>
    <w:rsid w:val="001B695D"/>
    <w:rsid w:val="001B696A"/>
    <w:rsid w:val="001B7ABC"/>
    <w:rsid w:val="001C011F"/>
    <w:rsid w:val="001C099F"/>
    <w:rsid w:val="001C15AD"/>
    <w:rsid w:val="001C18A4"/>
    <w:rsid w:val="001C2EA7"/>
    <w:rsid w:val="001C36A0"/>
    <w:rsid w:val="001C55E2"/>
    <w:rsid w:val="001C56E2"/>
    <w:rsid w:val="001C611B"/>
    <w:rsid w:val="001C7526"/>
    <w:rsid w:val="001D001D"/>
    <w:rsid w:val="001D11D3"/>
    <w:rsid w:val="001D21C0"/>
    <w:rsid w:val="001D23C8"/>
    <w:rsid w:val="001D7183"/>
    <w:rsid w:val="001D7689"/>
    <w:rsid w:val="001E1007"/>
    <w:rsid w:val="001E1CD7"/>
    <w:rsid w:val="001E1ED6"/>
    <w:rsid w:val="001E1F37"/>
    <w:rsid w:val="001E2EB0"/>
    <w:rsid w:val="001E39A7"/>
    <w:rsid w:val="001E7990"/>
    <w:rsid w:val="001F198A"/>
    <w:rsid w:val="001F2041"/>
    <w:rsid w:val="001F2D2C"/>
    <w:rsid w:val="001F31A4"/>
    <w:rsid w:val="001F537D"/>
    <w:rsid w:val="001F5A8F"/>
    <w:rsid w:val="001F73F4"/>
    <w:rsid w:val="00201499"/>
    <w:rsid w:val="00201717"/>
    <w:rsid w:val="00201D85"/>
    <w:rsid w:val="00203BFA"/>
    <w:rsid w:val="0020458F"/>
    <w:rsid w:val="00205924"/>
    <w:rsid w:val="0020599C"/>
    <w:rsid w:val="00205C38"/>
    <w:rsid w:val="00206C93"/>
    <w:rsid w:val="002076D8"/>
    <w:rsid w:val="00213610"/>
    <w:rsid w:val="00213E5A"/>
    <w:rsid w:val="0021577D"/>
    <w:rsid w:val="00216079"/>
    <w:rsid w:val="002167C7"/>
    <w:rsid w:val="00217216"/>
    <w:rsid w:val="00217CBB"/>
    <w:rsid w:val="00222E6B"/>
    <w:rsid w:val="00224351"/>
    <w:rsid w:val="002251BF"/>
    <w:rsid w:val="0022701A"/>
    <w:rsid w:val="002271EE"/>
    <w:rsid w:val="00227E51"/>
    <w:rsid w:val="002306F2"/>
    <w:rsid w:val="002315A9"/>
    <w:rsid w:val="0023189B"/>
    <w:rsid w:val="0023197A"/>
    <w:rsid w:val="00231AA6"/>
    <w:rsid w:val="002348CD"/>
    <w:rsid w:val="002359D5"/>
    <w:rsid w:val="00236205"/>
    <w:rsid w:val="00240088"/>
    <w:rsid w:val="00240DDD"/>
    <w:rsid w:val="00240E2F"/>
    <w:rsid w:val="00241E0D"/>
    <w:rsid w:val="0024281D"/>
    <w:rsid w:val="00242A38"/>
    <w:rsid w:val="00244573"/>
    <w:rsid w:val="00245571"/>
    <w:rsid w:val="0024561D"/>
    <w:rsid w:val="00245860"/>
    <w:rsid w:val="00250AEF"/>
    <w:rsid w:val="00251B44"/>
    <w:rsid w:val="00252CB4"/>
    <w:rsid w:val="002569FE"/>
    <w:rsid w:val="0025786F"/>
    <w:rsid w:val="00257BBB"/>
    <w:rsid w:val="00261392"/>
    <w:rsid w:val="00261CEC"/>
    <w:rsid w:val="00263542"/>
    <w:rsid w:val="00263D65"/>
    <w:rsid w:val="002646A3"/>
    <w:rsid w:val="00264CB9"/>
    <w:rsid w:val="002657F8"/>
    <w:rsid w:val="00265A0E"/>
    <w:rsid w:val="00266249"/>
    <w:rsid w:val="00266DC0"/>
    <w:rsid w:val="00270694"/>
    <w:rsid w:val="00271E24"/>
    <w:rsid w:val="0027471A"/>
    <w:rsid w:val="0027666B"/>
    <w:rsid w:val="00277645"/>
    <w:rsid w:val="00277740"/>
    <w:rsid w:val="00283154"/>
    <w:rsid w:val="00284586"/>
    <w:rsid w:val="00284711"/>
    <w:rsid w:val="00284BB6"/>
    <w:rsid w:val="0028632E"/>
    <w:rsid w:val="00287C99"/>
    <w:rsid w:val="00287F85"/>
    <w:rsid w:val="002907D6"/>
    <w:rsid w:val="0029230F"/>
    <w:rsid w:val="0029342B"/>
    <w:rsid w:val="00293C30"/>
    <w:rsid w:val="00294018"/>
    <w:rsid w:val="00294184"/>
    <w:rsid w:val="00295B43"/>
    <w:rsid w:val="00296037"/>
    <w:rsid w:val="002A3231"/>
    <w:rsid w:val="002A57F8"/>
    <w:rsid w:val="002A58B6"/>
    <w:rsid w:val="002A6C22"/>
    <w:rsid w:val="002B1364"/>
    <w:rsid w:val="002B1A2C"/>
    <w:rsid w:val="002B26E0"/>
    <w:rsid w:val="002B4D94"/>
    <w:rsid w:val="002B684D"/>
    <w:rsid w:val="002B69B5"/>
    <w:rsid w:val="002B6C28"/>
    <w:rsid w:val="002C04C6"/>
    <w:rsid w:val="002C3021"/>
    <w:rsid w:val="002C46DF"/>
    <w:rsid w:val="002C4EB3"/>
    <w:rsid w:val="002D0777"/>
    <w:rsid w:val="002D1042"/>
    <w:rsid w:val="002D19BF"/>
    <w:rsid w:val="002D2742"/>
    <w:rsid w:val="002D2E85"/>
    <w:rsid w:val="002D4EE8"/>
    <w:rsid w:val="002D55E0"/>
    <w:rsid w:val="002E1B44"/>
    <w:rsid w:val="002E1C8E"/>
    <w:rsid w:val="002E4322"/>
    <w:rsid w:val="002E63F2"/>
    <w:rsid w:val="002E6DCA"/>
    <w:rsid w:val="002E74A4"/>
    <w:rsid w:val="002E790A"/>
    <w:rsid w:val="002E7F70"/>
    <w:rsid w:val="002F044D"/>
    <w:rsid w:val="002F328A"/>
    <w:rsid w:val="002F51F2"/>
    <w:rsid w:val="00300D83"/>
    <w:rsid w:val="00303A2C"/>
    <w:rsid w:val="0030585B"/>
    <w:rsid w:val="00306E0C"/>
    <w:rsid w:val="00307C6E"/>
    <w:rsid w:val="0031188B"/>
    <w:rsid w:val="003122D6"/>
    <w:rsid w:val="00313089"/>
    <w:rsid w:val="00313267"/>
    <w:rsid w:val="0031435B"/>
    <w:rsid w:val="003151C5"/>
    <w:rsid w:val="00316369"/>
    <w:rsid w:val="0031755E"/>
    <w:rsid w:val="0032183E"/>
    <w:rsid w:val="00322E78"/>
    <w:rsid w:val="00323D4D"/>
    <w:rsid w:val="003247F1"/>
    <w:rsid w:val="0032541F"/>
    <w:rsid w:val="00326849"/>
    <w:rsid w:val="00327553"/>
    <w:rsid w:val="00331DE4"/>
    <w:rsid w:val="00333440"/>
    <w:rsid w:val="00334356"/>
    <w:rsid w:val="00334692"/>
    <w:rsid w:val="0033603C"/>
    <w:rsid w:val="00341D8A"/>
    <w:rsid w:val="0034422D"/>
    <w:rsid w:val="003453FA"/>
    <w:rsid w:val="003463DC"/>
    <w:rsid w:val="0034780C"/>
    <w:rsid w:val="00347991"/>
    <w:rsid w:val="00351AD9"/>
    <w:rsid w:val="00351F66"/>
    <w:rsid w:val="00351FB3"/>
    <w:rsid w:val="00352529"/>
    <w:rsid w:val="00352BA5"/>
    <w:rsid w:val="00352D05"/>
    <w:rsid w:val="003540E3"/>
    <w:rsid w:val="00354525"/>
    <w:rsid w:val="003566B1"/>
    <w:rsid w:val="003572B7"/>
    <w:rsid w:val="003577B2"/>
    <w:rsid w:val="00360794"/>
    <w:rsid w:val="00364493"/>
    <w:rsid w:val="003647A6"/>
    <w:rsid w:val="00364AD3"/>
    <w:rsid w:val="00366152"/>
    <w:rsid w:val="00366460"/>
    <w:rsid w:val="00366806"/>
    <w:rsid w:val="00366D54"/>
    <w:rsid w:val="00370011"/>
    <w:rsid w:val="0037009C"/>
    <w:rsid w:val="003701F4"/>
    <w:rsid w:val="00370419"/>
    <w:rsid w:val="00370B6B"/>
    <w:rsid w:val="00372B3C"/>
    <w:rsid w:val="00373A46"/>
    <w:rsid w:val="00374021"/>
    <w:rsid w:val="003741C3"/>
    <w:rsid w:val="00375837"/>
    <w:rsid w:val="00375D10"/>
    <w:rsid w:val="00376050"/>
    <w:rsid w:val="003802B0"/>
    <w:rsid w:val="00380575"/>
    <w:rsid w:val="003808AE"/>
    <w:rsid w:val="003832CD"/>
    <w:rsid w:val="003854E8"/>
    <w:rsid w:val="003855C6"/>
    <w:rsid w:val="00386AAC"/>
    <w:rsid w:val="00386D70"/>
    <w:rsid w:val="00390AD9"/>
    <w:rsid w:val="003917B2"/>
    <w:rsid w:val="00391ED3"/>
    <w:rsid w:val="00392155"/>
    <w:rsid w:val="00393F8C"/>
    <w:rsid w:val="0039401C"/>
    <w:rsid w:val="00397036"/>
    <w:rsid w:val="003A292F"/>
    <w:rsid w:val="003A2A9B"/>
    <w:rsid w:val="003B1263"/>
    <w:rsid w:val="003B3725"/>
    <w:rsid w:val="003B4818"/>
    <w:rsid w:val="003B4D27"/>
    <w:rsid w:val="003B5FE9"/>
    <w:rsid w:val="003B6C5F"/>
    <w:rsid w:val="003C317A"/>
    <w:rsid w:val="003C3652"/>
    <w:rsid w:val="003C36BB"/>
    <w:rsid w:val="003C3779"/>
    <w:rsid w:val="003C462D"/>
    <w:rsid w:val="003C4664"/>
    <w:rsid w:val="003C5511"/>
    <w:rsid w:val="003C5DDD"/>
    <w:rsid w:val="003C6B2D"/>
    <w:rsid w:val="003C6B58"/>
    <w:rsid w:val="003C6CE5"/>
    <w:rsid w:val="003C6D83"/>
    <w:rsid w:val="003C6E41"/>
    <w:rsid w:val="003D0B77"/>
    <w:rsid w:val="003D0F9F"/>
    <w:rsid w:val="003D1676"/>
    <w:rsid w:val="003D3480"/>
    <w:rsid w:val="003D39DA"/>
    <w:rsid w:val="003D4E2D"/>
    <w:rsid w:val="003D62E2"/>
    <w:rsid w:val="003D6F4F"/>
    <w:rsid w:val="003D75BB"/>
    <w:rsid w:val="003D7B91"/>
    <w:rsid w:val="003E14E8"/>
    <w:rsid w:val="003E1948"/>
    <w:rsid w:val="003E275A"/>
    <w:rsid w:val="003E427F"/>
    <w:rsid w:val="003E4523"/>
    <w:rsid w:val="003E4BF2"/>
    <w:rsid w:val="003E572A"/>
    <w:rsid w:val="003E6DD2"/>
    <w:rsid w:val="003E6E94"/>
    <w:rsid w:val="003E7308"/>
    <w:rsid w:val="003F065C"/>
    <w:rsid w:val="003F39FE"/>
    <w:rsid w:val="003F3BAF"/>
    <w:rsid w:val="003F41D0"/>
    <w:rsid w:val="003F67C4"/>
    <w:rsid w:val="003F731D"/>
    <w:rsid w:val="004001F3"/>
    <w:rsid w:val="004004DF"/>
    <w:rsid w:val="004015BD"/>
    <w:rsid w:val="00404442"/>
    <w:rsid w:val="00404F05"/>
    <w:rsid w:val="00406BB6"/>
    <w:rsid w:val="00407245"/>
    <w:rsid w:val="004073CB"/>
    <w:rsid w:val="00407BF8"/>
    <w:rsid w:val="00411020"/>
    <w:rsid w:val="00411718"/>
    <w:rsid w:val="004118DA"/>
    <w:rsid w:val="00411BD5"/>
    <w:rsid w:val="004138D3"/>
    <w:rsid w:val="004149DC"/>
    <w:rsid w:val="00414CBC"/>
    <w:rsid w:val="00414E16"/>
    <w:rsid w:val="00416D14"/>
    <w:rsid w:val="00422119"/>
    <w:rsid w:val="00422547"/>
    <w:rsid w:val="004253F1"/>
    <w:rsid w:val="0042696E"/>
    <w:rsid w:val="00427C9E"/>
    <w:rsid w:val="0043120D"/>
    <w:rsid w:val="004318BA"/>
    <w:rsid w:val="00432FF5"/>
    <w:rsid w:val="004345A9"/>
    <w:rsid w:val="004345CC"/>
    <w:rsid w:val="00434689"/>
    <w:rsid w:val="00434E11"/>
    <w:rsid w:val="0043520B"/>
    <w:rsid w:val="00435B9D"/>
    <w:rsid w:val="00436899"/>
    <w:rsid w:val="004415A1"/>
    <w:rsid w:val="0044209C"/>
    <w:rsid w:val="004431C4"/>
    <w:rsid w:val="004450F6"/>
    <w:rsid w:val="00446A41"/>
    <w:rsid w:val="00450490"/>
    <w:rsid w:val="0045117E"/>
    <w:rsid w:val="004513DE"/>
    <w:rsid w:val="004517F7"/>
    <w:rsid w:val="00452980"/>
    <w:rsid w:val="00454A0A"/>
    <w:rsid w:val="004567D1"/>
    <w:rsid w:val="00456A42"/>
    <w:rsid w:val="00457809"/>
    <w:rsid w:val="00457A03"/>
    <w:rsid w:val="00457E01"/>
    <w:rsid w:val="004603F6"/>
    <w:rsid w:val="00460CC9"/>
    <w:rsid w:val="00461ED0"/>
    <w:rsid w:val="00462031"/>
    <w:rsid w:val="004627DA"/>
    <w:rsid w:val="00463491"/>
    <w:rsid w:val="00463B9D"/>
    <w:rsid w:val="00463E8B"/>
    <w:rsid w:val="004641F0"/>
    <w:rsid w:val="004653E4"/>
    <w:rsid w:val="00465B08"/>
    <w:rsid w:val="0046689D"/>
    <w:rsid w:val="00467056"/>
    <w:rsid w:val="00470814"/>
    <w:rsid w:val="00471A55"/>
    <w:rsid w:val="00471F69"/>
    <w:rsid w:val="004734D8"/>
    <w:rsid w:val="00473E9D"/>
    <w:rsid w:val="00474EF8"/>
    <w:rsid w:val="0047527E"/>
    <w:rsid w:val="00475396"/>
    <w:rsid w:val="00477252"/>
    <w:rsid w:val="00477CF5"/>
    <w:rsid w:val="0048136B"/>
    <w:rsid w:val="004815DC"/>
    <w:rsid w:val="00481D94"/>
    <w:rsid w:val="0048233F"/>
    <w:rsid w:val="00483058"/>
    <w:rsid w:val="004834C1"/>
    <w:rsid w:val="00484A06"/>
    <w:rsid w:val="00484DB1"/>
    <w:rsid w:val="00484F79"/>
    <w:rsid w:val="0048620C"/>
    <w:rsid w:val="004875E5"/>
    <w:rsid w:val="00487737"/>
    <w:rsid w:val="0049249B"/>
    <w:rsid w:val="0049271C"/>
    <w:rsid w:val="00494595"/>
    <w:rsid w:val="00497BAF"/>
    <w:rsid w:val="004A2CD5"/>
    <w:rsid w:val="004A570E"/>
    <w:rsid w:val="004A6213"/>
    <w:rsid w:val="004A6DAD"/>
    <w:rsid w:val="004A7F30"/>
    <w:rsid w:val="004B0033"/>
    <w:rsid w:val="004B00DC"/>
    <w:rsid w:val="004B0663"/>
    <w:rsid w:val="004B1202"/>
    <w:rsid w:val="004B1563"/>
    <w:rsid w:val="004B2119"/>
    <w:rsid w:val="004B2CD2"/>
    <w:rsid w:val="004B3682"/>
    <w:rsid w:val="004B36FE"/>
    <w:rsid w:val="004B3E81"/>
    <w:rsid w:val="004B50DD"/>
    <w:rsid w:val="004B656A"/>
    <w:rsid w:val="004B774A"/>
    <w:rsid w:val="004B7CC8"/>
    <w:rsid w:val="004C04C9"/>
    <w:rsid w:val="004C0927"/>
    <w:rsid w:val="004C0B24"/>
    <w:rsid w:val="004C0ECA"/>
    <w:rsid w:val="004C19CC"/>
    <w:rsid w:val="004C2137"/>
    <w:rsid w:val="004C2839"/>
    <w:rsid w:val="004C2E87"/>
    <w:rsid w:val="004C46E9"/>
    <w:rsid w:val="004C4BE7"/>
    <w:rsid w:val="004C5879"/>
    <w:rsid w:val="004C59EC"/>
    <w:rsid w:val="004C6B61"/>
    <w:rsid w:val="004D021D"/>
    <w:rsid w:val="004D089B"/>
    <w:rsid w:val="004D0B35"/>
    <w:rsid w:val="004D1CE2"/>
    <w:rsid w:val="004D3916"/>
    <w:rsid w:val="004D3EFA"/>
    <w:rsid w:val="004D45FC"/>
    <w:rsid w:val="004D5443"/>
    <w:rsid w:val="004D681C"/>
    <w:rsid w:val="004D7100"/>
    <w:rsid w:val="004D7578"/>
    <w:rsid w:val="004E44B0"/>
    <w:rsid w:val="004E5771"/>
    <w:rsid w:val="004E69A7"/>
    <w:rsid w:val="004E7E40"/>
    <w:rsid w:val="004F0974"/>
    <w:rsid w:val="004F0E42"/>
    <w:rsid w:val="004F1223"/>
    <w:rsid w:val="004F1E73"/>
    <w:rsid w:val="004F2638"/>
    <w:rsid w:val="004F36A1"/>
    <w:rsid w:val="004F3D9E"/>
    <w:rsid w:val="004F637B"/>
    <w:rsid w:val="00500196"/>
    <w:rsid w:val="00501827"/>
    <w:rsid w:val="00502777"/>
    <w:rsid w:val="005028D4"/>
    <w:rsid w:val="005039AB"/>
    <w:rsid w:val="0050481E"/>
    <w:rsid w:val="00506016"/>
    <w:rsid w:val="005065CA"/>
    <w:rsid w:val="00506A20"/>
    <w:rsid w:val="00506B99"/>
    <w:rsid w:val="00507490"/>
    <w:rsid w:val="00507A46"/>
    <w:rsid w:val="00507DDA"/>
    <w:rsid w:val="005104A6"/>
    <w:rsid w:val="005106F3"/>
    <w:rsid w:val="00510AD1"/>
    <w:rsid w:val="005113C1"/>
    <w:rsid w:val="00512EA5"/>
    <w:rsid w:val="005157B8"/>
    <w:rsid w:val="00515C0B"/>
    <w:rsid w:val="00520498"/>
    <w:rsid w:val="00520CF7"/>
    <w:rsid w:val="005243A1"/>
    <w:rsid w:val="005246DF"/>
    <w:rsid w:val="005267B6"/>
    <w:rsid w:val="00526950"/>
    <w:rsid w:val="00527BB4"/>
    <w:rsid w:val="00527D47"/>
    <w:rsid w:val="005306B5"/>
    <w:rsid w:val="00530932"/>
    <w:rsid w:val="0053118A"/>
    <w:rsid w:val="005368B2"/>
    <w:rsid w:val="00537357"/>
    <w:rsid w:val="00540E40"/>
    <w:rsid w:val="00543CDC"/>
    <w:rsid w:val="00545A25"/>
    <w:rsid w:val="00546AD4"/>
    <w:rsid w:val="00546C0C"/>
    <w:rsid w:val="00547002"/>
    <w:rsid w:val="00550E60"/>
    <w:rsid w:val="005518EB"/>
    <w:rsid w:val="00551F4B"/>
    <w:rsid w:val="0055264E"/>
    <w:rsid w:val="00552693"/>
    <w:rsid w:val="005529BF"/>
    <w:rsid w:val="00552F9D"/>
    <w:rsid w:val="00555671"/>
    <w:rsid w:val="00555816"/>
    <w:rsid w:val="00556A2E"/>
    <w:rsid w:val="00556C95"/>
    <w:rsid w:val="00557062"/>
    <w:rsid w:val="00560959"/>
    <w:rsid w:val="0056161D"/>
    <w:rsid w:val="00562230"/>
    <w:rsid w:val="00566EA4"/>
    <w:rsid w:val="00567243"/>
    <w:rsid w:val="0057084A"/>
    <w:rsid w:val="00571125"/>
    <w:rsid w:val="00571235"/>
    <w:rsid w:val="0057461B"/>
    <w:rsid w:val="00574D7E"/>
    <w:rsid w:val="00574DF1"/>
    <w:rsid w:val="0057597D"/>
    <w:rsid w:val="00576C2E"/>
    <w:rsid w:val="0058002B"/>
    <w:rsid w:val="00580F0D"/>
    <w:rsid w:val="00581861"/>
    <w:rsid w:val="005818A3"/>
    <w:rsid w:val="00581C74"/>
    <w:rsid w:val="00581E84"/>
    <w:rsid w:val="0058237C"/>
    <w:rsid w:val="0058269A"/>
    <w:rsid w:val="005834ED"/>
    <w:rsid w:val="00583752"/>
    <w:rsid w:val="0058387D"/>
    <w:rsid w:val="005842EC"/>
    <w:rsid w:val="0058590F"/>
    <w:rsid w:val="00586D43"/>
    <w:rsid w:val="005932E1"/>
    <w:rsid w:val="005939B1"/>
    <w:rsid w:val="00593E7A"/>
    <w:rsid w:val="005956CD"/>
    <w:rsid w:val="005A05A6"/>
    <w:rsid w:val="005A1441"/>
    <w:rsid w:val="005A1BF8"/>
    <w:rsid w:val="005A1DA6"/>
    <w:rsid w:val="005A289B"/>
    <w:rsid w:val="005A53D8"/>
    <w:rsid w:val="005A6BFC"/>
    <w:rsid w:val="005B07D9"/>
    <w:rsid w:val="005B0CA3"/>
    <w:rsid w:val="005B0FEE"/>
    <w:rsid w:val="005B1617"/>
    <w:rsid w:val="005B241C"/>
    <w:rsid w:val="005B39E1"/>
    <w:rsid w:val="005B4080"/>
    <w:rsid w:val="005B4B6F"/>
    <w:rsid w:val="005B4EFD"/>
    <w:rsid w:val="005B7C1B"/>
    <w:rsid w:val="005C1248"/>
    <w:rsid w:val="005C1DF8"/>
    <w:rsid w:val="005C2070"/>
    <w:rsid w:val="005C2AF4"/>
    <w:rsid w:val="005C4250"/>
    <w:rsid w:val="005C4E7A"/>
    <w:rsid w:val="005C5E83"/>
    <w:rsid w:val="005C5EF2"/>
    <w:rsid w:val="005C6512"/>
    <w:rsid w:val="005C7193"/>
    <w:rsid w:val="005C7678"/>
    <w:rsid w:val="005D014F"/>
    <w:rsid w:val="005D040D"/>
    <w:rsid w:val="005D4D07"/>
    <w:rsid w:val="005D5819"/>
    <w:rsid w:val="005D5831"/>
    <w:rsid w:val="005D6D5F"/>
    <w:rsid w:val="005E0276"/>
    <w:rsid w:val="005E033C"/>
    <w:rsid w:val="005E1ACC"/>
    <w:rsid w:val="005E33A6"/>
    <w:rsid w:val="005E3E71"/>
    <w:rsid w:val="005E50CA"/>
    <w:rsid w:val="005E5A09"/>
    <w:rsid w:val="005E6128"/>
    <w:rsid w:val="005E74CA"/>
    <w:rsid w:val="005E763D"/>
    <w:rsid w:val="005E7E85"/>
    <w:rsid w:val="005F1936"/>
    <w:rsid w:val="005F24CA"/>
    <w:rsid w:val="005F2C8F"/>
    <w:rsid w:val="005F3C56"/>
    <w:rsid w:val="005F77B9"/>
    <w:rsid w:val="005F77D5"/>
    <w:rsid w:val="005F7F78"/>
    <w:rsid w:val="006000A5"/>
    <w:rsid w:val="00602081"/>
    <w:rsid w:val="00602CE2"/>
    <w:rsid w:val="00604DFA"/>
    <w:rsid w:val="00605C1B"/>
    <w:rsid w:val="00607999"/>
    <w:rsid w:val="00607C41"/>
    <w:rsid w:val="00610174"/>
    <w:rsid w:val="00610B0D"/>
    <w:rsid w:val="00611E34"/>
    <w:rsid w:val="00613656"/>
    <w:rsid w:val="006138B0"/>
    <w:rsid w:val="0061558C"/>
    <w:rsid w:val="006167FA"/>
    <w:rsid w:val="00617B2D"/>
    <w:rsid w:val="0062031D"/>
    <w:rsid w:val="00621236"/>
    <w:rsid w:val="0062220C"/>
    <w:rsid w:val="006237F4"/>
    <w:rsid w:val="00624198"/>
    <w:rsid w:val="006272E6"/>
    <w:rsid w:val="006279AE"/>
    <w:rsid w:val="00630BF5"/>
    <w:rsid w:val="0063364B"/>
    <w:rsid w:val="00635AB4"/>
    <w:rsid w:val="00635AC7"/>
    <w:rsid w:val="00640576"/>
    <w:rsid w:val="0064171C"/>
    <w:rsid w:val="006418D5"/>
    <w:rsid w:val="00643398"/>
    <w:rsid w:val="00644DA6"/>
    <w:rsid w:val="0064504C"/>
    <w:rsid w:val="00645A53"/>
    <w:rsid w:val="00646529"/>
    <w:rsid w:val="00646797"/>
    <w:rsid w:val="006500A4"/>
    <w:rsid w:val="0065185E"/>
    <w:rsid w:val="006525F0"/>
    <w:rsid w:val="00652927"/>
    <w:rsid w:val="00652A29"/>
    <w:rsid w:val="00652DBD"/>
    <w:rsid w:val="00654269"/>
    <w:rsid w:val="0065652F"/>
    <w:rsid w:val="00660096"/>
    <w:rsid w:val="00662048"/>
    <w:rsid w:val="00662EFD"/>
    <w:rsid w:val="006631CC"/>
    <w:rsid w:val="00663D3D"/>
    <w:rsid w:val="00663E9C"/>
    <w:rsid w:val="00663EEC"/>
    <w:rsid w:val="006657A1"/>
    <w:rsid w:val="00667E65"/>
    <w:rsid w:val="00672403"/>
    <w:rsid w:val="00673D0E"/>
    <w:rsid w:val="0067599E"/>
    <w:rsid w:val="006815BF"/>
    <w:rsid w:val="00681B41"/>
    <w:rsid w:val="00681C07"/>
    <w:rsid w:val="00681F76"/>
    <w:rsid w:val="006824AB"/>
    <w:rsid w:val="006835E8"/>
    <w:rsid w:val="00683E5D"/>
    <w:rsid w:val="00684C3E"/>
    <w:rsid w:val="00686C34"/>
    <w:rsid w:val="00687242"/>
    <w:rsid w:val="006876D6"/>
    <w:rsid w:val="00687C33"/>
    <w:rsid w:val="00687D0B"/>
    <w:rsid w:val="00690438"/>
    <w:rsid w:val="006907FD"/>
    <w:rsid w:val="00691F2B"/>
    <w:rsid w:val="00692D4A"/>
    <w:rsid w:val="00694551"/>
    <w:rsid w:val="00695288"/>
    <w:rsid w:val="00696AC4"/>
    <w:rsid w:val="006A11E7"/>
    <w:rsid w:val="006A127F"/>
    <w:rsid w:val="006A17AA"/>
    <w:rsid w:val="006A1A61"/>
    <w:rsid w:val="006A36E5"/>
    <w:rsid w:val="006A4340"/>
    <w:rsid w:val="006A4E2B"/>
    <w:rsid w:val="006A7BDD"/>
    <w:rsid w:val="006B1C97"/>
    <w:rsid w:val="006B20AD"/>
    <w:rsid w:val="006B2CC2"/>
    <w:rsid w:val="006B39C1"/>
    <w:rsid w:val="006B52ED"/>
    <w:rsid w:val="006B59BB"/>
    <w:rsid w:val="006B5BCE"/>
    <w:rsid w:val="006B5D50"/>
    <w:rsid w:val="006C024C"/>
    <w:rsid w:val="006C1993"/>
    <w:rsid w:val="006C2077"/>
    <w:rsid w:val="006C2B70"/>
    <w:rsid w:val="006C2DB4"/>
    <w:rsid w:val="006C3D24"/>
    <w:rsid w:val="006C5344"/>
    <w:rsid w:val="006D1C0D"/>
    <w:rsid w:val="006D1E53"/>
    <w:rsid w:val="006D2B2F"/>
    <w:rsid w:val="006D301B"/>
    <w:rsid w:val="006D4734"/>
    <w:rsid w:val="006D6FA3"/>
    <w:rsid w:val="006E2763"/>
    <w:rsid w:val="006E2A00"/>
    <w:rsid w:val="006E3C09"/>
    <w:rsid w:val="006E6957"/>
    <w:rsid w:val="006F08A9"/>
    <w:rsid w:val="006F0AA6"/>
    <w:rsid w:val="006F0BF0"/>
    <w:rsid w:val="006F1142"/>
    <w:rsid w:val="006F145B"/>
    <w:rsid w:val="006F346C"/>
    <w:rsid w:val="006F39F7"/>
    <w:rsid w:val="006F48DE"/>
    <w:rsid w:val="006F6FCF"/>
    <w:rsid w:val="007007BB"/>
    <w:rsid w:val="007013F0"/>
    <w:rsid w:val="007019B5"/>
    <w:rsid w:val="00702DFA"/>
    <w:rsid w:val="00703117"/>
    <w:rsid w:val="00704AF9"/>
    <w:rsid w:val="0070583E"/>
    <w:rsid w:val="00711192"/>
    <w:rsid w:val="00711EE6"/>
    <w:rsid w:val="00712C2C"/>
    <w:rsid w:val="0071310D"/>
    <w:rsid w:val="00716918"/>
    <w:rsid w:val="0071704D"/>
    <w:rsid w:val="00717744"/>
    <w:rsid w:val="00717873"/>
    <w:rsid w:val="00721CA0"/>
    <w:rsid w:val="007229F9"/>
    <w:rsid w:val="00723AD0"/>
    <w:rsid w:val="00723EB7"/>
    <w:rsid w:val="0072469A"/>
    <w:rsid w:val="007257D6"/>
    <w:rsid w:val="00725AEA"/>
    <w:rsid w:val="007276BF"/>
    <w:rsid w:val="00731066"/>
    <w:rsid w:val="00731206"/>
    <w:rsid w:val="00732C48"/>
    <w:rsid w:val="00733A23"/>
    <w:rsid w:val="00734B8C"/>
    <w:rsid w:val="00735322"/>
    <w:rsid w:val="007353F4"/>
    <w:rsid w:val="00736A52"/>
    <w:rsid w:val="00736D7C"/>
    <w:rsid w:val="007370C1"/>
    <w:rsid w:val="00737465"/>
    <w:rsid w:val="0074259E"/>
    <w:rsid w:val="007444F1"/>
    <w:rsid w:val="007448BB"/>
    <w:rsid w:val="007448F0"/>
    <w:rsid w:val="00745CB8"/>
    <w:rsid w:val="00746ABE"/>
    <w:rsid w:val="007472C0"/>
    <w:rsid w:val="00747727"/>
    <w:rsid w:val="007500A2"/>
    <w:rsid w:val="00750B3F"/>
    <w:rsid w:val="00752CA1"/>
    <w:rsid w:val="00755B98"/>
    <w:rsid w:val="007563A5"/>
    <w:rsid w:val="00756C4D"/>
    <w:rsid w:val="00756D88"/>
    <w:rsid w:val="00757B15"/>
    <w:rsid w:val="00757B1E"/>
    <w:rsid w:val="00762481"/>
    <w:rsid w:val="00762835"/>
    <w:rsid w:val="00763D6E"/>
    <w:rsid w:val="00764CD6"/>
    <w:rsid w:val="00764F81"/>
    <w:rsid w:val="0076740E"/>
    <w:rsid w:val="00767523"/>
    <w:rsid w:val="00767549"/>
    <w:rsid w:val="00770354"/>
    <w:rsid w:val="00771943"/>
    <w:rsid w:val="00773FE0"/>
    <w:rsid w:val="007744C5"/>
    <w:rsid w:val="00776F94"/>
    <w:rsid w:val="00782775"/>
    <w:rsid w:val="007831C0"/>
    <w:rsid w:val="00784672"/>
    <w:rsid w:val="0078603D"/>
    <w:rsid w:val="0078752F"/>
    <w:rsid w:val="0079074E"/>
    <w:rsid w:val="00793CDE"/>
    <w:rsid w:val="00793FAC"/>
    <w:rsid w:val="0079498E"/>
    <w:rsid w:val="00794A4C"/>
    <w:rsid w:val="00795329"/>
    <w:rsid w:val="00796174"/>
    <w:rsid w:val="00796AF7"/>
    <w:rsid w:val="007A1A2A"/>
    <w:rsid w:val="007A2D43"/>
    <w:rsid w:val="007A357F"/>
    <w:rsid w:val="007A491F"/>
    <w:rsid w:val="007A4AF2"/>
    <w:rsid w:val="007A63DA"/>
    <w:rsid w:val="007A662A"/>
    <w:rsid w:val="007A69DC"/>
    <w:rsid w:val="007A6A56"/>
    <w:rsid w:val="007A6D67"/>
    <w:rsid w:val="007A73C4"/>
    <w:rsid w:val="007B0D90"/>
    <w:rsid w:val="007B1287"/>
    <w:rsid w:val="007B2509"/>
    <w:rsid w:val="007B29E7"/>
    <w:rsid w:val="007B461F"/>
    <w:rsid w:val="007B6897"/>
    <w:rsid w:val="007C07E8"/>
    <w:rsid w:val="007C14F5"/>
    <w:rsid w:val="007C2F97"/>
    <w:rsid w:val="007C3ACA"/>
    <w:rsid w:val="007C4682"/>
    <w:rsid w:val="007C4DA5"/>
    <w:rsid w:val="007C5414"/>
    <w:rsid w:val="007C547D"/>
    <w:rsid w:val="007C5E67"/>
    <w:rsid w:val="007C7ECF"/>
    <w:rsid w:val="007D12BC"/>
    <w:rsid w:val="007D4C5C"/>
    <w:rsid w:val="007D5C5C"/>
    <w:rsid w:val="007D5ECF"/>
    <w:rsid w:val="007E0057"/>
    <w:rsid w:val="007E08C4"/>
    <w:rsid w:val="007E08E5"/>
    <w:rsid w:val="007E1D36"/>
    <w:rsid w:val="007E1EFE"/>
    <w:rsid w:val="007E2FDC"/>
    <w:rsid w:val="007E350A"/>
    <w:rsid w:val="007E3FB5"/>
    <w:rsid w:val="007E415E"/>
    <w:rsid w:val="007E5B6C"/>
    <w:rsid w:val="007E6E77"/>
    <w:rsid w:val="007F0FBE"/>
    <w:rsid w:val="007F2E59"/>
    <w:rsid w:val="007F4452"/>
    <w:rsid w:val="007F5CAC"/>
    <w:rsid w:val="007F77A9"/>
    <w:rsid w:val="007F7C2C"/>
    <w:rsid w:val="00800339"/>
    <w:rsid w:val="008003A6"/>
    <w:rsid w:val="00800997"/>
    <w:rsid w:val="008026AE"/>
    <w:rsid w:val="00802C2C"/>
    <w:rsid w:val="00802EBE"/>
    <w:rsid w:val="00802FBA"/>
    <w:rsid w:val="00804554"/>
    <w:rsid w:val="00804CB6"/>
    <w:rsid w:val="00805076"/>
    <w:rsid w:val="00805206"/>
    <w:rsid w:val="00806614"/>
    <w:rsid w:val="0080714E"/>
    <w:rsid w:val="00807BB4"/>
    <w:rsid w:val="00810DAF"/>
    <w:rsid w:val="00811BF9"/>
    <w:rsid w:val="008126BB"/>
    <w:rsid w:val="00812C75"/>
    <w:rsid w:val="0081390D"/>
    <w:rsid w:val="00815592"/>
    <w:rsid w:val="008179F5"/>
    <w:rsid w:val="0082019D"/>
    <w:rsid w:val="00822741"/>
    <w:rsid w:val="0082291F"/>
    <w:rsid w:val="008236E9"/>
    <w:rsid w:val="00823724"/>
    <w:rsid w:val="00825CD5"/>
    <w:rsid w:val="00826F53"/>
    <w:rsid w:val="0082718D"/>
    <w:rsid w:val="00827A9B"/>
    <w:rsid w:val="00827C91"/>
    <w:rsid w:val="008306CC"/>
    <w:rsid w:val="0083174E"/>
    <w:rsid w:val="00832CD8"/>
    <w:rsid w:val="00833315"/>
    <w:rsid w:val="00833A83"/>
    <w:rsid w:val="00833A9A"/>
    <w:rsid w:val="00833B54"/>
    <w:rsid w:val="00833F60"/>
    <w:rsid w:val="008343F3"/>
    <w:rsid w:val="00835E83"/>
    <w:rsid w:val="00840CD3"/>
    <w:rsid w:val="00841226"/>
    <w:rsid w:val="008417CC"/>
    <w:rsid w:val="008432CF"/>
    <w:rsid w:val="00843528"/>
    <w:rsid w:val="00843817"/>
    <w:rsid w:val="00843C36"/>
    <w:rsid w:val="00845BF0"/>
    <w:rsid w:val="008462B3"/>
    <w:rsid w:val="00846D69"/>
    <w:rsid w:val="00847137"/>
    <w:rsid w:val="00847A1B"/>
    <w:rsid w:val="00850315"/>
    <w:rsid w:val="00851D0C"/>
    <w:rsid w:val="008533F7"/>
    <w:rsid w:val="008538D7"/>
    <w:rsid w:val="008541DA"/>
    <w:rsid w:val="0085495C"/>
    <w:rsid w:val="00854994"/>
    <w:rsid w:val="008552F4"/>
    <w:rsid w:val="0085673B"/>
    <w:rsid w:val="00856D1B"/>
    <w:rsid w:val="00857F59"/>
    <w:rsid w:val="00860F93"/>
    <w:rsid w:val="00861EF6"/>
    <w:rsid w:val="008639B0"/>
    <w:rsid w:val="00863AC2"/>
    <w:rsid w:val="0086569A"/>
    <w:rsid w:val="008709C2"/>
    <w:rsid w:val="00870D5E"/>
    <w:rsid w:val="00873369"/>
    <w:rsid w:val="008740BD"/>
    <w:rsid w:val="008758DB"/>
    <w:rsid w:val="008804B1"/>
    <w:rsid w:val="00881C5F"/>
    <w:rsid w:val="008843AD"/>
    <w:rsid w:val="0088498D"/>
    <w:rsid w:val="00885FFE"/>
    <w:rsid w:val="00887638"/>
    <w:rsid w:val="008905B1"/>
    <w:rsid w:val="00890D75"/>
    <w:rsid w:val="00892315"/>
    <w:rsid w:val="00892916"/>
    <w:rsid w:val="00892D5A"/>
    <w:rsid w:val="00892D6B"/>
    <w:rsid w:val="00895028"/>
    <w:rsid w:val="008955F0"/>
    <w:rsid w:val="00895618"/>
    <w:rsid w:val="00896A27"/>
    <w:rsid w:val="008A0B05"/>
    <w:rsid w:val="008A12CB"/>
    <w:rsid w:val="008A17A3"/>
    <w:rsid w:val="008A1902"/>
    <w:rsid w:val="008A28A4"/>
    <w:rsid w:val="008A437D"/>
    <w:rsid w:val="008A74AD"/>
    <w:rsid w:val="008A785E"/>
    <w:rsid w:val="008A7A6C"/>
    <w:rsid w:val="008B5438"/>
    <w:rsid w:val="008B5D62"/>
    <w:rsid w:val="008B6416"/>
    <w:rsid w:val="008B7C28"/>
    <w:rsid w:val="008C1F54"/>
    <w:rsid w:val="008C3F72"/>
    <w:rsid w:val="008C580A"/>
    <w:rsid w:val="008C6723"/>
    <w:rsid w:val="008C7639"/>
    <w:rsid w:val="008D02C5"/>
    <w:rsid w:val="008D073F"/>
    <w:rsid w:val="008D12C7"/>
    <w:rsid w:val="008D1F50"/>
    <w:rsid w:val="008D37B5"/>
    <w:rsid w:val="008D4C08"/>
    <w:rsid w:val="008D59F1"/>
    <w:rsid w:val="008D5F40"/>
    <w:rsid w:val="008D71B7"/>
    <w:rsid w:val="008E047D"/>
    <w:rsid w:val="008E426A"/>
    <w:rsid w:val="008E5111"/>
    <w:rsid w:val="008E51EF"/>
    <w:rsid w:val="008E571A"/>
    <w:rsid w:val="008E69A9"/>
    <w:rsid w:val="008E69D9"/>
    <w:rsid w:val="008F02DE"/>
    <w:rsid w:val="008F03A5"/>
    <w:rsid w:val="008F23BB"/>
    <w:rsid w:val="008F3228"/>
    <w:rsid w:val="008F3259"/>
    <w:rsid w:val="008F6DC9"/>
    <w:rsid w:val="008F7826"/>
    <w:rsid w:val="008F7A3B"/>
    <w:rsid w:val="008F7FB1"/>
    <w:rsid w:val="00900355"/>
    <w:rsid w:val="00903870"/>
    <w:rsid w:val="00904178"/>
    <w:rsid w:val="009048AF"/>
    <w:rsid w:val="00904C55"/>
    <w:rsid w:val="00904CA4"/>
    <w:rsid w:val="00905377"/>
    <w:rsid w:val="0090594E"/>
    <w:rsid w:val="00905EAE"/>
    <w:rsid w:val="0090687F"/>
    <w:rsid w:val="00914128"/>
    <w:rsid w:val="00915033"/>
    <w:rsid w:val="009157D3"/>
    <w:rsid w:val="00915893"/>
    <w:rsid w:val="00915CF1"/>
    <w:rsid w:val="00916380"/>
    <w:rsid w:val="009171B6"/>
    <w:rsid w:val="009171D7"/>
    <w:rsid w:val="0091749E"/>
    <w:rsid w:val="0092216C"/>
    <w:rsid w:val="00922D92"/>
    <w:rsid w:val="00925295"/>
    <w:rsid w:val="0092619B"/>
    <w:rsid w:val="0092625E"/>
    <w:rsid w:val="009263E2"/>
    <w:rsid w:val="00926C6E"/>
    <w:rsid w:val="0092704C"/>
    <w:rsid w:val="00927628"/>
    <w:rsid w:val="009319F3"/>
    <w:rsid w:val="0093267F"/>
    <w:rsid w:val="00932E70"/>
    <w:rsid w:val="00933969"/>
    <w:rsid w:val="009341BE"/>
    <w:rsid w:val="00935943"/>
    <w:rsid w:val="009360C1"/>
    <w:rsid w:val="009416DD"/>
    <w:rsid w:val="009418F5"/>
    <w:rsid w:val="00943B65"/>
    <w:rsid w:val="00944FBF"/>
    <w:rsid w:val="009454E8"/>
    <w:rsid w:val="009464DE"/>
    <w:rsid w:val="00947828"/>
    <w:rsid w:val="00950A0F"/>
    <w:rsid w:val="00950D95"/>
    <w:rsid w:val="00950E28"/>
    <w:rsid w:val="0095110A"/>
    <w:rsid w:val="00951B68"/>
    <w:rsid w:val="00955E57"/>
    <w:rsid w:val="00956DD3"/>
    <w:rsid w:val="00957B4D"/>
    <w:rsid w:val="00961503"/>
    <w:rsid w:val="00963A10"/>
    <w:rsid w:val="00964399"/>
    <w:rsid w:val="0096441B"/>
    <w:rsid w:val="00967E87"/>
    <w:rsid w:val="00973123"/>
    <w:rsid w:val="009745F9"/>
    <w:rsid w:val="0097547F"/>
    <w:rsid w:val="0097611F"/>
    <w:rsid w:val="00977DE3"/>
    <w:rsid w:val="00980DE9"/>
    <w:rsid w:val="00981000"/>
    <w:rsid w:val="00981CDF"/>
    <w:rsid w:val="00982335"/>
    <w:rsid w:val="00983090"/>
    <w:rsid w:val="009845FB"/>
    <w:rsid w:val="0098540C"/>
    <w:rsid w:val="00986555"/>
    <w:rsid w:val="009867EB"/>
    <w:rsid w:val="0099183E"/>
    <w:rsid w:val="00991B25"/>
    <w:rsid w:val="00993DA1"/>
    <w:rsid w:val="00996705"/>
    <w:rsid w:val="00997A45"/>
    <w:rsid w:val="009A0924"/>
    <w:rsid w:val="009A0FEF"/>
    <w:rsid w:val="009A226B"/>
    <w:rsid w:val="009A2321"/>
    <w:rsid w:val="009A374F"/>
    <w:rsid w:val="009A380B"/>
    <w:rsid w:val="009A3AA3"/>
    <w:rsid w:val="009A3D27"/>
    <w:rsid w:val="009A5B1B"/>
    <w:rsid w:val="009A6BD8"/>
    <w:rsid w:val="009A794D"/>
    <w:rsid w:val="009B0130"/>
    <w:rsid w:val="009B118E"/>
    <w:rsid w:val="009B1A30"/>
    <w:rsid w:val="009B396D"/>
    <w:rsid w:val="009B3D2D"/>
    <w:rsid w:val="009B6092"/>
    <w:rsid w:val="009B7694"/>
    <w:rsid w:val="009B7B93"/>
    <w:rsid w:val="009C175E"/>
    <w:rsid w:val="009C5AB5"/>
    <w:rsid w:val="009C7425"/>
    <w:rsid w:val="009D04AC"/>
    <w:rsid w:val="009D182E"/>
    <w:rsid w:val="009D2905"/>
    <w:rsid w:val="009D2BD8"/>
    <w:rsid w:val="009D2CA8"/>
    <w:rsid w:val="009D3D52"/>
    <w:rsid w:val="009D4AEF"/>
    <w:rsid w:val="009D6412"/>
    <w:rsid w:val="009D7BFE"/>
    <w:rsid w:val="009D7D14"/>
    <w:rsid w:val="009E0397"/>
    <w:rsid w:val="009E17CC"/>
    <w:rsid w:val="009E2263"/>
    <w:rsid w:val="009E2570"/>
    <w:rsid w:val="009E27B2"/>
    <w:rsid w:val="009E351D"/>
    <w:rsid w:val="009E4FD9"/>
    <w:rsid w:val="009F21B9"/>
    <w:rsid w:val="009F284E"/>
    <w:rsid w:val="009F45BA"/>
    <w:rsid w:val="009F636B"/>
    <w:rsid w:val="009F68E4"/>
    <w:rsid w:val="009F6F55"/>
    <w:rsid w:val="009F7724"/>
    <w:rsid w:val="00A012B1"/>
    <w:rsid w:val="00A018AE"/>
    <w:rsid w:val="00A02CDC"/>
    <w:rsid w:val="00A03FE9"/>
    <w:rsid w:val="00A04287"/>
    <w:rsid w:val="00A065EF"/>
    <w:rsid w:val="00A068D8"/>
    <w:rsid w:val="00A06B54"/>
    <w:rsid w:val="00A071C5"/>
    <w:rsid w:val="00A10115"/>
    <w:rsid w:val="00A11B3F"/>
    <w:rsid w:val="00A1314F"/>
    <w:rsid w:val="00A13995"/>
    <w:rsid w:val="00A13AD3"/>
    <w:rsid w:val="00A155D9"/>
    <w:rsid w:val="00A15F09"/>
    <w:rsid w:val="00A166CE"/>
    <w:rsid w:val="00A1677F"/>
    <w:rsid w:val="00A168C0"/>
    <w:rsid w:val="00A17A20"/>
    <w:rsid w:val="00A204B0"/>
    <w:rsid w:val="00A20A3C"/>
    <w:rsid w:val="00A2119F"/>
    <w:rsid w:val="00A21B80"/>
    <w:rsid w:val="00A22E8A"/>
    <w:rsid w:val="00A2365A"/>
    <w:rsid w:val="00A262ED"/>
    <w:rsid w:val="00A27102"/>
    <w:rsid w:val="00A3004C"/>
    <w:rsid w:val="00A31D3B"/>
    <w:rsid w:val="00A32711"/>
    <w:rsid w:val="00A33B9A"/>
    <w:rsid w:val="00A33FF6"/>
    <w:rsid w:val="00A34201"/>
    <w:rsid w:val="00A34F89"/>
    <w:rsid w:val="00A3544D"/>
    <w:rsid w:val="00A35798"/>
    <w:rsid w:val="00A35F37"/>
    <w:rsid w:val="00A35F9B"/>
    <w:rsid w:val="00A360CF"/>
    <w:rsid w:val="00A4186B"/>
    <w:rsid w:val="00A41A6C"/>
    <w:rsid w:val="00A41B9E"/>
    <w:rsid w:val="00A41D88"/>
    <w:rsid w:val="00A42702"/>
    <w:rsid w:val="00A42A32"/>
    <w:rsid w:val="00A436AB"/>
    <w:rsid w:val="00A43F8B"/>
    <w:rsid w:val="00A4404F"/>
    <w:rsid w:val="00A4481C"/>
    <w:rsid w:val="00A46140"/>
    <w:rsid w:val="00A46A46"/>
    <w:rsid w:val="00A47235"/>
    <w:rsid w:val="00A51293"/>
    <w:rsid w:val="00A51689"/>
    <w:rsid w:val="00A51EA9"/>
    <w:rsid w:val="00A53E5C"/>
    <w:rsid w:val="00A54DD4"/>
    <w:rsid w:val="00A555A0"/>
    <w:rsid w:val="00A55727"/>
    <w:rsid w:val="00A557C7"/>
    <w:rsid w:val="00A57982"/>
    <w:rsid w:val="00A57C67"/>
    <w:rsid w:val="00A609E3"/>
    <w:rsid w:val="00A62B7C"/>
    <w:rsid w:val="00A62CD2"/>
    <w:rsid w:val="00A62F8A"/>
    <w:rsid w:val="00A65449"/>
    <w:rsid w:val="00A66690"/>
    <w:rsid w:val="00A701AB"/>
    <w:rsid w:val="00A705B3"/>
    <w:rsid w:val="00A712C5"/>
    <w:rsid w:val="00A71394"/>
    <w:rsid w:val="00A72438"/>
    <w:rsid w:val="00A724A3"/>
    <w:rsid w:val="00A733CF"/>
    <w:rsid w:val="00A740E7"/>
    <w:rsid w:val="00A74124"/>
    <w:rsid w:val="00A74AFC"/>
    <w:rsid w:val="00A761AB"/>
    <w:rsid w:val="00A77A87"/>
    <w:rsid w:val="00A80D1E"/>
    <w:rsid w:val="00A84611"/>
    <w:rsid w:val="00A8582D"/>
    <w:rsid w:val="00A86403"/>
    <w:rsid w:val="00A90CD4"/>
    <w:rsid w:val="00A919C3"/>
    <w:rsid w:val="00A91DB0"/>
    <w:rsid w:val="00A92799"/>
    <w:rsid w:val="00A92FFE"/>
    <w:rsid w:val="00A93634"/>
    <w:rsid w:val="00A936F0"/>
    <w:rsid w:val="00A945D7"/>
    <w:rsid w:val="00A94C24"/>
    <w:rsid w:val="00A9678F"/>
    <w:rsid w:val="00A96895"/>
    <w:rsid w:val="00A97822"/>
    <w:rsid w:val="00A97B4B"/>
    <w:rsid w:val="00AA0730"/>
    <w:rsid w:val="00AA0FEE"/>
    <w:rsid w:val="00AA122B"/>
    <w:rsid w:val="00AA13E5"/>
    <w:rsid w:val="00AA1B01"/>
    <w:rsid w:val="00AA3972"/>
    <w:rsid w:val="00AA5E27"/>
    <w:rsid w:val="00AB0F1A"/>
    <w:rsid w:val="00AB14F0"/>
    <w:rsid w:val="00AB17F5"/>
    <w:rsid w:val="00AB18FC"/>
    <w:rsid w:val="00AB275D"/>
    <w:rsid w:val="00AB31F1"/>
    <w:rsid w:val="00AB3F79"/>
    <w:rsid w:val="00AB5100"/>
    <w:rsid w:val="00AB700D"/>
    <w:rsid w:val="00AB7659"/>
    <w:rsid w:val="00AB778A"/>
    <w:rsid w:val="00AB7E7D"/>
    <w:rsid w:val="00AC0C31"/>
    <w:rsid w:val="00AC18E9"/>
    <w:rsid w:val="00AC33B3"/>
    <w:rsid w:val="00AC3E5E"/>
    <w:rsid w:val="00AC5002"/>
    <w:rsid w:val="00AC6F75"/>
    <w:rsid w:val="00AC71ED"/>
    <w:rsid w:val="00AD0C8D"/>
    <w:rsid w:val="00AD1184"/>
    <w:rsid w:val="00AD1758"/>
    <w:rsid w:val="00AD180D"/>
    <w:rsid w:val="00AD1923"/>
    <w:rsid w:val="00AD1C00"/>
    <w:rsid w:val="00AD5AAA"/>
    <w:rsid w:val="00AD5BCA"/>
    <w:rsid w:val="00AD5E18"/>
    <w:rsid w:val="00AD6622"/>
    <w:rsid w:val="00AE0A81"/>
    <w:rsid w:val="00AE26BE"/>
    <w:rsid w:val="00AE3F69"/>
    <w:rsid w:val="00AE4D17"/>
    <w:rsid w:val="00AF0811"/>
    <w:rsid w:val="00AF0C68"/>
    <w:rsid w:val="00AF2DCD"/>
    <w:rsid w:val="00AF3045"/>
    <w:rsid w:val="00AF3463"/>
    <w:rsid w:val="00AF4D89"/>
    <w:rsid w:val="00AF5244"/>
    <w:rsid w:val="00AF771D"/>
    <w:rsid w:val="00B003C4"/>
    <w:rsid w:val="00B03574"/>
    <w:rsid w:val="00B035E3"/>
    <w:rsid w:val="00B0365D"/>
    <w:rsid w:val="00B03D5E"/>
    <w:rsid w:val="00B03EE3"/>
    <w:rsid w:val="00B0498C"/>
    <w:rsid w:val="00B063E3"/>
    <w:rsid w:val="00B104E9"/>
    <w:rsid w:val="00B105AC"/>
    <w:rsid w:val="00B13A36"/>
    <w:rsid w:val="00B13FEB"/>
    <w:rsid w:val="00B149A1"/>
    <w:rsid w:val="00B15877"/>
    <w:rsid w:val="00B167C6"/>
    <w:rsid w:val="00B20DF2"/>
    <w:rsid w:val="00B22438"/>
    <w:rsid w:val="00B2388A"/>
    <w:rsid w:val="00B238EE"/>
    <w:rsid w:val="00B246F5"/>
    <w:rsid w:val="00B24B56"/>
    <w:rsid w:val="00B2602E"/>
    <w:rsid w:val="00B2659A"/>
    <w:rsid w:val="00B26694"/>
    <w:rsid w:val="00B27BC3"/>
    <w:rsid w:val="00B306C2"/>
    <w:rsid w:val="00B33B5E"/>
    <w:rsid w:val="00B33EFC"/>
    <w:rsid w:val="00B34B15"/>
    <w:rsid w:val="00B3507F"/>
    <w:rsid w:val="00B35A11"/>
    <w:rsid w:val="00B36758"/>
    <w:rsid w:val="00B36EB9"/>
    <w:rsid w:val="00B40D20"/>
    <w:rsid w:val="00B410F5"/>
    <w:rsid w:val="00B415F2"/>
    <w:rsid w:val="00B42606"/>
    <w:rsid w:val="00B4291E"/>
    <w:rsid w:val="00B448F3"/>
    <w:rsid w:val="00B4647F"/>
    <w:rsid w:val="00B464D4"/>
    <w:rsid w:val="00B46876"/>
    <w:rsid w:val="00B47625"/>
    <w:rsid w:val="00B47715"/>
    <w:rsid w:val="00B504AE"/>
    <w:rsid w:val="00B51C81"/>
    <w:rsid w:val="00B51CBA"/>
    <w:rsid w:val="00B53331"/>
    <w:rsid w:val="00B53CCF"/>
    <w:rsid w:val="00B56767"/>
    <w:rsid w:val="00B57605"/>
    <w:rsid w:val="00B57708"/>
    <w:rsid w:val="00B611B8"/>
    <w:rsid w:val="00B61292"/>
    <w:rsid w:val="00B61A3A"/>
    <w:rsid w:val="00B61DFF"/>
    <w:rsid w:val="00B61E0F"/>
    <w:rsid w:val="00B62997"/>
    <w:rsid w:val="00B6333F"/>
    <w:rsid w:val="00B6456A"/>
    <w:rsid w:val="00B65472"/>
    <w:rsid w:val="00B65EF7"/>
    <w:rsid w:val="00B65F68"/>
    <w:rsid w:val="00B66A12"/>
    <w:rsid w:val="00B70004"/>
    <w:rsid w:val="00B70818"/>
    <w:rsid w:val="00B70E4F"/>
    <w:rsid w:val="00B716E1"/>
    <w:rsid w:val="00B7196A"/>
    <w:rsid w:val="00B74C59"/>
    <w:rsid w:val="00B75AE1"/>
    <w:rsid w:val="00B768AA"/>
    <w:rsid w:val="00B77CDE"/>
    <w:rsid w:val="00B80350"/>
    <w:rsid w:val="00B805D1"/>
    <w:rsid w:val="00B81D68"/>
    <w:rsid w:val="00B8240C"/>
    <w:rsid w:val="00B82C7B"/>
    <w:rsid w:val="00B832E1"/>
    <w:rsid w:val="00B8788F"/>
    <w:rsid w:val="00B878A6"/>
    <w:rsid w:val="00B92263"/>
    <w:rsid w:val="00B956B7"/>
    <w:rsid w:val="00B95866"/>
    <w:rsid w:val="00B96E27"/>
    <w:rsid w:val="00BA0206"/>
    <w:rsid w:val="00BA0B32"/>
    <w:rsid w:val="00BA0C62"/>
    <w:rsid w:val="00BA194F"/>
    <w:rsid w:val="00BA1C0A"/>
    <w:rsid w:val="00BA375A"/>
    <w:rsid w:val="00BA4264"/>
    <w:rsid w:val="00BA436E"/>
    <w:rsid w:val="00BA5533"/>
    <w:rsid w:val="00BA7BBD"/>
    <w:rsid w:val="00BB06EC"/>
    <w:rsid w:val="00BB2DF0"/>
    <w:rsid w:val="00BB2E64"/>
    <w:rsid w:val="00BB32FA"/>
    <w:rsid w:val="00BB33C2"/>
    <w:rsid w:val="00BB3483"/>
    <w:rsid w:val="00BB576D"/>
    <w:rsid w:val="00BB64CA"/>
    <w:rsid w:val="00BC024E"/>
    <w:rsid w:val="00BC1660"/>
    <w:rsid w:val="00BC4000"/>
    <w:rsid w:val="00BC667E"/>
    <w:rsid w:val="00BC77F9"/>
    <w:rsid w:val="00BC7982"/>
    <w:rsid w:val="00BC7D00"/>
    <w:rsid w:val="00BC7DB0"/>
    <w:rsid w:val="00BC7F52"/>
    <w:rsid w:val="00BD1993"/>
    <w:rsid w:val="00BD201D"/>
    <w:rsid w:val="00BD3B05"/>
    <w:rsid w:val="00BD4FAC"/>
    <w:rsid w:val="00BD52A7"/>
    <w:rsid w:val="00BD6541"/>
    <w:rsid w:val="00BD77DB"/>
    <w:rsid w:val="00BE0620"/>
    <w:rsid w:val="00BE1645"/>
    <w:rsid w:val="00BE399C"/>
    <w:rsid w:val="00BE6AE0"/>
    <w:rsid w:val="00BE7339"/>
    <w:rsid w:val="00BF012F"/>
    <w:rsid w:val="00BF0596"/>
    <w:rsid w:val="00BF0EEF"/>
    <w:rsid w:val="00BF15B5"/>
    <w:rsid w:val="00BF23E5"/>
    <w:rsid w:val="00BF3020"/>
    <w:rsid w:val="00BF59A6"/>
    <w:rsid w:val="00BF763D"/>
    <w:rsid w:val="00C04432"/>
    <w:rsid w:val="00C0473D"/>
    <w:rsid w:val="00C04B20"/>
    <w:rsid w:val="00C04EB7"/>
    <w:rsid w:val="00C057F5"/>
    <w:rsid w:val="00C069D4"/>
    <w:rsid w:val="00C06A04"/>
    <w:rsid w:val="00C07338"/>
    <w:rsid w:val="00C107BC"/>
    <w:rsid w:val="00C10BA5"/>
    <w:rsid w:val="00C120C9"/>
    <w:rsid w:val="00C13D1A"/>
    <w:rsid w:val="00C14C34"/>
    <w:rsid w:val="00C14FA0"/>
    <w:rsid w:val="00C15C31"/>
    <w:rsid w:val="00C16868"/>
    <w:rsid w:val="00C16C5E"/>
    <w:rsid w:val="00C170D7"/>
    <w:rsid w:val="00C17196"/>
    <w:rsid w:val="00C20E68"/>
    <w:rsid w:val="00C21189"/>
    <w:rsid w:val="00C21B10"/>
    <w:rsid w:val="00C23A27"/>
    <w:rsid w:val="00C23C06"/>
    <w:rsid w:val="00C241AF"/>
    <w:rsid w:val="00C251E7"/>
    <w:rsid w:val="00C27BE5"/>
    <w:rsid w:val="00C31543"/>
    <w:rsid w:val="00C316C0"/>
    <w:rsid w:val="00C31B07"/>
    <w:rsid w:val="00C31DFB"/>
    <w:rsid w:val="00C32C96"/>
    <w:rsid w:val="00C3642E"/>
    <w:rsid w:val="00C373FC"/>
    <w:rsid w:val="00C4097E"/>
    <w:rsid w:val="00C42351"/>
    <w:rsid w:val="00C42FB9"/>
    <w:rsid w:val="00C4375F"/>
    <w:rsid w:val="00C4548B"/>
    <w:rsid w:val="00C466AA"/>
    <w:rsid w:val="00C47487"/>
    <w:rsid w:val="00C503FB"/>
    <w:rsid w:val="00C51AB4"/>
    <w:rsid w:val="00C51C15"/>
    <w:rsid w:val="00C51F87"/>
    <w:rsid w:val="00C52129"/>
    <w:rsid w:val="00C544E0"/>
    <w:rsid w:val="00C55345"/>
    <w:rsid w:val="00C56A60"/>
    <w:rsid w:val="00C57CAB"/>
    <w:rsid w:val="00C60674"/>
    <w:rsid w:val="00C60A7F"/>
    <w:rsid w:val="00C61C2E"/>
    <w:rsid w:val="00C64982"/>
    <w:rsid w:val="00C653C3"/>
    <w:rsid w:val="00C66845"/>
    <w:rsid w:val="00C703FD"/>
    <w:rsid w:val="00C70FEA"/>
    <w:rsid w:val="00C71E9E"/>
    <w:rsid w:val="00C72918"/>
    <w:rsid w:val="00C73661"/>
    <w:rsid w:val="00C73DFD"/>
    <w:rsid w:val="00C7608F"/>
    <w:rsid w:val="00C76427"/>
    <w:rsid w:val="00C76E11"/>
    <w:rsid w:val="00C80364"/>
    <w:rsid w:val="00C8073B"/>
    <w:rsid w:val="00C8271D"/>
    <w:rsid w:val="00C836F8"/>
    <w:rsid w:val="00C83767"/>
    <w:rsid w:val="00C8441B"/>
    <w:rsid w:val="00C8450E"/>
    <w:rsid w:val="00C84938"/>
    <w:rsid w:val="00C8766D"/>
    <w:rsid w:val="00C87A30"/>
    <w:rsid w:val="00C87E0E"/>
    <w:rsid w:val="00C91B5F"/>
    <w:rsid w:val="00C91CC9"/>
    <w:rsid w:val="00C962FD"/>
    <w:rsid w:val="00C97938"/>
    <w:rsid w:val="00C9798E"/>
    <w:rsid w:val="00C97D4D"/>
    <w:rsid w:val="00C97E5E"/>
    <w:rsid w:val="00CA08FA"/>
    <w:rsid w:val="00CA1481"/>
    <w:rsid w:val="00CA444F"/>
    <w:rsid w:val="00CA4B40"/>
    <w:rsid w:val="00CA5535"/>
    <w:rsid w:val="00CA5950"/>
    <w:rsid w:val="00CA6D7D"/>
    <w:rsid w:val="00CB1EFA"/>
    <w:rsid w:val="00CB226E"/>
    <w:rsid w:val="00CB2A28"/>
    <w:rsid w:val="00CB42D4"/>
    <w:rsid w:val="00CB5D6A"/>
    <w:rsid w:val="00CB7F2F"/>
    <w:rsid w:val="00CC1880"/>
    <w:rsid w:val="00CC1AF6"/>
    <w:rsid w:val="00CC3743"/>
    <w:rsid w:val="00CC4659"/>
    <w:rsid w:val="00CC650F"/>
    <w:rsid w:val="00CD00A6"/>
    <w:rsid w:val="00CD026D"/>
    <w:rsid w:val="00CD02B8"/>
    <w:rsid w:val="00CD18A0"/>
    <w:rsid w:val="00CD2117"/>
    <w:rsid w:val="00CD5B8E"/>
    <w:rsid w:val="00CD6C0E"/>
    <w:rsid w:val="00CE2715"/>
    <w:rsid w:val="00CE3C2B"/>
    <w:rsid w:val="00CE665C"/>
    <w:rsid w:val="00CE7B8E"/>
    <w:rsid w:val="00CF1E7C"/>
    <w:rsid w:val="00CF34AF"/>
    <w:rsid w:val="00CF4E7B"/>
    <w:rsid w:val="00CF5619"/>
    <w:rsid w:val="00D00F70"/>
    <w:rsid w:val="00D01ADC"/>
    <w:rsid w:val="00D03690"/>
    <w:rsid w:val="00D03E20"/>
    <w:rsid w:val="00D04455"/>
    <w:rsid w:val="00D04FE5"/>
    <w:rsid w:val="00D05021"/>
    <w:rsid w:val="00D057CC"/>
    <w:rsid w:val="00D0663C"/>
    <w:rsid w:val="00D12252"/>
    <w:rsid w:val="00D12BBE"/>
    <w:rsid w:val="00D14266"/>
    <w:rsid w:val="00D151E4"/>
    <w:rsid w:val="00D16238"/>
    <w:rsid w:val="00D205F5"/>
    <w:rsid w:val="00D21486"/>
    <w:rsid w:val="00D21D68"/>
    <w:rsid w:val="00D224F3"/>
    <w:rsid w:val="00D256FF"/>
    <w:rsid w:val="00D27D8B"/>
    <w:rsid w:val="00D306DE"/>
    <w:rsid w:val="00D307DC"/>
    <w:rsid w:val="00D318BD"/>
    <w:rsid w:val="00D321FE"/>
    <w:rsid w:val="00D3299E"/>
    <w:rsid w:val="00D33A92"/>
    <w:rsid w:val="00D34B74"/>
    <w:rsid w:val="00D400E0"/>
    <w:rsid w:val="00D40411"/>
    <w:rsid w:val="00D42152"/>
    <w:rsid w:val="00D4350B"/>
    <w:rsid w:val="00D44598"/>
    <w:rsid w:val="00D44661"/>
    <w:rsid w:val="00D44E5F"/>
    <w:rsid w:val="00D50223"/>
    <w:rsid w:val="00D5147F"/>
    <w:rsid w:val="00D51832"/>
    <w:rsid w:val="00D525E8"/>
    <w:rsid w:val="00D52853"/>
    <w:rsid w:val="00D5399F"/>
    <w:rsid w:val="00D54030"/>
    <w:rsid w:val="00D54179"/>
    <w:rsid w:val="00D5583C"/>
    <w:rsid w:val="00D56B0D"/>
    <w:rsid w:val="00D574EB"/>
    <w:rsid w:val="00D577A0"/>
    <w:rsid w:val="00D57E22"/>
    <w:rsid w:val="00D64397"/>
    <w:rsid w:val="00D647F8"/>
    <w:rsid w:val="00D6481A"/>
    <w:rsid w:val="00D70941"/>
    <w:rsid w:val="00D721B4"/>
    <w:rsid w:val="00D726B0"/>
    <w:rsid w:val="00D754C0"/>
    <w:rsid w:val="00D764A8"/>
    <w:rsid w:val="00D764D4"/>
    <w:rsid w:val="00D811D9"/>
    <w:rsid w:val="00D81364"/>
    <w:rsid w:val="00D816DB"/>
    <w:rsid w:val="00D8201F"/>
    <w:rsid w:val="00D872DE"/>
    <w:rsid w:val="00D900DE"/>
    <w:rsid w:val="00D90777"/>
    <w:rsid w:val="00D91470"/>
    <w:rsid w:val="00D916AF"/>
    <w:rsid w:val="00D93194"/>
    <w:rsid w:val="00D94E12"/>
    <w:rsid w:val="00D96CE4"/>
    <w:rsid w:val="00D97379"/>
    <w:rsid w:val="00D979F3"/>
    <w:rsid w:val="00DA099D"/>
    <w:rsid w:val="00DA17A6"/>
    <w:rsid w:val="00DA3E94"/>
    <w:rsid w:val="00DA55D8"/>
    <w:rsid w:val="00DA64C1"/>
    <w:rsid w:val="00DB0A5F"/>
    <w:rsid w:val="00DB2490"/>
    <w:rsid w:val="00DB26EA"/>
    <w:rsid w:val="00DB295F"/>
    <w:rsid w:val="00DB34B1"/>
    <w:rsid w:val="00DB49F8"/>
    <w:rsid w:val="00DB55AE"/>
    <w:rsid w:val="00DC010E"/>
    <w:rsid w:val="00DC1076"/>
    <w:rsid w:val="00DC134E"/>
    <w:rsid w:val="00DC2A65"/>
    <w:rsid w:val="00DC33B9"/>
    <w:rsid w:val="00DC3991"/>
    <w:rsid w:val="00DC3FBF"/>
    <w:rsid w:val="00DC4B83"/>
    <w:rsid w:val="00DC4F32"/>
    <w:rsid w:val="00DC51E5"/>
    <w:rsid w:val="00DC615D"/>
    <w:rsid w:val="00DC6939"/>
    <w:rsid w:val="00DC69BF"/>
    <w:rsid w:val="00DD1EC6"/>
    <w:rsid w:val="00DD2219"/>
    <w:rsid w:val="00DD3348"/>
    <w:rsid w:val="00DD482B"/>
    <w:rsid w:val="00DD543C"/>
    <w:rsid w:val="00DE1A5C"/>
    <w:rsid w:val="00DE340A"/>
    <w:rsid w:val="00DE716B"/>
    <w:rsid w:val="00DF1B5A"/>
    <w:rsid w:val="00DF256B"/>
    <w:rsid w:val="00DF5F93"/>
    <w:rsid w:val="00DF76B3"/>
    <w:rsid w:val="00DF7EB4"/>
    <w:rsid w:val="00E025E5"/>
    <w:rsid w:val="00E031E0"/>
    <w:rsid w:val="00E0402A"/>
    <w:rsid w:val="00E049EC"/>
    <w:rsid w:val="00E04FEC"/>
    <w:rsid w:val="00E074A7"/>
    <w:rsid w:val="00E10A2E"/>
    <w:rsid w:val="00E12DF7"/>
    <w:rsid w:val="00E13107"/>
    <w:rsid w:val="00E14375"/>
    <w:rsid w:val="00E1498B"/>
    <w:rsid w:val="00E15D13"/>
    <w:rsid w:val="00E16A23"/>
    <w:rsid w:val="00E2020F"/>
    <w:rsid w:val="00E2180C"/>
    <w:rsid w:val="00E227A9"/>
    <w:rsid w:val="00E250B3"/>
    <w:rsid w:val="00E25136"/>
    <w:rsid w:val="00E260DB"/>
    <w:rsid w:val="00E311E0"/>
    <w:rsid w:val="00E31857"/>
    <w:rsid w:val="00E32E55"/>
    <w:rsid w:val="00E3555B"/>
    <w:rsid w:val="00E35E43"/>
    <w:rsid w:val="00E37F8D"/>
    <w:rsid w:val="00E408E1"/>
    <w:rsid w:val="00E426E0"/>
    <w:rsid w:val="00E42A73"/>
    <w:rsid w:val="00E45529"/>
    <w:rsid w:val="00E4657E"/>
    <w:rsid w:val="00E46592"/>
    <w:rsid w:val="00E47020"/>
    <w:rsid w:val="00E47FA2"/>
    <w:rsid w:val="00E506CD"/>
    <w:rsid w:val="00E559C9"/>
    <w:rsid w:val="00E577EB"/>
    <w:rsid w:val="00E6027C"/>
    <w:rsid w:val="00E638D4"/>
    <w:rsid w:val="00E63A0F"/>
    <w:rsid w:val="00E63C2D"/>
    <w:rsid w:val="00E65948"/>
    <w:rsid w:val="00E65BD0"/>
    <w:rsid w:val="00E66883"/>
    <w:rsid w:val="00E72D0E"/>
    <w:rsid w:val="00E734E0"/>
    <w:rsid w:val="00E735F8"/>
    <w:rsid w:val="00E74166"/>
    <w:rsid w:val="00E75024"/>
    <w:rsid w:val="00E769B8"/>
    <w:rsid w:val="00E81742"/>
    <w:rsid w:val="00E8255A"/>
    <w:rsid w:val="00E8260D"/>
    <w:rsid w:val="00E8335E"/>
    <w:rsid w:val="00E8350B"/>
    <w:rsid w:val="00E85E10"/>
    <w:rsid w:val="00E86CAA"/>
    <w:rsid w:val="00E8750D"/>
    <w:rsid w:val="00E87D04"/>
    <w:rsid w:val="00E90AAF"/>
    <w:rsid w:val="00E90C98"/>
    <w:rsid w:val="00E910B6"/>
    <w:rsid w:val="00E9147A"/>
    <w:rsid w:val="00E92153"/>
    <w:rsid w:val="00E9256D"/>
    <w:rsid w:val="00E93C7E"/>
    <w:rsid w:val="00E96C6C"/>
    <w:rsid w:val="00E9798F"/>
    <w:rsid w:val="00EA1FF8"/>
    <w:rsid w:val="00EA2690"/>
    <w:rsid w:val="00EA4C48"/>
    <w:rsid w:val="00EA5194"/>
    <w:rsid w:val="00EA6332"/>
    <w:rsid w:val="00EA6CD1"/>
    <w:rsid w:val="00EA7096"/>
    <w:rsid w:val="00EA70E5"/>
    <w:rsid w:val="00EA794F"/>
    <w:rsid w:val="00EB000B"/>
    <w:rsid w:val="00EB13E4"/>
    <w:rsid w:val="00EB28B1"/>
    <w:rsid w:val="00EB2D52"/>
    <w:rsid w:val="00EB2F7A"/>
    <w:rsid w:val="00EB358D"/>
    <w:rsid w:val="00EB4E08"/>
    <w:rsid w:val="00EB567F"/>
    <w:rsid w:val="00EB57B5"/>
    <w:rsid w:val="00EB73D1"/>
    <w:rsid w:val="00EB7C51"/>
    <w:rsid w:val="00EC0B55"/>
    <w:rsid w:val="00EC1604"/>
    <w:rsid w:val="00EC2744"/>
    <w:rsid w:val="00EC3EB7"/>
    <w:rsid w:val="00EC3F6A"/>
    <w:rsid w:val="00EC4E5E"/>
    <w:rsid w:val="00EC6263"/>
    <w:rsid w:val="00ED1263"/>
    <w:rsid w:val="00ED1A53"/>
    <w:rsid w:val="00ED1F9D"/>
    <w:rsid w:val="00ED2100"/>
    <w:rsid w:val="00ED25B9"/>
    <w:rsid w:val="00ED36B5"/>
    <w:rsid w:val="00ED3DD8"/>
    <w:rsid w:val="00ED6AD1"/>
    <w:rsid w:val="00ED785F"/>
    <w:rsid w:val="00ED7865"/>
    <w:rsid w:val="00ED7AB5"/>
    <w:rsid w:val="00EE1EFE"/>
    <w:rsid w:val="00EE2A2E"/>
    <w:rsid w:val="00EE6784"/>
    <w:rsid w:val="00EF1636"/>
    <w:rsid w:val="00EF1958"/>
    <w:rsid w:val="00EF1DCE"/>
    <w:rsid w:val="00EF3806"/>
    <w:rsid w:val="00EF3A39"/>
    <w:rsid w:val="00EF51D0"/>
    <w:rsid w:val="00EF556F"/>
    <w:rsid w:val="00EF6399"/>
    <w:rsid w:val="00EF6514"/>
    <w:rsid w:val="00EF7FAB"/>
    <w:rsid w:val="00F00BC5"/>
    <w:rsid w:val="00F015BF"/>
    <w:rsid w:val="00F017CB"/>
    <w:rsid w:val="00F01CE7"/>
    <w:rsid w:val="00F028FB"/>
    <w:rsid w:val="00F02A38"/>
    <w:rsid w:val="00F02E26"/>
    <w:rsid w:val="00F03517"/>
    <w:rsid w:val="00F039E5"/>
    <w:rsid w:val="00F04049"/>
    <w:rsid w:val="00F052CC"/>
    <w:rsid w:val="00F07EE7"/>
    <w:rsid w:val="00F106F9"/>
    <w:rsid w:val="00F13A3E"/>
    <w:rsid w:val="00F17B7A"/>
    <w:rsid w:val="00F20B5E"/>
    <w:rsid w:val="00F2213C"/>
    <w:rsid w:val="00F23A2C"/>
    <w:rsid w:val="00F2547F"/>
    <w:rsid w:val="00F26F0A"/>
    <w:rsid w:val="00F27040"/>
    <w:rsid w:val="00F27597"/>
    <w:rsid w:val="00F32008"/>
    <w:rsid w:val="00F328A4"/>
    <w:rsid w:val="00F33059"/>
    <w:rsid w:val="00F3351C"/>
    <w:rsid w:val="00F33BB5"/>
    <w:rsid w:val="00F341AB"/>
    <w:rsid w:val="00F342AA"/>
    <w:rsid w:val="00F352F2"/>
    <w:rsid w:val="00F36A66"/>
    <w:rsid w:val="00F37909"/>
    <w:rsid w:val="00F4054D"/>
    <w:rsid w:val="00F423E9"/>
    <w:rsid w:val="00F42699"/>
    <w:rsid w:val="00F436E8"/>
    <w:rsid w:val="00F44F0F"/>
    <w:rsid w:val="00F45070"/>
    <w:rsid w:val="00F45D9B"/>
    <w:rsid w:val="00F46B82"/>
    <w:rsid w:val="00F51D3A"/>
    <w:rsid w:val="00F5241E"/>
    <w:rsid w:val="00F52A8D"/>
    <w:rsid w:val="00F54447"/>
    <w:rsid w:val="00F54AF3"/>
    <w:rsid w:val="00F5617C"/>
    <w:rsid w:val="00F5644A"/>
    <w:rsid w:val="00F600B1"/>
    <w:rsid w:val="00F619C7"/>
    <w:rsid w:val="00F67FC9"/>
    <w:rsid w:val="00F70867"/>
    <w:rsid w:val="00F721C4"/>
    <w:rsid w:val="00F74932"/>
    <w:rsid w:val="00F76E1B"/>
    <w:rsid w:val="00F805ED"/>
    <w:rsid w:val="00F82237"/>
    <w:rsid w:val="00F840FD"/>
    <w:rsid w:val="00F85549"/>
    <w:rsid w:val="00F85BBD"/>
    <w:rsid w:val="00F86638"/>
    <w:rsid w:val="00F86F87"/>
    <w:rsid w:val="00F8713D"/>
    <w:rsid w:val="00F87AEE"/>
    <w:rsid w:val="00F93FE5"/>
    <w:rsid w:val="00F9551C"/>
    <w:rsid w:val="00F9557E"/>
    <w:rsid w:val="00F961A2"/>
    <w:rsid w:val="00FA060D"/>
    <w:rsid w:val="00FA1C3A"/>
    <w:rsid w:val="00FA29A2"/>
    <w:rsid w:val="00FA4709"/>
    <w:rsid w:val="00FA4C66"/>
    <w:rsid w:val="00FA7F77"/>
    <w:rsid w:val="00FB10BF"/>
    <w:rsid w:val="00FB22FA"/>
    <w:rsid w:val="00FB3162"/>
    <w:rsid w:val="00FB3501"/>
    <w:rsid w:val="00FB37DB"/>
    <w:rsid w:val="00FB3BD4"/>
    <w:rsid w:val="00FB3BDB"/>
    <w:rsid w:val="00FB406A"/>
    <w:rsid w:val="00FB57F4"/>
    <w:rsid w:val="00FB5A4B"/>
    <w:rsid w:val="00FC0723"/>
    <w:rsid w:val="00FC0B34"/>
    <w:rsid w:val="00FC135F"/>
    <w:rsid w:val="00FC3B4A"/>
    <w:rsid w:val="00FC404B"/>
    <w:rsid w:val="00FC4680"/>
    <w:rsid w:val="00FC57B9"/>
    <w:rsid w:val="00FC7813"/>
    <w:rsid w:val="00FD1DA6"/>
    <w:rsid w:val="00FD1E40"/>
    <w:rsid w:val="00FD2207"/>
    <w:rsid w:val="00FD4A08"/>
    <w:rsid w:val="00FD4AF5"/>
    <w:rsid w:val="00FD4D95"/>
    <w:rsid w:val="00FD5BF1"/>
    <w:rsid w:val="00FE0CAF"/>
    <w:rsid w:val="00FE1A22"/>
    <w:rsid w:val="00FE27F6"/>
    <w:rsid w:val="00FE28E4"/>
    <w:rsid w:val="00FE2FD2"/>
    <w:rsid w:val="00FE43C5"/>
    <w:rsid w:val="00FE455B"/>
    <w:rsid w:val="00FE6952"/>
    <w:rsid w:val="00FE7AA5"/>
    <w:rsid w:val="00FF0225"/>
    <w:rsid w:val="00FF16A7"/>
    <w:rsid w:val="00FF403E"/>
    <w:rsid w:val="00FF49D0"/>
    <w:rsid w:val="00FF6FEE"/>
    <w:rsid w:val="00FF768C"/>
    <w:rsid w:val="010A3D61"/>
    <w:rsid w:val="01423713"/>
    <w:rsid w:val="015B1177"/>
    <w:rsid w:val="01845F6A"/>
    <w:rsid w:val="01AC568A"/>
    <w:rsid w:val="01C84B00"/>
    <w:rsid w:val="01E42223"/>
    <w:rsid w:val="01ED4312"/>
    <w:rsid w:val="01F94BAE"/>
    <w:rsid w:val="02037FD4"/>
    <w:rsid w:val="02076232"/>
    <w:rsid w:val="020A165F"/>
    <w:rsid w:val="020D6FC0"/>
    <w:rsid w:val="022C3804"/>
    <w:rsid w:val="023B5537"/>
    <w:rsid w:val="024159EA"/>
    <w:rsid w:val="024856EC"/>
    <w:rsid w:val="025A529E"/>
    <w:rsid w:val="025E0E9B"/>
    <w:rsid w:val="026C5E13"/>
    <w:rsid w:val="02AE572C"/>
    <w:rsid w:val="02AF46C6"/>
    <w:rsid w:val="030A5302"/>
    <w:rsid w:val="034962C2"/>
    <w:rsid w:val="034D24D1"/>
    <w:rsid w:val="0354444B"/>
    <w:rsid w:val="037B647C"/>
    <w:rsid w:val="038668EC"/>
    <w:rsid w:val="039A78F6"/>
    <w:rsid w:val="03E11DFE"/>
    <w:rsid w:val="03ED60B4"/>
    <w:rsid w:val="04012BA0"/>
    <w:rsid w:val="04692CE3"/>
    <w:rsid w:val="047D59AC"/>
    <w:rsid w:val="04837185"/>
    <w:rsid w:val="04B232A1"/>
    <w:rsid w:val="04B43111"/>
    <w:rsid w:val="050C1396"/>
    <w:rsid w:val="050E5D11"/>
    <w:rsid w:val="05151F13"/>
    <w:rsid w:val="054F16AD"/>
    <w:rsid w:val="05BA001B"/>
    <w:rsid w:val="05F837B2"/>
    <w:rsid w:val="05FD1D1B"/>
    <w:rsid w:val="060647D0"/>
    <w:rsid w:val="06120DFE"/>
    <w:rsid w:val="06232CBC"/>
    <w:rsid w:val="06305BF1"/>
    <w:rsid w:val="065615D9"/>
    <w:rsid w:val="06802B01"/>
    <w:rsid w:val="06864B8E"/>
    <w:rsid w:val="068D415D"/>
    <w:rsid w:val="069B143B"/>
    <w:rsid w:val="069F09A0"/>
    <w:rsid w:val="06C41982"/>
    <w:rsid w:val="06EB3DEE"/>
    <w:rsid w:val="072F176A"/>
    <w:rsid w:val="072F3C58"/>
    <w:rsid w:val="073273F3"/>
    <w:rsid w:val="0741449E"/>
    <w:rsid w:val="07821B66"/>
    <w:rsid w:val="079069C4"/>
    <w:rsid w:val="07A174CB"/>
    <w:rsid w:val="081153C0"/>
    <w:rsid w:val="08344E42"/>
    <w:rsid w:val="08542414"/>
    <w:rsid w:val="085853BB"/>
    <w:rsid w:val="086A57C8"/>
    <w:rsid w:val="08AE45C1"/>
    <w:rsid w:val="08C064D3"/>
    <w:rsid w:val="08C8036B"/>
    <w:rsid w:val="08CC4A1B"/>
    <w:rsid w:val="090624B6"/>
    <w:rsid w:val="0915602F"/>
    <w:rsid w:val="09185D37"/>
    <w:rsid w:val="094672FA"/>
    <w:rsid w:val="09527F87"/>
    <w:rsid w:val="0954410C"/>
    <w:rsid w:val="096133CF"/>
    <w:rsid w:val="0982153A"/>
    <w:rsid w:val="09A17C56"/>
    <w:rsid w:val="09A33808"/>
    <w:rsid w:val="09B4563E"/>
    <w:rsid w:val="09B76E52"/>
    <w:rsid w:val="09BF5858"/>
    <w:rsid w:val="09CD5D53"/>
    <w:rsid w:val="09D74819"/>
    <w:rsid w:val="09D76545"/>
    <w:rsid w:val="09DD6258"/>
    <w:rsid w:val="09DF699E"/>
    <w:rsid w:val="09E813E1"/>
    <w:rsid w:val="0A2550DA"/>
    <w:rsid w:val="0A343A64"/>
    <w:rsid w:val="0A5A344F"/>
    <w:rsid w:val="0A5D3C50"/>
    <w:rsid w:val="0A785DAD"/>
    <w:rsid w:val="0A8B0F8E"/>
    <w:rsid w:val="0ABE6B23"/>
    <w:rsid w:val="0AC51F3F"/>
    <w:rsid w:val="0AC550B2"/>
    <w:rsid w:val="0AC80D04"/>
    <w:rsid w:val="0AF02CAA"/>
    <w:rsid w:val="0AFF419E"/>
    <w:rsid w:val="0B0E52E0"/>
    <w:rsid w:val="0B1835CC"/>
    <w:rsid w:val="0B261899"/>
    <w:rsid w:val="0B2D4549"/>
    <w:rsid w:val="0B5602DB"/>
    <w:rsid w:val="0B562047"/>
    <w:rsid w:val="0B5A2F9A"/>
    <w:rsid w:val="0B631590"/>
    <w:rsid w:val="0B637E81"/>
    <w:rsid w:val="0B873E05"/>
    <w:rsid w:val="0BAD3251"/>
    <w:rsid w:val="0BB80A2A"/>
    <w:rsid w:val="0BB9217D"/>
    <w:rsid w:val="0BE70857"/>
    <w:rsid w:val="0BFC298F"/>
    <w:rsid w:val="0C31388C"/>
    <w:rsid w:val="0C3E281C"/>
    <w:rsid w:val="0C664C08"/>
    <w:rsid w:val="0C7D0506"/>
    <w:rsid w:val="0C8F7325"/>
    <w:rsid w:val="0C904A39"/>
    <w:rsid w:val="0C9F7EEF"/>
    <w:rsid w:val="0CB92FDC"/>
    <w:rsid w:val="0CBB53D5"/>
    <w:rsid w:val="0CC72DE5"/>
    <w:rsid w:val="0CCA6B55"/>
    <w:rsid w:val="0CEC5226"/>
    <w:rsid w:val="0D444B80"/>
    <w:rsid w:val="0D4A21FA"/>
    <w:rsid w:val="0D4E26CD"/>
    <w:rsid w:val="0D5869C3"/>
    <w:rsid w:val="0D611ACB"/>
    <w:rsid w:val="0D7518C3"/>
    <w:rsid w:val="0D7B3C9C"/>
    <w:rsid w:val="0D9D0715"/>
    <w:rsid w:val="0DBA7A23"/>
    <w:rsid w:val="0DC766F5"/>
    <w:rsid w:val="0DF1042D"/>
    <w:rsid w:val="0E12728E"/>
    <w:rsid w:val="0E2A4B26"/>
    <w:rsid w:val="0E452ABE"/>
    <w:rsid w:val="0E526381"/>
    <w:rsid w:val="0E552FC6"/>
    <w:rsid w:val="0E711F1D"/>
    <w:rsid w:val="0E7A20ED"/>
    <w:rsid w:val="0E856147"/>
    <w:rsid w:val="0E883CAF"/>
    <w:rsid w:val="0E971105"/>
    <w:rsid w:val="0E9D4E90"/>
    <w:rsid w:val="0EB61AAE"/>
    <w:rsid w:val="0EE07F15"/>
    <w:rsid w:val="0EEF30F1"/>
    <w:rsid w:val="0F012848"/>
    <w:rsid w:val="0F0E6BDB"/>
    <w:rsid w:val="0F38616E"/>
    <w:rsid w:val="0F39028B"/>
    <w:rsid w:val="0F4A3EFC"/>
    <w:rsid w:val="0F6F6FB1"/>
    <w:rsid w:val="0F781A43"/>
    <w:rsid w:val="0F791D74"/>
    <w:rsid w:val="0F7F3693"/>
    <w:rsid w:val="0F884CA2"/>
    <w:rsid w:val="0F9E1003"/>
    <w:rsid w:val="0FB77572"/>
    <w:rsid w:val="0FBD50BE"/>
    <w:rsid w:val="0FBE4933"/>
    <w:rsid w:val="0FDC0766"/>
    <w:rsid w:val="0FEF07D4"/>
    <w:rsid w:val="0FF22FB9"/>
    <w:rsid w:val="0FFF280E"/>
    <w:rsid w:val="100E5063"/>
    <w:rsid w:val="103701B4"/>
    <w:rsid w:val="10384174"/>
    <w:rsid w:val="103D0336"/>
    <w:rsid w:val="1047471D"/>
    <w:rsid w:val="104B038F"/>
    <w:rsid w:val="1054083B"/>
    <w:rsid w:val="106634AE"/>
    <w:rsid w:val="107B4362"/>
    <w:rsid w:val="10B32346"/>
    <w:rsid w:val="10CA1840"/>
    <w:rsid w:val="10CF596E"/>
    <w:rsid w:val="1115526F"/>
    <w:rsid w:val="111F5522"/>
    <w:rsid w:val="113833B3"/>
    <w:rsid w:val="115253E7"/>
    <w:rsid w:val="116263B8"/>
    <w:rsid w:val="116837ED"/>
    <w:rsid w:val="11777F7F"/>
    <w:rsid w:val="11910F45"/>
    <w:rsid w:val="11AF5E3F"/>
    <w:rsid w:val="11B54C60"/>
    <w:rsid w:val="11B90C97"/>
    <w:rsid w:val="11CF11FB"/>
    <w:rsid w:val="11EC1B1B"/>
    <w:rsid w:val="120078D2"/>
    <w:rsid w:val="12031C82"/>
    <w:rsid w:val="1224683B"/>
    <w:rsid w:val="12467FA6"/>
    <w:rsid w:val="124D2AFF"/>
    <w:rsid w:val="126721DC"/>
    <w:rsid w:val="12713871"/>
    <w:rsid w:val="12971BF6"/>
    <w:rsid w:val="12AA7B7B"/>
    <w:rsid w:val="12B5518D"/>
    <w:rsid w:val="12C155DA"/>
    <w:rsid w:val="12C6557C"/>
    <w:rsid w:val="12E4299C"/>
    <w:rsid w:val="12F65DFE"/>
    <w:rsid w:val="12FC70D7"/>
    <w:rsid w:val="133447CD"/>
    <w:rsid w:val="134772D3"/>
    <w:rsid w:val="13492FEE"/>
    <w:rsid w:val="135F4A3C"/>
    <w:rsid w:val="13782CBE"/>
    <w:rsid w:val="13800943"/>
    <w:rsid w:val="13A42F44"/>
    <w:rsid w:val="13B7101D"/>
    <w:rsid w:val="13C6376B"/>
    <w:rsid w:val="13C913FD"/>
    <w:rsid w:val="13FB3C44"/>
    <w:rsid w:val="14117786"/>
    <w:rsid w:val="14212B38"/>
    <w:rsid w:val="14344B34"/>
    <w:rsid w:val="144514FF"/>
    <w:rsid w:val="145C1FAB"/>
    <w:rsid w:val="14605F9C"/>
    <w:rsid w:val="14640EBB"/>
    <w:rsid w:val="149C7998"/>
    <w:rsid w:val="149E181B"/>
    <w:rsid w:val="14BC5944"/>
    <w:rsid w:val="14CA542A"/>
    <w:rsid w:val="14EB7462"/>
    <w:rsid w:val="14F37C5F"/>
    <w:rsid w:val="15334096"/>
    <w:rsid w:val="15424A97"/>
    <w:rsid w:val="154C09B6"/>
    <w:rsid w:val="15794AED"/>
    <w:rsid w:val="15A72011"/>
    <w:rsid w:val="15C01464"/>
    <w:rsid w:val="15F062EB"/>
    <w:rsid w:val="15FF2A33"/>
    <w:rsid w:val="160C0FA7"/>
    <w:rsid w:val="160C6EDE"/>
    <w:rsid w:val="161B4A7A"/>
    <w:rsid w:val="16421167"/>
    <w:rsid w:val="165C3714"/>
    <w:rsid w:val="16756B9D"/>
    <w:rsid w:val="16D169BF"/>
    <w:rsid w:val="16D60A08"/>
    <w:rsid w:val="17065EE6"/>
    <w:rsid w:val="17197392"/>
    <w:rsid w:val="172779EC"/>
    <w:rsid w:val="1741592D"/>
    <w:rsid w:val="174C7AE7"/>
    <w:rsid w:val="17947E66"/>
    <w:rsid w:val="17A353CE"/>
    <w:rsid w:val="17B42F68"/>
    <w:rsid w:val="17CD6638"/>
    <w:rsid w:val="17EF6030"/>
    <w:rsid w:val="18007E87"/>
    <w:rsid w:val="18085BC8"/>
    <w:rsid w:val="1817191F"/>
    <w:rsid w:val="181E3B72"/>
    <w:rsid w:val="18226ADA"/>
    <w:rsid w:val="18364FB2"/>
    <w:rsid w:val="1840120A"/>
    <w:rsid w:val="185309A2"/>
    <w:rsid w:val="186E2B3C"/>
    <w:rsid w:val="18701673"/>
    <w:rsid w:val="1893700F"/>
    <w:rsid w:val="18972950"/>
    <w:rsid w:val="18AE37F5"/>
    <w:rsid w:val="18B45230"/>
    <w:rsid w:val="18B83AC2"/>
    <w:rsid w:val="18C8788D"/>
    <w:rsid w:val="18D07584"/>
    <w:rsid w:val="18F4564C"/>
    <w:rsid w:val="19035F42"/>
    <w:rsid w:val="19163406"/>
    <w:rsid w:val="191D5610"/>
    <w:rsid w:val="192F1272"/>
    <w:rsid w:val="193F4BE4"/>
    <w:rsid w:val="1955097E"/>
    <w:rsid w:val="198B5294"/>
    <w:rsid w:val="198E79EF"/>
    <w:rsid w:val="19964436"/>
    <w:rsid w:val="199B54A9"/>
    <w:rsid w:val="19B074BE"/>
    <w:rsid w:val="19C15150"/>
    <w:rsid w:val="19F03D24"/>
    <w:rsid w:val="19F2311E"/>
    <w:rsid w:val="1A0025EF"/>
    <w:rsid w:val="1A08577D"/>
    <w:rsid w:val="1A086077"/>
    <w:rsid w:val="1A0870CC"/>
    <w:rsid w:val="1A0D7064"/>
    <w:rsid w:val="1A1609B5"/>
    <w:rsid w:val="1A1B421B"/>
    <w:rsid w:val="1A200F17"/>
    <w:rsid w:val="1A291F31"/>
    <w:rsid w:val="1A3F4038"/>
    <w:rsid w:val="1A6C5716"/>
    <w:rsid w:val="1A6F68B8"/>
    <w:rsid w:val="1A8052A0"/>
    <w:rsid w:val="1A933A99"/>
    <w:rsid w:val="1AA66F92"/>
    <w:rsid w:val="1AA72BF2"/>
    <w:rsid w:val="1AEC44AB"/>
    <w:rsid w:val="1AF17420"/>
    <w:rsid w:val="1B060821"/>
    <w:rsid w:val="1B0D0754"/>
    <w:rsid w:val="1B1837CD"/>
    <w:rsid w:val="1B295FA9"/>
    <w:rsid w:val="1B487347"/>
    <w:rsid w:val="1B6A603C"/>
    <w:rsid w:val="1BB542E3"/>
    <w:rsid w:val="1BBE7853"/>
    <w:rsid w:val="1BEC1E97"/>
    <w:rsid w:val="1C0E14BB"/>
    <w:rsid w:val="1C2B76F0"/>
    <w:rsid w:val="1C5871D3"/>
    <w:rsid w:val="1C587BFB"/>
    <w:rsid w:val="1C672ADC"/>
    <w:rsid w:val="1C6A5624"/>
    <w:rsid w:val="1C73486D"/>
    <w:rsid w:val="1C7C7327"/>
    <w:rsid w:val="1CA518B7"/>
    <w:rsid w:val="1CAB0154"/>
    <w:rsid w:val="1CB020CB"/>
    <w:rsid w:val="1CDF6BEC"/>
    <w:rsid w:val="1CFE1E89"/>
    <w:rsid w:val="1D006358"/>
    <w:rsid w:val="1D1E2659"/>
    <w:rsid w:val="1D266574"/>
    <w:rsid w:val="1D41427E"/>
    <w:rsid w:val="1D5676AD"/>
    <w:rsid w:val="1D5D3BD3"/>
    <w:rsid w:val="1D601A5E"/>
    <w:rsid w:val="1D6848BB"/>
    <w:rsid w:val="1D6B151B"/>
    <w:rsid w:val="1D777D39"/>
    <w:rsid w:val="1DA962DF"/>
    <w:rsid w:val="1DAD1893"/>
    <w:rsid w:val="1DBA21A6"/>
    <w:rsid w:val="1DE30CD7"/>
    <w:rsid w:val="1DE92F85"/>
    <w:rsid w:val="1DF95C22"/>
    <w:rsid w:val="1E0438CC"/>
    <w:rsid w:val="1E2D187E"/>
    <w:rsid w:val="1E6A6A96"/>
    <w:rsid w:val="1E8411A9"/>
    <w:rsid w:val="1E8C503B"/>
    <w:rsid w:val="1EA81C00"/>
    <w:rsid w:val="1EAA16C5"/>
    <w:rsid w:val="1EC316AA"/>
    <w:rsid w:val="1EC7379B"/>
    <w:rsid w:val="1EE009BD"/>
    <w:rsid w:val="1EE70CB6"/>
    <w:rsid w:val="1EE77FD4"/>
    <w:rsid w:val="1EF46986"/>
    <w:rsid w:val="1EF72E57"/>
    <w:rsid w:val="1F063EC8"/>
    <w:rsid w:val="1F26286A"/>
    <w:rsid w:val="1F504DFC"/>
    <w:rsid w:val="1F533B79"/>
    <w:rsid w:val="1F6A6477"/>
    <w:rsid w:val="1F6C699B"/>
    <w:rsid w:val="1F8813E5"/>
    <w:rsid w:val="1F881E8C"/>
    <w:rsid w:val="1F9F033C"/>
    <w:rsid w:val="1FA86D41"/>
    <w:rsid w:val="1FE51244"/>
    <w:rsid w:val="1FF61833"/>
    <w:rsid w:val="20103457"/>
    <w:rsid w:val="201572A7"/>
    <w:rsid w:val="201959C4"/>
    <w:rsid w:val="2026199C"/>
    <w:rsid w:val="203245EE"/>
    <w:rsid w:val="20340A84"/>
    <w:rsid w:val="20454BD6"/>
    <w:rsid w:val="204F04AF"/>
    <w:rsid w:val="2051321F"/>
    <w:rsid w:val="206503C4"/>
    <w:rsid w:val="206615A8"/>
    <w:rsid w:val="206A20D4"/>
    <w:rsid w:val="20B468B2"/>
    <w:rsid w:val="20D74CC4"/>
    <w:rsid w:val="20E558F4"/>
    <w:rsid w:val="20F22018"/>
    <w:rsid w:val="20FA3622"/>
    <w:rsid w:val="21214A7F"/>
    <w:rsid w:val="21281ABC"/>
    <w:rsid w:val="21372D16"/>
    <w:rsid w:val="213C0FBA"/>
    <w:rsid w:val="213E2C6F"/>
    <w:rsid w:val="2152522B"/>
    <w:rsid w:val="215E0557"/>
    <w:rsid w:val="2179749C"/>
    <w:rsid w:val="217B3707"/>
    <w:rsid w:val="21814724"/>
    <w:rsid w:val="21832BC6"/>
    <w:rsid w:val="218E0242"/>
    <w:rsid w:val="218F1996"/>
    <w:rsid w:val="21D66CF0"/>
    <w:rsid w:val="21EA12B6"/>
    <w:rsid w:val="21F016CA"/>
    <w:rsid w:val="221245F1"/>
    <w:rsid w:val="2218029A"/>
    <w:rsid w:val="223B51A9"/>
    <w:rsid w:val="22516D9F"/>
    <w:rsid w:val="22721629"/>
    <w:rsid w:val="229714AB"/>
    <w:rsid w:val="229E33B7"/>
    <w:rsid w:val="22E36015"/>
    <w:rsid w:val="22E80120"/>
    <w:rsid w:val="231E56B0"/>
    <w:rsid w:val="23430026"/>
    <w:rsid w:val="235C2EF0"/>
    <w:rsid w:val="23766317"/>
    <w:rsid w:val="2384314F"/>
    <w:rsid w:val="23872A73"/>
    <w:rsid w:val="23902475"/>
    <w:rsid w:val="23933EE9"/>
    <w:rsid w:val="2393747B"/>
    <w:rsid w:val="23B46DAE"/>
    <w:rsid w:val="23B77D1D"/>
    <w:rsid w:val="23C71C0F"/>
    <w:rsid w:val="23D06FB0"/>
    <w:rsid w:val="23D47EBC"/>
    <w:rsid w:val="23DF21DE"/>
    <w:rsid w:val="23E300AA"/>
    <w:rsid w:val="23E358C5"/>
    <w:rsid w:val="23F21382"/>
    <w:rsid w:val="24142EB5"/>
    <w:rsid w:val="243F1241"/>
    <w:rsid w:val="2442094C"/>
    <w:rsid w:val="244335A8"/>
    <w:rsid w:val="244431EF"/>
    <w:rsid w:val="244B538D"/>
    <w:rsid w:val="24574D25"/>
    <w:rsid w:val="24606941"/>
    <w:rsid w:val="24673096"/>
    <w:rsid w:val="246730C1"/>
    <w:rsid w:val="246F51CA"/>
    <w:rsid w:val="24905FED"/>
    <w:rsid w:val="249A0A51"/>
    <w:rsid w:val="249D42E2"/>
    <w:rsid w:val="24D3583A"/>
    <w:rsid w:val="24E05525"/>
    <w:rsid w:val="24F06E84"/>
    <w:rsid w:val="251618FB"/>
    <w:rsid w:val="251D78B6"/>
    <w:rsid w:val="252A7A5C"/>
    <w:rsid w:val="254058C5"/>
    <w:rsid w:val="25405DC4"/>
    <w:rsid w:val="254E6EC3"/>
    <w:rsid w:val="25551BC9"/>
    <w:rsid w:val="25747973"/>
    <w:rsid w:val="25BA5521"/>
    <w:rsid w:val="260B6EB2"/>
    <w:rsid w:val="26153106"/>
    <w:rsid w:val="26395046"/>
    <w:rsid w:val="264A35D8"/>
    <w:rsid w:val="265E5D94"/>
    <w:rsid w:val="26833A10"/>
    <w:rsid w:val="26A2483E"/>
    <w:rsid w:val="26A65094"/>
    <w:rsid w:val="26B9231B"/>
    <w:rsid w:val="26C05FC4"/>
    <w:rsid w:val="26CD67F3"/>
    <w:rsid w:val="26DD7344"/>
    <w:rsid w:val="26E77311"/>
    <w:rsid w:val="270B3234"/>
    <w:rsid w:val="271E71AE"/>
    <w:rsid w:val="274B07C5"/>
    <w:rsid w:val="27555C7D"/>
    <w:rsid w:val="27832F01"/>
    <w:rsid w:val="27924E71"/>
    <w:rsid w:val="279E2730"/>
    <w:rsid w:val="27B867EC"/>
    <w:rsid w:val="280F336F"/>
    <w:rsid w:val="282603B3"/>
    <w:rsid w:val="28261D1D"/>
    <w:rsid w:val="28430C74"/>
    <w:rsid w:val="284351F9"/>
    <w:rsid w:val="284E1EC1"/>
    <w:rsid w:val="28565757"/>
    <w:rsid w:val="286A4719"/>
    <w:rsid w:val="28972F2F"/>
    <w:rsid w:val="28A1169A"/>
    <w:rsid w:val="28CA642A"/>
    <w:rsid w:val="28DA17D4"/>
    <w:rsid w:val="28EC0C19"/>
    <w:rsid w:val="28FD621B"/>
    <w:rsid w:val="28FF08B2"/>
    <w:rsid w:val="290230C4"/>
    <w:rsid w:val="2943309F"/>
    <w:rsid w:val="295A0CAB"/>
    <w:rsid w:val="29606D8E"/>
    <w:rsid w:val="29646468"/>
    <w:rsid w:val="29913FF2"/>
    <w:rsid w:val="29A0718A"/>
    <w:rsid w:val="29A1550D"/>
    <w:rsid w:val="29AC2C1D"/>
    <w:rsid w:val="29D70C3E"/>
    <w:rsid w:val="29EF692D"/>
    <w:rsid w:val="2A0229DB"/>
    <w:rsid w:val="2A220F45"/>
    <w:rsid w:val="2A2D75EE"/>
    <w:rsid w:val="2A4915D0"/>
    <w:rsid w:val="2A4940A0"/>
    <w:rsid w:val="2A614B6C"/>
    <w:rsid w:val="2A71260E"/>
    <w:rsid w:val="2A75237C"/>
    <w:rsid w:val="2A87417D"/>
    <w:rsid w:val="2A8E3B39"/>
    <w:rsid w:val="2A9A668B"/>
    <w:rsid w:val="2AAD25A8"/>
    <w:rsid w:val="2AB362CD"/>
    <w:rsid w:val="2AC3394B"/>
    <w:rsid w:val="2AD54F58"/>
    <w:rsid w:val="2AEC06B3"/>
    <w:rsid w:val="2B006273"/>
    <w:rsid w:val="2B035C23"/>
    <w:rsid w:val="2B084612"/>
    <w:rsid w:val="2B2633F5"/>
    <w:rsid w:val="2B642245"/>
    <w:rsid w:val="2B79525E"/>
    <w:rsid w:val="2BAD38AD"/>
    <w:rsid w:val="2BBC5D1C"/>
    <w:rsid w:val="2C0B358E"/>
    <w:rsid w:val="2C1E7A0E"/>
    <w:rsid w:val="2C2B719C"/>
    <w:rsid w:val="2C394196"/>
    <w:rsid w:val="2C3C6A10"/>
    <w:rsid w:val="2C4B0061"/>
    <w:rsid w:val="2C5F4207"/>
    <w:rsid w:val="2C78681B"/>
    <w:rsid w:val="2C9E5FF3"/>
    <w:rsid w:val="2CA4032A"/>
    <w:rsid w:val="2CCA03B9"/>
    <w:rsid w:val="2CCC7029"/>
    <w:rsid w:val="2CE569FE"/>
    <w:rsid w:val="2D31132F"/>
    <w:rsid w:val="2D6A37F2"/>
    <w:rsid w:val="2D7D55A7"/>
    <w:rsid w:val="2D822002"/>
    <w:rsid w:val="2D8401D1"/>
    <w:rsid w:val="2D95059B"/>
    <w:rsid w:val="2DA12CB3"/>
    <w:rsid w:val="2DA255D7"/>
    <w:rsid w:val="2DB75FA2"/>
    <w:rsid w:val="2DE04B48"/>
    <w:rsid w:val="2DEC60C8"/>
    <w:rsid w:val="2E03143D"/>
    <w:rsid w:val="2E0C7C48"/>
    <w:rsid w:val="2E270D80"/>
    <w:rsid w:val="2E487F67"/>
    <w:rsid w:val="2E5B4D7C"/>
    <w:rsid w:val="2E6712A6"/>
    <w:rsid w:val="2E8B1693"/>
    <w:rsid w:val="2E8D532A"/>
    <w:rsid w:val="2E993DFA"/>
    <w:rsid w:val="2EA21F74"/>
    <w:rsid w:val="2EED6FE4"/>
    <w:rsid w:val="2EF72BD3"/>
    <w:rsid w:val="2EF80C77"/>
    <w:rsid w:val="2EFC3659"/>
    <w:rsid w:val="2F0361F1"/>
    <w:rsid w:val="2F2B77BF"/>
    <w:rsid w:val="2F2E6C29"/>
    <w:rsid w:val="2F3F0F2B"/>
    <w:rsid w:val="2FB43261"/>
    <w:rsid w:val="2FB74DD3"/>
    <w:rsid w:val="2FF36D30"/>
    <w:rsid w:val="301329A2"/>
    <w:rsid w:val="30171E31"/>
    <w:rsid w:val="306A602F"/>
    <w:rsid w:val="30974582"/>
    <w:rsid w:val="30C405C1"/>
    <w:rsid w:val="30E30013"/>
    <w:rsid w:val="30ED5E7E"/>
    <w:rsid w:val="31101099"/>
    <w:rsid w:val="3139351D"/>
    <w:rsid w:val="313C61FC"/>
    <w:rsid w:val="314F3D94"/>
    <w:rsid w:val="31605D8B"/>
    <w:rsid w:val="317315B7"/>
    <w:rsid w:val="3180038B"/>
    <w:rsid w:val="318C48F7"/>
    <w:rsid w:val="31B859B9"/>
    <w:rsid w:val="31C24CF5"/>
    <w:rsid w:val="31D11FAA"/>
    <w:rsid w:val="31E16592"/>
    <w:rsid w:val="321A7F0A"/>
    <w:rsid w:val="322777C0"/>
    <w:rsid w:val="32364FD9"/>
    <w:rsid w:val="32374743"/>
    <w:rsid w:val="3254749C"/>
    <w:rsid w:val="32734E7C"/>
    <w:rsid w:val="32877C2B"/>
    <w:rsid w:val="32B617E1"/>
    <w:rsid w:val="32BB2DB0"/>
    <w:rsid w:val="32BC3287"/>
    <w:rsid w:val="32F32243"/>
    <w:rsid w:val="330A348E"/>
    <w:rsid w:val="3312691C"/>
    <w:rsid w:val="33174600"/>
    <w:rsid w:val="332C011C"/>
    <w:rsid w:val="332C719C"/>
    <w:rsid w:val="33356F91"/>
    <w:rsid w:val="333C2C7C"/>
    <w:rsid w:val="335257FD"/>
    <w:rsid w:val="3354032C"/>
    <w:rsid w:val="33604C48"/>
    <w:rsid w:val="337C30AF"/>
    <w:rsid w:val="338941D3"/>
    <w:rsid w:val="339B4E33"/>
    <w:rsid w:val="33A77C77"/>
    <w:rsid w:val="33AE0E87"/>
    <w:rsid w:val="33B5551D"/>
    <w:rsid w:val="33B86306"/>
    <w:rsid w:val="33BC1B83"/>
    <w:rsid w:val="33D31CF0"/>
    <w:rsid w:val="33DC33EA"/>
    <w:rsid w:val="34056568"/>
    <w:rsid w:val="3415274A"/>
    <w:rsid w:val="34331CA9"/>
    <w:rsid w:val="345938D8"/>
    <w:rsid w:val="345B18BC"/>
    <w:rsid w:val="34701213"/>
    <w:rsid w:val="34B97532"/>
    <w:rsid w:val="34C44A1B"/>
    <w:rsid w:val="34CF2D99"/>
    <w:rsid w:val="34CF3255"/>
    <w:rsid w:val="34D85CE0"/>
    <w:rsid w:val="34D86128"/>
    <w:rsid w:val="34F81B18"/>
    <w:rsid w:val="352A1876"/>
    <w:rsid w:val="352C7EA8"/>
    <w:rsid w:val="3532762B"/>
    <w:rsid w:val="35452E00"/>
    <w:rsid w:val="354877B5"/>
    <w:rsid w:val="355308EE"/>
    <w:rsid w:val="355B6C83"/>
    <w:rsid w:val="3571222E"/>
    <w:rsid w:val="35964F52"/>
    <w:rsid w:val="35BB5AC4"/>
    <w:rsid w:val="35D8258F"/>
    <w:rsid w:val="362802CC"/>
    <w:rsid w:val="36346CFB"/>
    <w:rsid w:val="36354AAD"/>
    <w:rsid w:val="36425847"/>
    <w:rsid w:val="3661318D"/>
    <w:rsid w:val="366644C5"/>
    <w:rsid w:val="367C2017"/>
    <w:rsid w:val="369566CE"/>
    <w:rsid w:val="36A47998"/>
    <w:rsid w:val="36BD312A"/>
    <w:rsid w:val="37003071"/>
    <w:rsid w:val="37386503"/>
    <w:rsid w:val="37425908"/>
    <w:rsid w:val="37472759"/>
    <w:rsid w:val="375A306E"/>
    <w:rsid w:val="37945B3B"/>
    <w:rsid w:val="37977E1F"/>
    <w:rsid w:val="379A5C67"/>
    <w:rsid w:val="37B85C42"/>
    <w:rsid w:val="37CA62C7"/>
    <w:rsid w:val="37D80E90"/>
    <w:rsid w:val="37F22527"/>
    <w:rsid w:val="380C2269"/>
    <w:rsid w:val="38234165"/>
    <w:rsid w:val="38256E9F"/>
    <w:rsid w:val="385A3725"/>
    <w:rsid w:val="386009CC"/>
    <w:rsid w:val="38737AF6"/>
    <w:rsid w:val="38BC435C"/>
    <w:rsid w:val="38C64A84"/>
    <w:rsid w:val="38D12161"/>
    <w:rsid w:val="38FB7903"/>
    <w:rsid w:val="38FC3F0C"/>
    <w:rsid w:val="391C7AF6"/>
    <w:rsid w:val="39250C75"/>
    <w:rsid w:val="392E34AC"/>
    <w:rsid w:val="3942025E"/>
    <w:rsid w:val="395554B6"/>
    <w:rsid w:val="395B3277"/>
    <w:rsid w:val="395F2FE7"/>
    <w:rsid w:val="396845CB"/>
    <w:rsid w:val="397607C6"/>
    <w:rsid w:val="3983494D"/>
    <w:rsid w:val="399A315B"/>
    <w:rsid w:val="39AB543B"/>
    <w:rsid w:val="39BB5015"/>
    <w:rsid w:val="39BC725B"/>
    <w:rsid w:val="39CD7DFD"/>
    <w:rsid w:val="3A081F66"/>
    <w:rsid w:val="3A12425D"/>
    <w:rsid w:val="3A270DAC"/>
    <w:rsid w:val="3A2F78EF"/>
    <w:rsid w:val="3A3A2BC8"/>
    <w:rsid w:val="3A3B19EE"/>
    <w:rsid w:val="3A416130"/>
    <w:rsid w:val="3A5116FE"/>
    <w:rsid w:val="3A596459"/>
    <w:rsid w:val="3AAF1C66"/>
    <w:rsid w:val="3ACA25E6"/>
    <w:rsid w:val="3AD47AD6"/>
    <w:rsid w:val="3B1533C5"/>
    <w:rsid w:val="3B1C2CF7"/>
    <w:rsid w:val="3B450CD8"/>
    <w:rsid w:val="3B724A17"/>
    <w:rsid w:val="3B7A74F3"/>
    <w:rsid w:val="3BA77850"/>
    <w:rsid w:val="3BB474D8"/>
    <w:rsid w:val="3BBD361D"/>
    <w:rsid w:val="3BDC38C7"/>
    <w:rsid w:val="3BE84340"/>
    <w:rsid w:val="3C137791"/>
    <w:rsid w:val="3C381663"/>
    <w:rsid w:val="3C482E07"/>
    <w:rsid w:val="3C573743"/>
    <w:rsid w:val="3C771EFD"/>
    <w:rsid w:val="3C777C35"/>
    <w:rsid w:val="3C7D09EA"/>
    <w:rsid w:val="3C911F25"/>
    <w:rsid w:val="3CC95394"/>
    <w:rsid w:val="3CD3573B"/>
    <w:rsid w:val="3CF6471D"/>
    <w:rsid w:val="3D263D3A"/>
    <w:rsid w:val="3D2E157B"/>
    <w:rsid w:val="3D2F5FD0"/>
    <w:rsid w:val="3D3459F9"/>
    <w:rsid w:val="3D4072CF"/>
    <w:rsid w:val="3D496A01"/>
    <w:rsid w:val="3D5C1185"/>
    <w:rsid w:val="3D880828"/>
    <w:rsid w:val="3DA437FF"/>
    <w:rsid w:val="3DBC3A28"/>
    <w:rsid w:val="3DCB5B34"/>
    <w:rsid w:val="3DD841FD"/>
    <w:rsid w:val="3DF668A4"/>
    <w:rsid w:val="3DFE2E36"/>
    <w:rsid w:val="3DFE44C1"/>
    <w:rsid w:val="3E211DEE"/>
    <w:rsid w:val="3E250FDC"/>
    <w:rsid w:val="3E2B30F3"/>
    <w:rsid w:val="3E340640"/>
    <w:rsid w:val="3E391FE4"/>
    <w:rsid w:val="3E6561F6"/>
    <w:rsid w:val="3E6F2782"/>
    <w:rsid w:val="3EC42C3B"/>
    <w:rsid w:val="3EC7661E"/>
    <w:rsid w:val="3EC9039F"/>
    <w:rsid w:val="3ECE49DA"/>
    <w:rsid w:val="3F67457A"/>
    <w:rsid w:val="3F756591"/>
    <w:rsid w:val="3FAC2465"/>
    <w:rsid w:val="3FAD4582"/>
    <w:rsid w:val="3FAD65C2"/>
    <w:rsid w:val="3FC143CF"/>
    <w:rsid w:val="3FCD1690"/>
    <w:rsid w:val="3FCF0B95"/>
    <w:rsid w:val="3FDE5F07"/>
    <w:rsid w:val="3FDF3322"/>
    <w:rsid w:val="3FE5796D"/>
    <w:rsid w:val="3FEF79D5"/>
    <w:rsid w:val="40153669"/>
    <w:rsid w:val="401F4E49"/>
    <w:rsid w:val="402D0EE0"/>
    <w:rsid w:val="403F5F1F"/>
    <w:rsid w:val="40565AAB"/>
    <w:rsid w:val="40886D17"/>
    <w:rsid w:val="40B64153"/>
    <w:rsid w:val="40FC097B"/>
    <w:rsid w:val="41123338"/>
    <w:rsid w:val="41146FDD"/>
    <w:rsid w:val="41595FA6"/>
    <w:rsid w:val="41603324"/>
    <w:rsid w:val="417530F2"/>
    <w:rsid w:val="417A3A13"/>
    <w:rsid w:val="417B1D3B"/>
    <w:rsid w:val="4185035B"/>
    <w:rsid w:val="41907667"/>
    <w:rsid w:val="41927F64"/>
    <w:rsid w:val="41DD53CF"/>
    <w:rsid w:val="41ED521D"/>
    <w:rsid w:val="41F12821"/>
    <w:rsid w:val="422E338B"/>
    <w:rsid w:val="423F0A57"/>
    <w:rsid w:val="4263196C"/>
    <w:rsid w:val="426C701E"/>
    <w:rsid w:val="42947915"/>
    <w:rsid w:val="42AE3530"/>
    <w:rsid w:val="42D42B25"/>
    <w:rsid w:val="42D4749A"/>
    <w:rsid w:val="42EA096D"/>
    <w:rsid w:val="42FE7AB8"/>
    <w:rsid w:val="43144A19"/>
    <w:rsid w:val="43177C22"/>
    <w:rsid w:val="437458A0"/>
    <w:rsid w:val="43C037F5"/>
    <w:rsid w:val="43CA5F24"/>
    <w:rsid w:val="43D0086E"/>
    <w:rsid w:val="43E423D3"/>
    <w:rsid w:val="43EE6C1D"/>
    <w:rsid w:val="43EF6FAB"/>
    <w:rsid w:val="442065C7"/>
    <w:rsid w:val="44557F65"/>
    <w:rsid w:val="445C162D"/>
    <w:rsid w:val="446B21E5"/>
    <w:rsid w:val="446B66F7"/>
    <w:rsid w:val="44A12116"/>
    <w:rsid w:val="44B813D4"/>
    <w:rsid w:val="450827BF"/>
    <w:rsid w:val="45305485"/>
    <w:rsid w:val="454F1D39"/>
    <w:rsid w:val="45575371"/>
    <w:rsid w:val="45697DD5"/>
    <w:rsid w:val="45A858ED"/>
    <w:rsid w:val="45ED2697"/>
    <w:rsid w:val="46832080"/>
    <w:rsid w:val="46837229"/>
    <w:rsid w:val="469830F8"/>
    <w:rsid w:val="46AA5D60"/>
    <w:rsid w:val="46CB7773"/>
    <w:rsid w:val="46D514DA"/>
    <w:rsid w:val="46EB62C0"/>
    <w:rsid w:val="46ED57CE"/>
    <w:rsid w:val="46EE305D"/>
    <w:rsid w:val="46F93680"/>
    <w:rsid w:val="470F74CF"/>
    <w:rsid w:val="4717179B"/>
    <w:rsid w:val="47341771"/>
    <w:rsid w:val="47617FF1"/>
    <w:rsid w:val="47666F0A"/>
    <w:rsid w:val="47676205"/>
    <w:rsid w:val="478C14FB"/>
    <w:rsid w:val="47904CEC"/>
    <w:rsid w:val="47933C11"/>
    <w:rsid w:val="47AA14A8"/>
    <w:rsid w:val="47C5550A"/>
    <w:rsid w:val="47CA085C"/>
    <w:rsid w:val="47CA238A"/>
    <w:rsid w:val="47D745A6"/>
    <w:rsid w:val="47FC68C5"/>
    <w:rsid w:val="48002CA1"/>
    <w:rsid w:val="4828368F"/>
    <w:rsid w:val="482960F2"/>
    <w:rsid w:val="48553092"/>
    <w:rsid w:val="485D5ED4"/>
    <w:rsid w:val="4876582E"/>
    <w:rsid w:val="487970CD"/>
    <w:rsid w:val="48A037CD"/>
    <w:rsid w:val="49042E3A"/>
    <w:rsid w:val="4906515B"/>
    <w:rsid w:val="491750B6"/>
    <w:rsid w:val="491D4EB7"/>
    <w:rsid w:val="493330EB"/>
    <w:rsid w:val="49395DD4"/>
    <w:rsid w:val="493971F2"/>
    <w:rsid w:val="495E7FFE"/>
    <w:rsid w:val="497477B4"/>
    <w:rsid w:val="498573E6"/>
    <w:rsid w:val="49915FE3"/>
    <w:rsid w:val="49A11E64"/>
    <w:rsid w:val="49BC54C3"/>
    <w:rsid w:val="49DC28DB"/>
    <w:rsid w:val="49E7563B"/>
    <w:rsid w:val="49F57FEE"/>
    <w:rsid w:val="4A0B60B1"/>
    <w:rsid w:val="4A187804"/>
    <w:rsid w:val="4A317908"/>
    <w:rsid w:val="4A3B288C"/>
    <w:rsid w:val="4A4C571C"/>
    <w:rsid w:val="4A7C717C"/>
    <w:rsid w:val="4A8917C9"/>
    <w:rsid w:val="4A995264"/>
    <w:rsid w:val="4ACA0433"/>
    <w:rsid w:val="4ACF2AB3"/>
    <w:rsid w:val="4AEA4F6B"/>
    <w:rsid w:val="4B033029"/>
    <w:rsid w:val="4B057FB5"/>
    <w:rsid w:val="4B067361"/>
    <w:rsid w:val="4B0A11A2"/>
    <w:rsid w:val="4B1F67BF"/>
    <w:rsid w:val="4B2C1831"/>
    <w:rsid w:val="4B347CE8"/>
    <w:rsid w:val="4B436C22"/>
    <w:rsid w:val="4B4C6606"/>
    <w:rsid w:val="4B5A1437"/>
    <w:rsid w:val="4B983455"/>
    <w:rsid w:val="4B996EEA"/>
    <w:rsid w:val="4BA36A7D"/>
    <w:rsid w:val="4BA93B01"/>
    <w:rsid w:val="4BBB22C9"/>
    <w:rsid w:val="4BC633C3"/>
    <w:rsid w:val="4BCE5F0E"/>
    <w:rsid w:val="4C543123"/>
    <w:rsid w:val="4C5D59E1"/>
    <w:rsid w:val="4C637033"/>
    <w:rsid w:val="4C7F22FE"/>
    <w:rsid w:val="4C9C390F"/>
    <w:rsid w:val="4CB42157"/>
    <w:rsid w:val="4CBD57DA"/>
    <w:rsid w:val="4CC075C6"/>
    <w:rsid w:val="4CC4437B"/>
    <w:rsid w:val="4CCA0DCA"/>
    <w:rsid w:val="4CCF375F"/>
    <w:rsid w:val="4CE128DB"/>
    <w:rsid w:val="4CE26C1C"/>
    <w:rsid w:val="4D06597C"/>
    <w:rsid w:val="4D0F2B99"/>
    <w:rsid w:val="4D0F7CBF"/>
    <w:rsid w:val="4D280512"/>
    <w:rsid w:val="4D312013"/>
    <w:rsid w:val="4D5F61FF"/>
    <w:rsid w:val="4D65092C"/>
    <w:rsid w:val="4D6B34F3"/>
    <w:rsid w:val="4D7A0809"/>
    <w:rsid w:val="4D824657"/>
    <w:rsid w:val="4DC12A91"/>
    <w:rsid w:val="4DD54FD2"/>
    <w:rsid w:val="4E2102FB"/>
    <w:rsid w:val="4E5553DD"/>
    <w:rsid w:val="4E580B1E"/>
    <w:rsid w:val="4E9505FB"/>
    <w:rsid w:val="4EAC36C8"/>
    <w:rsid w:val="4ED758E2"/>
    <w:rsid w:val="4EE615DE"/>
    <w:rsid w:val="4EF613B1"/>
    <w:rsid w:val="4F14638E"/>
    <w:rsid w:val="4F4123A4"/>
    <w:rsid w:val="4F6D1C28"/>
    <w:rsid w:val="4F786DC8"/>
    <w:rsid w:val="4F792B1B"/>
    <w:rsid w:val="4F894BAA"/>
    <w:rsid w:val="4F902304"/>
    <w:rsid w:val="4F92705E"/>
    <w:rsid w:val="4F98450D"/>
    <w:rsid w:val="4FB25CE1"/>
    <w:rsid w:val="4FBA5E06"/>
    <w:rsid w:val="4FCE0B8B"/>
    <w:rsid w:val="4FD17B04"/>
    <w:rsid w:val="4FDC0952"/>
    <w:rsid w:val="4FE050C6"/>
    <w:rsid w:val="4FF133B2"/>
    <w:rsid w:val="4FF16C49"/>
    <w:rsid w:val="500D018C"/>
    <w:rsid w:val="50107D61"/>
    <w:rsid w:val="50322AFE"/>
    <w:rsid w:val="5047294A"/>
    <w:rsid w:val="5057624B"/>
    <w:rsid w:val="50595A45"/>
    <w:rsid w:val="50596003"/>
    <w:rsid w:val="506245FD"/>
    <w:rsid w:val="50824161"/>
    <w:rsid w:val="50B74C36"/>
    <w:rsid w:val="51051F17"/>
    <w:rsid w:val="51422BA4"/>
    <w:rsid w:val="518E1278"/>
    <w:rsid w:val="51E9117E"/>
    <w:rsid w:val="51EA105D"/>
    <w:rsid w:val="51F81A84"/>
    <w:rsid w:val="5203344D"/>
    <w:rsid w:val="52044C85"/>
    <w:rsid w:val="522E2B51"/>
    <w:rsid w:val="5239508E"/>
    <w:rsid w:val="52595B58"/>
    <w:rsid w:val="526001D2"/>
    <w:rsid w:val="527A5606"/>
    <w:rsid w:val="52C3564B"/>
    <w:rsid w:val="52CB4DBC"/>
    <w:rsid w:val="53052687"/>
    <w:rsid w:val="530C4F4D"/>
    <w:rsid w:val="53203FF7"/>
    <w:rsid w:val="5377630F"/>
    <w:rsid w:val="53777EE3"/>
    <w:rsid w:val="537A7892"/>
    <w:rsid w:val="537D4A00"/>
    <w:rsid w:val="5384026B"/>
    <w:rsid w:val="539F1CBF"/>
    <w:rsid w:val="53D06DE0"/>
    <w:rsid w:val="53DD4515"/>
    <w:rsid w:val="53E275C4"/>
    <w:rsid w:val="53F22F38"/>
    <w:rsid w:val="541D6673"/>
    <w:rsid w:val="54310153"/>
    <w:rsid w:val="543C2DDA"/>
    <w:rsid w:val="545B145E"/>
    <w:rsid w:val="54796C21"/>
    <w:rsid w:val="547A472B"/>
    <w:rsid w:val="547D03A6"/>
    <w:rsid w:val="547E6904"/>
    <w:rsid w:val="54826984"/>
    <w:rsid w:val="5492050B"/>
    <w:rsid w:val="54B64188"/>
    <w:rsid w:val="54DC0970"/>
    <w:rsid w:val="54E756D4"/>
    <w:rsid w:val="54E75C6E"/>
    <w:rsid w:val="54ED25AA"/>
    <w:rsid w:val="551B24FD"/>
    <w:rsid w:val="55260388"/>
    <w:rsid w:val="552A00CC"/>
    <w:rsid w:val="553954AC"/>
    <w:rsid w:val="553F1CBD"/>
    <w:rsid w:val="5572077C"/>
    <w:rsid w:val="55730B9E"/>
    <w:rsid w:val="557C4E18"/>
    <w:rsid w:val="559A290E"/>
    <w:rsid w:val="55AE3E93"/>
    <w:rsid w:val="55B14F4E"/>
    <w:rsid w:val="55EE0B31"/>
    <w:rsid w:val="55F024BD"/>
    <w:rsid w:val="561F0A6D"/>
    <w:rsid w:val="56542892"/>
    <w:rsid w:val="5661025F"/>
    <w:rsid w:val="56650E5C"/>
    <w:rsid w:val="566D16E6"/>
    <w:rsid w:val="568630E0"/>
    <w:rsid w:val="56AC31F4"/>
    <w:rsid w:val="56BF1528"/>
    <w:rsid w:val="56EF36F4"/>
    <w:rsid w:val="56F3467C"/>
    <w:rsid w:val="571276D7"/>
    <w:rsid w:val="571C77AA"/>
    <w:rsid w:val="57417576"/>
    <w:rsid w:val="5771107F"/>
    <w:rsid w:val="57A64758"/>
    <w:rsid w:val="57A91B31"/>
    <w:rsid w:val="57EC3FAA"/>
    <w:rsid w:val="581B5B7D"/>
    <w:rsid w:val="58334968"/>
    <w:rsid w:val="58367C09"/>
    <w:rsid w:val="58450D74"/>
    <w:rsid w:val="585A610F"/>
    <w:rsid w:val="587A1231"/>
    <w:rsid w:val="587C7D09"/>
    <w:rsid w:val="587F30A5"/>
    <w:rsid w:val="5884755E"/>
    <w:rsid w:val="58883859"/>
    <w:rsid w:val="58A9074F"/>
    <w:rsid w:val="58D90A64"/>
    <w:rsid w:val="58D952F9"/>
    <w:rsid w:val="58E270E3"/>
    <w:rsid w:val="58EB1C82"/>
    <w:rsid w:val="58EE40EA"/>
    <w:rsid w:val="590B3D71"/>
    <w:rsid w:val="590B6383"/>
    <w:rsid w:val="591A7D79"/>
    <w:rsid w:val="592F5958"/>
    <w:rsid w:val="59314322"/>
    <w:rsid w:val="59325733"/>
    <w:rsid w:val="593422A4"/>
    <w:rsid w:val="593535ED"/>
    <w:rsid w:val="593552F5"/>
    <w:rsid w:val="593F7C97"/>
    <w:rsid w:val="59542182"/>
    <w:rsid w:val="5964736C"/>
    <w:rsid w:val="59673F59"/>
    <w:rsid w:val="596F71ED"/>
    <w:rsid w:val="59B144D1"/>
    <w:rsid w:val="59B24BA9"/>
    <w:rsid w:val="59B963CF"/>
    <w:rsid w:val="59BA002C"/>
    <w:rsid w:val="59CE2525"/>
    <w:rsid w:val="59CF55A0"/>
    <w:rsid w:val="59EC18FF"/>
    <w:rsid w:val="5A0534AB"/>
    <w:rsid w:val="5A1C77A7"/>
    <w:rsid w:val="5A6F3EC4"/>
    <w:rsid w:val="5A751E5B"/>
    <w:rsid w:val="5A8C230E"/>
    <w:rsid w:val="5A954D9C"/>
    <w:rsid w:val="5AC24C20"/>
    <w:rsid w:val="5AD45ECF"/>
    <w:rsid w:val="5ADD2164"/>
    <w:rsid w:val="5B1B3C26"/>
    <w:rsid w:val="5B1C7423"/>
    <w:rsid w:val="5B1D0603"/>
    <w:rsid w:val="5B54748D"/>
    <w:rsid w:val="5B8027F4"/>
    <w:rsid w:val="5B8B452B"/>
    <w:rsid w:val="5B8E3CFC"/>
    <w:rsid w:val="5BA5092E"/>
    <w:rsid w:val="5BB0054B"/>
    <w:rsid w:val="5BC10D43"/>
    <w:rsid w:val="5BD07B4C"/>
    <w:rsid w:val="5BD24701"/>
    <w:rsid w:val="5BDC25CE"/>
    <w:rsid w:val="5BDF43C0"/>
    <w:rsid w:val="5BE7442B"/>
    <w:rsid w:val="5C0B214F"/>
    <w:rsid w:val="5C1C061F"/>
    <w:rsid w:val="5C1F4BA3"/>
    <w:rsid w:val="5C30364A"/>
    <w:rsid w:val="5C3E2FFA"/>
    <w:rsid w:val="5C440A25"/>
    <w:rsid w:val="5C4A2C93"/>
    <w:rsid w:val="5C5564D0"/>
    <w:rsid w:val="5C5F6748"/>
    <w:rsid w:val="5C8221E3"/>
    <w:rsid w:val="5C8C0C6F"/>
    <w:rsid w:val="5C91375F"/>
    <w:rsid w:val="5CA27DB6"/>
    <w:rsid w:val="5CBF3A16"/>
    <w:rsid w:val="5CCB1E1F"/>
    <w:rsid w:val="5CE527CA"/>
    <w:rsid w:val="5CE65D1B"/>
    <w:rsid w:val="5D1A0118"/>
    <w:rsid w:val="5D696D20"/>
    <w:rsid w:val="5DA60D93"/>
    <w:rsid w:val="5DB1514E"/>
    <w:rsid w:val="5DB91551"/>
    <w:rsid w:val="5DC05B6C"/>
    <w:rsid w:val="5DD43DC5"/>
    <w:rsid w:val="5DDF7CE6"/>
    <w:rsid w:val="5DF5249F"/>
    <w:rsid w:val="5E120B52"/>
    <w:rsid w:val="5E2A16C1"/>
    <w:rsid w:val="5E3730AA"/>
    <w:rsid w:val="5E4442DA"/>
    <w:rsid w:val="5E510795"/>
    <w:rsid w:val="5E5E53A3"/>
    <w:rsid w:val="5E634E4C"/>
    <w:rsid w:val="5E6A778C"/>
    <w:rsid w:val="5E6C2A15"/>
    <w:rsid w:val="5E70493A"/>
    <w:rsid w:val="5E9A4B32"/>
    <w:rsid w:val="5EAA635A"/>
    <w:rsid w:val="5EBC34F4"/>
    <w:rsid w:val="5F107862"/>
    <w:rsid w:val="5F421AA8"/>
    <w:rsid w:val="5F4616FA"/>
    <w:rsid w:val="5F4C26EA"/>
    <w:rsid w:val="5F5530C2"/>
    <w:rsid w:val="5F596FC0"/>
    <w:rsid w:val="5F837FBA"/>
    <w:rsid w:val="5FA330EA"/>
    <w:rsid w:val="5FAB2782"/>
    <w:rsid w:val="5FC87A8B"/>
    <w:rsid w:val="5FCB4706"/>
    <w:rsid w:val="5FCB72BF"/>
    <w:rsid w:val="5FD16C56"/>
    <w:rsid w:val="60136C34"/>
    <w:rsid w:val="602315F1"/>
    <w:rsid w:val="604E6A06"/>
    <w:rsid w:val="606C303C"/>
    <w:rsid w:val="60870037"/>
    <w:rsid w:val="60A42B6C"/>
    <w:rsid w:val="60A9214E"/>
    <w:rsid w:val="60C13FB6"/>
    <w:rsid w:val="60FA1E3F"/>
    <w:rsid w:val="60FF4763"/>
    <w:rsid w:val="6115768B"/>
    <w:rsid w:val="611834BF"/>
    <w:rsid w:val="61332135"/>
    <w:rsid w:val="613712F9"/>
    <w:rsid w:val="61450D22"/>
    <w:rsid w:val="615105E5"/>
    <w:rsid w:val="615931A0"/>
    <w:rsid w:val="616B12C3"/>
    <w:rsid w:val="618B5856"/>
    <w:rsid w:val="61A644A6"/>
    <w:rsid w:val="61B239E8"/>
    <w:rsid w:val="61D76EE6"/>
    <w:rsid w:val="61DD10B7"/>
    <w:rsid w:val="61E61A90"/>
    <w:rsid w:val="62020D1E"/>
    <w:rsid w:val="620B185B"/>
    <w:rsid w:val="622D0015"/>
    <w:rsid w:val="622E137A"/>
    <w:rsid w:val="623132E7"/>
    <w:rsid w:val="62434693"/>
    <w:rsid w:val="626F3FED"/>
    <w:rsid w:val="629C6C2F"/>
    <w:rsid w:val="629E17B2"/>
    <w:rsid w:val="62A019AC"/>
    <w:rsid w:val="62A15670"/>
    <w:rsid w:val="62C70ABA"/>
    <w:rsid w:val="62CE2E71"/>
    <w:rsid w:val="62D70D9A"/>
    <w:rsid w:val="62DC13B6"/>
    <w:rsid w:val="62E328C2"/>
    <w:rsid w:val="63623EDE"/>
    <w:rsid w:val="63667504"/>
    <w:rsid w:val="63722CB8"/>
    <w:rsid w:val="63E659FB"/>
    <w:rsid w:val="63FB14CC"/>
    <w:rsid w:val="640F3F08"/>
    <w:rsid w:val="641A42EA"/>
    <w:rsid w:val="644412EF"/>
    <w:rsid w:val="64582F44"/>
    <w:rsid w:val="646B19CA"/>
    <w:rsid w:val="647D6156"/>
    <w:rsid w:val="648439D2"/>
    <w:rsid w:val="648620A0"/>
    <w:rsid w:val="648C13C0"/>
    <w:rsid w:val="649A0FD1"/>
    <w:rsid w:val="64A43CC1"/>
    <w:rsid w:val="64A57DE0"/>
    <w:rsid w:val="64AB413A"/>
    <w:rsid w:val="64C43BAD"/>
    <w:rsid w:val="64CC6AAA"/>
    <w:rsid w:val="64D8391C"/>
    <w:rsid w:val="64FA4C43"/>
    <w:rsid w:val="64FC3B55"/>
    <w:rsid w:val="650A3BEE"/>
    <w:rsid w:val="652F3B39"/>
    <w:rsid w:val="65636E7E"/>
    <w:rsid w:val="656B4216"/>
    <w:rsid w:val="65796A1D"/>
    <w:rsid w:val="657A5EAE"/>
    <w:rsid w:val="65AB1A9A"/>
    <w:rsid w:val="65D106F3"/>
    <w:rsid w:val="65D37C7E"/>
    <w:rsid w:val="65E34BE8"/>
    <w:rsid w:val="65ED126A"/>
    <w:rsid w:val="661B615A"/>
    <w:rsid w:val="66551B96"/>
    <w:rsid w:val="66742F55"/>
    <w:rsid w:val="66994EAD"/>
    <w:rsid w:val="66F66A68"/>
    <w:rsid w:val="671B1623"/>
    <w:rsid w:val="6737554E"/>
    <w:rsid w:val="673A7486"/>
    <w:rsid w:val="67492C32"/>
    <w:rsid w:val="677C577E"/>
    <w:rsid w:val="678C0F70"/>
    <w:rsid w:val="67A27F96"/>
    <w:rsid w:val="67B1174B"/>
    <w:rsid w:val="67B509B2"/>
    <w:rsid w:val="67C06FCD"/>
    <w:rsid w:val="67D45DB6"/>
    <w:rsid w:val="67DE4464"/>
    <w:rsid w:val="67DF1603"/>
    <w:rsid w:val="67E57EF6"/>
    <w:rsid w:val="67F95BE6"/>
    <w:rsid w:val="681A3FD0"/>
    <w:rsid w:val="6840015C"/>
    <w:rsid w:val="68405F05"/>
    <w:rsid w:val="68455C23"/>
    <w:rsid w:val="6861519E"/>
    <w:rsid w:val="6863673C"/>
    <w:rsid w:val="68806771"/>
    <w:rsid w:val="68875AA5"/>
    <w:rsid w:val="688C2F03"/>
    <w:rsid w:val="689B7F8B"/>
    <w:rsid w:val="68C213AC"/>
    <w:rsid w:val="68E22D99"/>
    <w:rsid w:val="68E87C2B"/>
    <w:rsid w:val="68ED7B18"/>
    <w:rsid w:val="68F023CC"/>
    <w:rsid w:val="69036813"/>
    <w:rsid w:val="69534808"/>
    <w:rsid w:val="69572D65"/>
    <w:rsid w:val="695A21A4"/>
    <w:rsid w:val="69683B8F"/>
    <w:rsid w:val="69B960A0"/>
    <w:rsid w:val="69C11F0B"/>
    <w:rsid w:val="69C84C6F"/>
    <w:rsid w:val="69D66710"/>
    <w:rsid w:val="69D725B1"/>
    <w:rsid w:val="69E3712F"/>
    <w:rsid w:val="69EE3C06"/>
    <w:rsid w:val="6A033807"/>
    <w:rsid w:val="6A10135E"/>
    <w:rsid w:val="6A2E097F"/>
    <w:rsid w:val="6A310EF4"/>
    <w:rsid w:val="6A6C0BC3"/>
    <w:rsid w:val="6A6D1D76"/>
    <w:rsid w:val="6A705C89"/>
    <w:rsid w:val="6A811D34"/>
    <w:rsid w:val="6A8B7699"/>
    <w:rsid w:val="6A8E7ADF"/>
    <w:rsid w:val="6AA626EA"/>
    <w:rsid w:val="6AA979F3"/>
    <w:rsid w:val="6AAC6229"/>
    <w:rsid w:val="6AB2641F"/>
    <w:rsid w:val="6AD40176"/>
    <w:rsid w:val="6AD85681"/>
    <w:rsid w:val="6ADC65C6"/>
    <w:rsid w:val="6AE87D88"/>
    <w:rsid w:val="6AF11E39"/>
    <w:rsid w:val="6AF467D1"/>
    <w:rsid w:val="6B1572AC"/>
    <w:rsid w:val="6B2C042F"/>
    <w:rsid w:val="6B5066D0"/>
    <w:rsid w:val="6B903FFF"/>
    <w:rsid w:val="6BA573A5"/>
    <w:rsid w:val="6BAA57BC"/>
    <w:rsid w:val="6BB409BE"/>
    <w:rsid w:val="6BBA4DE1"/>
    <w:rsid w:val="6BBB5183"/>
    <w:rsid w:val="6BE74EF9"/>
    <w:rsid w:val="6BFD579B"/>
    <w:rsid w:val="6C375B24"/>
    <w:rsid w:val="6C3B1241"/>
    <w:rsid w:val="6C51483A"/>
    <w:rsid w:val="6C524BF9"/>
    <w:rsid w:val="6C5A2BED"/>
    <w:rsid w:val="6C6E5E85"/>
    <w:rsid w:val="6C8C7B7D"/>
    <w:rsid w:val="6C994126"/>
    <w:rsid w:val="6CB72975"/>
    <w:rsid w:val="6CE75764"/>
    <w:rsid w:val="6D072550"/>
    <w:rsid w:val="6D137E68"/>
    <w:rsid w:val="6D4A3246"/>
    <w:rsid w:val="6D5009B3"/>
    <w:rsid w:val="6D526817"/>
    <w:rsid w:val="6D7F58C2"/>
    <w:rsid w:val="6D8D0056"/>
    <w:rsid w:val="6D976DC0"/>
    <w:rsid w:val="6D9A000C"/>
    <w:rsid w:val="6D9C66F2"/>
    <w:rsid w:val="6DF73D2A"/>
    <w:rsid w:val="6E147D56"/>
    <w:rsid w:val="6E38021C"/>
    <w:rsid w:val="6E396337"/>
    <w:rsid w:val="6E3C23F0"/>
    <w:rsid w:val="6E3C69EF"/>
    <w:rsid w:val="6E4315F2"/>
    <w:rsid w:val="6E627026"/>
    <w:rsid w:val="6E7D71CC"/>
    <w:rsid w:val="6ED153C8"/>
    <w:rsid w:val="6ED963DF"/>
    <w:rsid w:val="6F2423CD"/>
    <w:rsid w:val="6F3E67F6"/>
    <w:rsid w:val="6F6C5E10"/>
    <w:rsid w:val="6F8112F7"/>
    <w:rsid w:val="6F854ED4"/>
    <w:rsid w:val="6F9711C9"/>
    <w:rsid w:val="6FA86BD3"/>
    <w:rsid w:val="6FB20AB7"/>
    <w:rsid w:val="6FCE78FB"/>
    <w:rsid w:val="6FDA07DD"/>
    <w:rsid w:val="6FEA7878"/>
    <w:rsid w:val="6FF2441C"/>
    <w:rsid w:val="70053456"/>
    <w:rsid w:val="70151E71"/>
    <w:rsid w:val="701900AC"/>
    <w:rsid w:val="702160C7"/>
    <w:rsid w:val="70503D3A"/>
    <w:rsid w:val="70523E00"/>
    <w:rsid w:val="705A3865"/>
    <w:rsid w:val="705E0249"/>
    <w:rsid w:val="7071759A"/>
    <w:rsid w:val="70776CBE"/>
    <w:rsid w:val="70875C04"/>
    <w:rsid w:val="709F60E4"/>
    <w:rsid w:val="70AD7298"/>
    <w:rsid w:val="70B551F1"/>
    <w:rsid w:val="70CD6084"/>
    <w:rsid w:val="70D856DD"/>
    <w:rsid w:val="710824C4"/>
    <w:rsid w:val="71220808"/>
    <w:rsid w:val="712A178C"/>
    <w:rsid w:val="712D0EBD"/>
    <w:rsid w:val="71351C71"/>
    <w:rsid w:val="713C4FB8"/>
    <w:rsid w:val="71444CD2"/>
    <w:rsid w:val="71556865"/>
    <w:rsid w:val="715F5852"/>
    <w:rsid w:val="716C73B7"/>
    <w:rsid w:val="716F1045"/>
    <w:rsid w:val="717C3FE9"/>
    <w:rsid w:val="71870B4C"/>
    <w:rsid w:val="719225EC"/>
    <w:rsid w:val="71C254BD"/>
    <w:rsid w:val="71D14883"/>
    <w:rsid w:val="71D623A4"/>
    <w:rsid w:val="71E8597A"/>
    <w:rsid w:val="71F349B5"/>
    <w:rsid w:val="720E3BE6"/>
    <w:rsid w:val="72264F44"/>
    <w:rsid w:val="7243721A"/>
    <w:rsid w:val="72514A93"/>
    <w:rsid w:val="7254084F"/>
    <w:rsid w:val="727170CB"/>
    <w:rsid w:val="72747560"/>
    <w:rsid w:val="728D2BFB"/>
    <w:rsid w:val="7295068C"/>
    <w:rsid w:val="72A42E14"/>
    <w:rsid w:val="72DD6AF5"/>
    <w:rsid w:val="731E73DE"/>
    <w:rsid w:val="73234F2F"/>
    <w:rsid w:val="736F7911"/>
    <w:rsid w:val="7373301A"/>
    <w:rsid w:val="737D1505"/>
    <w:rsid w:val="73804373"/>
    <w:rsid w:val="738D0D83"/>
    <w:rsid w:val="740D6A7B"/>
    <w:rsid w:val="741F2BEF"/>
    <w:rsid w:val="74625749"/>
    <w:rsid w:val="746641B9"/>
    <w:rsid w:val="748529F8"/>
    <w:rsid w:val="749404D8"/>
    <w:rsid w:val="749F0D5A"/>
    <w:rsid w:val="74CF7F29"/>
    <w:rsid w:val="74DE4D34"/>
    <w:rsid w:val="74ED1602"/>
    <w:rsid w:val="74F828CB"/>
    <w:rsid w:val="750064B7"/>
    <w:rsid w:val="751940F7"/>
    <w:rsid w:val="75214795"/>
    <w:rsid w:val="753D3DBE"/>
    <w:rsid w:val="75424A12"/>
    <w:rsid w:val="75461F61"/>
    <w:rsid w:val="755A15F9"/>
    <w:rsid w:val="75622B13"/>
    <w:rsid w:val="756375FE"/>
    <w:rsid w:val="75757438"/>
    <w:rsid w:val="759B3351"/>
    <w:rsid w:val="759E0384"/>
    <w:rsid w:val="75DA4C79"/>
    <w:rsid w:val="75E221D2"/>
    <w:rsid w:val="76051C49"/>
    <w:rsid w:val="76260FCD"/>
    <w:rsid w:val="762A253A"/>
    <w:rsid w:val="763056E2"/>
    <w:rsid w:val="763F4A69"/>
    <w:rsid w:val="765841CE"/>
    <w:rsid w:val="768A230F"/>
    <w:rsid w:val="769A6556"/>
    <w:rsid w:val="769B3CAA"/>
    <w:rsid w:val="769F5F8B"/>
    <w:rsid w:val="76B470B7"/>
    <w:rsid w:val="76CB660E"/>
    <w:rsid w:val="76D83F90"/>
    <w:rsid w:val="76EC4852"/>
    <w:rsid w:val="76EC5EDE"/>
    <w:rsid w:val="770E2DFE"/>
    <w:rsid w:val="770F5A0E"/>
    <w:rsid w:val="77230835"/>
    <w:rsid w:val="772D7337"/>
    <w:rsid w:val="77420766"/>
    <w:rsid w:val="7751075C"/>
    <w:rsid w:val="77732DB5"/>
    <w:rsid w:val="77832EC0"/>
    <w:rsid w:val="77A06662"/>
    <w:rsid w:val="77C31D52"/>
    <w:rsid w:val="77C42DA9"/>
    <w:rsid w:val="788A3CC1"/>
    <w:rsid w:val="78997CAA"/>
    <w:rsid w:val="78AC2A23"/>
    <w:rsid w:val="78BD247C"/>
    <w:rsid w:val="78D6541A"/>
    <w:rsid w:val="78E20BC8"/>
    <w:rsid w:val="78FF3FC8"/>
    <w:rsid w:val="78FF53E2"/>
    <w:rsid w:val="790D2063"/>
    <w:rsid w:val="791C163D"/>
    <w:rsid w:val="791D2AE3"/>
    <w:rsid w:val="791F54A6"/>
    <w:rsid w:val="79205E42"/>
    <w:rsid w:val="794906F4"/>
    <w:rsid w:val="795443FB"/>
    <w:rsid w:val="79674DAE"/>
    <w:rsid w:val="796E4FDA"/>
    <w:rsid w:val="798B312D"/>
    <w:rsid w:val="799A04A1"/>
    <w:rsid w:val="79A423A9"/>
    <w:rsid w:val="79AC3D7F"/>
    <w:rsid w:val="79BB6AB6"/>
    <w:rsid w:val="79E5784A"/>
    <w:rsid w:val="7A170370"/>
    <w:rsid w:val="7A201BBC"/>
    <w:rsid w:val="7A251C82"/>
    <w:rsid w:val="7A554441"/>
    <w:rsid w:val="7A5A7111"/>
    <w:rsid w:val="7A601068"/>
    <w:rsid w:val="7A603710"/>
    <w:rsid w:val="7A622AFC"/>
    <w:rsid w:val="7A84326F"/>
    <w:rsid w:val="7A9C35B9"/>
    <w:rsid w:val="7AAF65C5"/>
    <w:rsid w:val="7AB21654"/>
    <w:rsid w:val="7AD9598F"/>
    <w:rsid w:val="7AF5198B"/>
    <w:rsid w:val="7B2C5C43"/>
    <w:rsid w:val="7B486A1A"/>
    <w:rsid w:val="7B5C6CE7"/>
    <w:rsid w:val="7B6701DD"/>
    <w:rsid w:val="7B707D38"/>
    <w:rsid w:val="7BB23653"/>
    <w:rsid w:val="7BBA55E5"/>
    <w:rsid w:val="7BC1257B"/>
    <w:rsid w:val="7BC31830"/>
    <w:rsid w:val="7BC5238A"/>
    <w:rsid w:val="7BDC2718"/>
    <w:rsid w:val="7C43369E"/>
    <w:rsid w:val="7C59217B"/>
    <w:rsid w:val="7C850877"/>
    <w:rsid w:val="7C900C99"/>
    <w:rsid w:val="7CC33E38"/>
    <w:rsid w:val="7CDC31CB"/>
    <w:rsid w:val="7CF307E5"/>
    <w:rsid w:val="7CF633D4"/>
    <w:rsid w:val="7CF8115A"/>
    <w:rsid w:val="7CF829B6"/>
    <w:rsid w:val="7D065E01"/>
    <w:rsid w:val="7D25576C"/>
    <w:rsid w:val="7D264FD0"/>
    <w:rsid w:val="7D3A6AB6"/>
    <w:rsid w:val="7D4A2F50"/>
    <w:rsid w:val="7D506304"/>
    <w:rsid w:val="7D620D2B"/>
    <w:rsid w:val="7D6661D9"/>
    <w:rsid w:val="7D6A1E54"/>
    <w:rsid w:val="7D727981"/>
    <w:rsid w:val="7DA4409C"/>
    <w:rsid w:val="7DAD38DE"/>
    <w:rsid w:val="7DDB4179"/>
    <w:rsid w:val="7E216814"/>
    <w:rsid w:val="7E791E7D"/>
    <w:rsid w:val="7E891110"/>
    <w:rsid w:val="7EBD3BD3"/>
    <w:rsid w:val="7EC23C82"/>
    <w:rsid w:val="7EC962A1"/>
    <w:rsid w:val="7ED34C32"/>
    <w:rsid w:val="7EF16501"/>
    <w:rsid w:val="7F0577A7"/>
    <w:rsid w:val="7F1C53B9"/>
    <w:rsid w:val="7F471830"/>
    <w:rsid w:val="7F4F1B71"/>
    <w:rsid w:val="7F753710"/>
    <w:rsid w:val="7F82727D"/>
    <w:rsid w:val="7FF52E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qFormat="1" w:uiPriority="0"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3">
    <w:name w:val="heading 1"/>
    <w:basedOn w:val="1"/>
    <w:next w:val="1"/>
    <w:link w:val="40"/>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12"/>
    <w:autoRedefine/>
    <w:qFormat/>
    <w:uiPriority w:val="0"/>
    <w:pPr>
      <w:keepNext/>
      <w:keepLines/>
      <w:spacing w:before="260" w:after="260" w:line="416" w:lineRule="auto"/>
      <w:outlineLvl w:val="1"/>
    </w:pPr>
    <w:rPr>
      <w:rFonts w:ascii="Arial" w:hAnsi="Arial" w:eastAsia="黑体"/>
      <w:b/>
      <w:sz w:val="32"/>
      <w:szCs w:val="24"/>
    </w:rPr>
  </w:style>
  <w:style w:type="paragraph" w:styleId="5">
    <w:name w:val="heading 3"/>
    <w:basedOn w:val="1"/>
    <w:next w:val="1"/>
    <w:autoRedefine/>
    <w:qFormat/>
    <w:uiPriority w:val="99"/>
    <w:pPr>
      <w:keepNext/>
      <w:keepLines/>
      <w:spacing w:before="260" w:after="260" w:line="416" w:lineRule="auto"/>
      <w:outlineLvl w:val="2"/>
    </w:pPr>
    <w:rPr>
      <w:b/>
      <w:bCs/>
      <w:sz w:val="32"/>
      <w:szCs w:val="32"/>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102"/>
    <w:autoRedefine/>
    <w:qFormat/>
    <w:uiPriority w:val="99"/>
    <w:pPr>
      <w:jc w:val="center"/>
    </w:pPr>
    <w:rPr>
      <w:spacing w:val="20"/>
      <w:sz w:val="24"/>
      <w:szCs w:val="24"/>
    </w:rPr>
  </w:style>
  <w:style w:type="paragraph" w:styleId="6">
    <w:name w:val="List 3"/>
    <w:basedOn w:val="1"/>
    <w:autoRedefine/>
    <w:qFormat/>
    <w:uiPriority w:val="0"/>
    <w:pPr>
      <w:ind w:left="100" w:leftChars="800" w:hanging="200" w:hangingChars="200"/>
    </w:pPr>
    <w:rPr>
      <w:rFonts w:hint="eastAsia" w:ascii="Times New Roman" w:hAnsi="Times New Roman" w:eastAsia="宋体" w:cs="Times New Roman"/>
      <w:szCs w:val="20"/>
    </w:rPr>
  </w:style>
  <w:style w:type="paragraph" w:styleId="7">
    <w:name w:val="Normal Indent"/>
    <w:basedOn w:val="1"/>
    <w:next w:val="1"/>
    <w:link w:val="85"/>
    <w:autoRedefine/>
    <w:unhideWhenUsed/>
    <w:qFormat/>
    <w:uiPriority w:val="0"/>
    <w:pPr>
      <w:ind w:firstLine="420" w:firstLineChars="200"/>
    </w:pPr>
  </w:style>
  <w:style w:type="paragraph" w:styleId="8">
    <w:name w:val="annotation text"/>
    <w:basedOn w:val="1"/>
    <w:link w:val="65"/>
    <w:autoRedefine/>
    <w:unhideWhenUsed/>
    <w:qFormat/>
    <w:uiPriority w:val="0"/>
    <w:pPr>
      <w:jc w:val="left"/>
    </w:pPr>
  </w:style>
  <w:style w:type="paragraph" w:styleId="9">
    <w:name w:val="Body Text Indent"/>
    <w:basedOn w:val="1"/>
    <w:autoRedefine/>
    <w:qFormat/>
    <w:uiPriority w:val="99"/>
    <w:pPr>
      <w:spacing w:after="120"/>
      <w:ind w:left="420" w:leftChars="200"/>
    </w:pPr>
  </w:style>
  <w:style w:type="paragraph" w:styleId="10">
    <w:name w:val="Plain Text"/>
    <w:basedOn w:val="1"/>
    <w:link w:val="58"/>
    <w:autoRedefine/>
    <w:unhideWhenUsed/>
    <w:qFormat/>
    <w:uiPriority w:val="0"/>
    <w:rPr>
      <w:rFonts w:ascii="宋体" w:hAnsi="Courier New" w:eastAsia="宋体" w:cs="Courier New"/>
    </w:rPr>
  </w:style>
  <w:style w:type="paragraph" w:styleId="11">
    <w:name w:val="Date"/>
    <w:basedOn w:val="1"/>
    <w:next w:val="1"/>
    <w:link w:val="77"/>
    <w:autoRedefine/>
    <w:qFormat/>
    <w:uiPriority w:val="0"/>
    <w:pPr>
      <w:widowControl/>
      <w:jc w:val="left"/>
    </w:pPr>
    <w:rPr>
      <w:rFonts w:ascii="宋体" w:hAnsi="宋体" w:eastAsia="宋体" w:cs="宋体"/>
      <w:kern w:val="0"/>
      <w:sz w:val="28"/>
      <w:szCs w:val="24"/>
    </w:rPr>
  </w:style>
  <w:style w:type="paragraph" w:styleId="12">
    <w:name w:val="Body Text Indent 2"/>
    <w:basedOn w:val="1"/>
    <w:link w:val="93"/>
    <w:autoRedefine/>
    <w:semiHidden/>
    <w:unhideWhenUsed/>
    <w:qFormat/>
    <w:uiPriority w:val="99"/>
    <w:pPr>
      <w:spacing w:after="120" w:line="480" w:lineRule="auto"/>
      <w:ind w:left="420" w:leftChars="200"/>
    </w:pPr>
  </w:style>
  <w:style w:type="paragraph" w:styleId="13">
    <w:name w:val="Balloon Text"/>
    <w:basedOn w:val="1"/>
    <w:link w:val="52"/>
    <w:autoRedefine/>
    <w:semiHidden/>
    <w:unhideWhenUsed/>
    <w:qFormat/>
    <w:uiPriority w:val="99"/>
    <w:rPr>
      <w:sz w:val="18"/>
      <w:szCs w:val="18"/>
    </w:rPr>
  </w:style>
  <w:style w:type="paragraph" w:styleId="14">
    <w:name w:val="footer"/>
    <w:basedOn w:val="1"/>
    <w:link w:val="45"/>
    <w:unhideWhenUsed/>
    <w:qFormat/>
    <w:uiPriority w:val="99"/>
    <w:pPr>
      <w:tabs>
        <w:tab w:val="center" w:pos="4153"/>
        <w:tab w:val="right" w:pos="8306"/>
      </w:tabs>
      <w:snapToGrid w:val="0"/>
      <w:jc w:val="left"/>
    </w:pPr>
    <w:rPr>
      <w:sz w:val="18"/>
      <w:szCs w:val="18"/>
    </w:rPr>
  </w:style>
  <w:style w:type="paragraph" w:styleId="15">
    <w:name w:val="header"/>
    <w:basedOn w:val="1"/>
    <w:link w:val="4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semiHidden/>
    <w:unhideWhenUsed/>
    <w:qFormat/>
    <w:uiPriority w:val="39"/>
  </w:style>
  <w:style w:type="paragraph" w:styleId="17">
    <w:name w:val="table of figures"/>
    <w:basedOn w:val="1"/>
    <w:next w:val="1"/>
    <w:autoRedefine/>
    <w:unhideWhenUsed/>
    <w:qFormat/>
    <w:uiPriority w:val="0"/>
    <w:pPr>
      <w:ind w:left="200" w:leftChars="200" w:hanging="200" w:hangingChars="200"/>
    </w:pPr>
    <w:rPr>
      <w:rFonts w:ascii="Calibri" w:hAnsi="Calibri" w:eastAsia="宋体" w:cs="Times New Roman"/>
      <w:szCs w:val="20"/>
    </w:rPr>
  </w:style>
  <w:style w:type="paragraph" w:styleId="18">
    <w:name w:val="toc 2"/>
    <w:basedOn w:val="1"/>
    <w:next w:val="1"/>
    <w:autoRedefine/>
    <w:qFormat/>
    <w:uiPriority w:val="39"/>
    <w:pPr>
      <w:adjustRightInd w:val="0"/>
      <w:snapToGrid w:val="0"/>
      <w:spacing w:line="360" w:lineRule="auto"/>
      <w:jc w:val="center"/>
    </w:pPr>
    <w:rPr>
      <w:rFonts w:ascii="Times New Roman" w:hAnsi="Times New Roman" w:eastAsia="宋体" w:cs="Times New Roman"/>
      <w:b/>
      <w:bCs/>
      <w:smallCaps/>
      <w:color w:val="3333FF"/>
      <w:sz w:val="24"/>
      <w:szCs w:val="24"/>
    </w:rPr>
  </w:style>
  <w:style w:type="paragraph" w:styleId="19">
    <w:name w:val="HTML Preformatted"/>
    <w:basedOn w:val="1"/>
    <w:link w:val="63"/>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link w:val="101"/>
    <w:autoRedefine/>
    <w:unhideWhenUsed/>
    <w:qFormat/>
    <w:uiPriority w:val="99"/>
    <w:pPr>
      <w:spacing w:beforeAutospacing="1" w:afterAutospacing="1"/>
      <w:jc w:val="left"/>
    </w:pPr>
    <w:rPr>
      <w:rFonts w:cs="Times New Roman"/>
      <w:kern w:val="0"/>
      <w:sz w:val="24"/>
    </w:rPr>
  </w:style>
  <w:style w:type="paragraph" w:styleId="21">
    <w:name w:val="Title"/>
    <w:basedOn w:val="22"/>
    <w:next w:val="22"/>
    <w:link w:val="43"/>
    <w:autoRedefine/>
    <w:qFormat/>
    <w:uiPriority w:val="10"/>
    <w:pPr>
      <w:spacing w:line="240" w:lineRule="auto"/>
      <w:jc w:val="center"/>
    </w:pPr>
    <w:rPr>
      <w:rFonts w:ascii="Times New Roman" w:hAnsi="Times New Roman" w:eastAsia="宋体" w:cstheme="majorBidi"/>
      <w:color w:val="3333FF"/>
      <w:sz w:val="24"/>
      <w:szCs w:val="24"/>
    </w:rPr>
  </w:style>
  <w:style w:type="paragraph" w:customStyle="1" w:styleId="22">
    <w:name w:val="2标题"/>
    <w:basedOn w:val="3"/>
    <w:link w:val="38"/>
    <w:autoRedefine/>
    <w:qFormat/>
    <w:uiPriority w:val="0"/>
    <w:pPr>
      <w:adjustRightInd w:val="0"/>
      <w:snapToGrid w:val="0"/>
      <w:spacing w:before="0" w:after="0" w:line="440" w:lineRule="exact"/>
    </w:pPr>
    <w:rPr>
      <w:bCs w:val="0"/>
      <w:sz w:val="28"/>
    </w:rPr>
  </w:style>
  <w:style w:type="paragraph" w:styleId="23">
    <w:name w:val="annotation subject"/>
    <w:basedOn w:val="8"/>
    <w:next w:val="8"/>
    <w:link w:val="67"/>
    <w:autoRedefine/>
    <w:semiHidden/>
    <w:unhideWhenUsed/>
    <w:qFormat/>
    <w:uiPriority w:val="99"/>
    <w:rPr>
      <w:b/>
      <w:bCs/>
    </w:rPr>
  </w:style>
  <w:style w:type="paragraph" w:styleId="24">
    <w:name w:val="Body Text First Indent"/>
    <w:basedOn w:val="2"/>
    <w:link w:val="103"/>
    <w:autoRedefine/>
    <w:semiHidden/>
    <w:unhideWhenUsed/>
    <w:qFormat/>
    <w:uiPriority w:val="99"/>
    <w:pPr>
      <w:spacing w:after="120"/>
      <w:ind w:firstLine="420" w:firstLineChars="100"/>
      <w:jc w:val="both"/>
    </w:pPr>
    <w:rPr>
      <w:spacing w:val="0"/>
      <w:sz w:val="21"/>
      <w:szCs w:val="21"/>
    </w:rPr>
  </w:style>
  <w:style w:type="paragraph" w:styleId="25">
    <w:name w:val="Body Text First Indent 2"/>
    <w:basedOn w:val="1"/>
    <w:next w:val="1"/>
    <w:link w:val="100"/>
    <w:autoRedefine/>
    <w:unhideWhenUsed/>
    <w:qFormat/>
    <w:uiPriority w:val="0"/>
    <w:pPr>
      <w:ind w:firstLine="420" w:firstLineChars="200"/>
    </w:pPr>
    <w:rPr>
      <w:sz w:val="28"/>
    </w:rPr>
  </w:style>
  <w:style w:type="table" w:styleId="27">
    <w:name w:val="Table Grid"/>
    <w:basedOn w:val="2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autoRedefine/>
    <w:qFormat/>
    <w:uiPriority w:val="22"/>
    <w:rPr>
      <w:b/>
      <w:bCs/>
    </w:rPr>
  </w:style>
  <w:style w:type="character" w:styleId="30">
    <w:name w:val="page number"/>
    <w:basedOn w:val="28"/>
    <w:autoRedefine/>
    <w:qFormat/>
    <w:uiPriority w:val="0"/>
  </w:style>
  <w:style w:type="character" w:styleId="31">
    <w:name w:val="Emphasis"/>
    <w:autoRedefine/>
    <w:qFormat/>
    <w:uiPriority w:val="20"/>
    <w:rPr>
      <w:rFonts w:ascii="Arial Black" w:hAnsi="Arial Black" w:eastAsia="黑体" w:cs="Times New Roman"/>
      <w:b/>
      <w:spacing w:val="0"/>
      <w:sz w:val="21"/>
      <w:lang w:eastAsia="zh-CN"/>
    </w:rPr>
  </w:style>
  <w:style w:type="character" w:styleId="32">
    <w:name w:val="Hyperlink"/>
    <w:basedOn w:val="28"/>
    <w:autoRedefine/>
    <w:qFormat/>
    <w:uiPriority w:val="99"/>
    <w:rPr>
      <w:rFonts w:hint="eastAsia" w:ascii="宋体" w:hAnsi="宋体" w:eastAsia="宋体" w:cs="宋体"/>
      <w:color w:val="0000FF"/>
      <w:szCs w:val="21"/>
      <w:u w:val="single"/>
    </w:rPr>
  </w:style>
  <w:style w:type="character" w:styleId="33">
    <w:name w:val="annotation reference"/>
    <w:basedOn w:val="28"/>
    <w:autoRedefine/>
    <w:semiHidden/>
    <w:unhideWhenUsed/>
    <w:qFormat/>
    <w:uiPriority w:val="99"/>
    <w:rPr>
      <w:sz w:val="21"/>
      <w:szCs w:val="21"/>
    </w:rPr>
  </w:style>
  <w:style w:type="paragraph" w:customStyle="1" w:styleId="34">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5">
    <w:name w:val="3图表标题"/>
    <w:basedOn w:val="36"/>
    <w:link w:val="37"/>
    <w:autoRedefine/>
    <w:qFormat/>
    <w:uiPriority w:val="0"/>
    <w:pPr>
      <w:spacing w:line="240" w:lineRule="auto"/>
      <w:jc w:val="center"/>
    </w:pPr>
    <w:rPr>
      <w:rFonts w:eastAsia="黑体"/>
      <w:bCs/>
      <w:kern w:val="44"/>
    </w:rPr>
  </w:style>
  <w:style w:type="paragraph" w:customStyle="1" w:styleId="36">
    <w:name w:val="1正文"/>
    <w:basedOn w:val="1"/>
    <w:link w:val="39"/>
    <w:autoRedefine/>
    <w:qFormat/>
    <w:uiPriority w:val="0"/>
    <w:pPr>
      <w:adjustRightInd w:val="0"/>
      <w:snapToGrid w:val="0"/>
      <w:spacing w:line="360" w:lineRule="auto"/>
      <w:ind w:firstLine="482" w:firstLineChars="200"/>
    </w:pPr>
    <w:rPr>
      <w:rFonts w:ascii="Times New Roman" w:hAnsi="Times New Roman" w:eastAsia="宋体"/>
      <w:b/>
      <w:sz w:val="24"/>
      <w:szCs w:val="24"/>
    </w:rPr>
  </w:style>
  <w:style w:type="character" w:customStyle="1" w:styleId="37">
    <w:name w:val="3图表标题 字符"/>
    <w:basedOn w:val="38"/>
    <w:link w:val="35"/>
    <w:autoRedefine/>
    <w:qFormat/>
    <w:uiPriority w:val="0"/>
    <w:rPr>
      <w:rFonts w:eastAsia="黑体" w:cstheme="minorBidi"/>
      <w:b/>
      <w:color w:val="3333FF"/>
      <w:kern w:val="44"/>
      <w:sz w:val="24"/>
      <w:szCs w:val="24"/>
    </w:rPr>
  </w:style>
  <w:style w:type="character" w:customStyle="1" w:styleId="38">
    <w:name w:val="2标题 字符"/>
    <w:basedOn w:val="39"/>
    <w:link w:val="22"/>
    <w:autoRedefine/>
    <w:qFormat/>
    <w:uiPriority w:val="0"/>
    <w:rPr>
      <w:rFonts w:cstheme="minorBidi"/>
      <w:b w:val="0"/>
      <w:bCs/>
      <w:color w:val="3333FF"/>
      <w:kern w:val="44"/>
      <w:sz w:val="28"/>
      <w:szCs w:val="44"/>
    </w:rPr>
  </w:style>
  <w:style w:type="character" w:customStyle="1" w:styleId="39">
    <w:name w:val="1正文 字符"/>
    <w:basedOn w:val="28"/>
    <w:link w:val="36"/>
    <w:autoRedefine/>
    <w:qFormat/>
    <w:uiPriority w:val="0"/>
    <w:rPr>
      <w:rFonts w:cstheme="minorBidi"/>
      <w:b/>
      <w:kern w:val="2"/>
      <w:sz w:val="24"/>
      <w:szCs w:val="24"/>
    </w:rPr>
  </w:style>
  <w:style w:type="character" w:customStyle="1" w:styleId="40">
    <w:name w:val="标题 1 字符"/>
    <w:basedOn w:val="28"/>
    <w:link w:val="3"/>
    <w:autoRedefine/>
    <w:qFormat/>
    <w:uiPriority w:val="9"/>
    <w:rPr>
      <w:b/>
      <w:bCs/>
      <w:kern w:val="44"/>
      <w:sz w:val="44"/>
      <w:szCs w:val="44"/>
    </w:rPr>
  </w:style>
  <w:style w:type="paragraph" w:customStyle="1" w:styleId="41">
    <w:name w:val="4表格内容"/>
    <w:basedOn w:val="1"/>
    <w:link w:val="42"/>
    <w:autoRedefine/>
    <w:qFormat/>
    <w:uiPriority w:val="0"/>
    <w:pPr>
      <w:adjustRightInd w:val="0"/>
      <w:snapToGrid w:val="0"/>
      <w:jc w:val="center"/>
    </w:pPr>
    <w:rPr>
      <w:rFonts w:ascii="Times New Roman" w:hAnsi="Times New Roman" w:eastAsia="宋体"/>
      <w:bCs/>
      <w:kern w:val="44"/>
      <w:szCs w:val="24"/>
    </w:rPr>
  </w:style>
  <w:style w:type="character" w:customStyle="1" w:styleId="42">
    <w:name w:val="4表格内容 字符"/>
    <w:basedOn w:val="37"/>
    <w:link w:val="41"/>
    <w:autoRedefine/>
    <w:qFormat/>
    <w:uiPriority w:val="0"/>
    <w:rPr>
      <w:rFonts w:eastAsia="黑体" w:cstheme="minorBidi"/>
      <w:bCs w:val="0"/>
      <w:color w:val="3333FF"/>
      <w:kern w:val="44"/>
      <w:sz w:val="21"/>
      <w:szCs w:val="24"/>
    </w:rPr>
  </w:style>
  <w:style w:type="character" w:customStyle="1" w:styleId="43">
    <w:name w:val="标题 字符"/>
    <w:basedOn w:val="28"/>
    <w:link w:val="21"/>
    <w:autoRedefine/>
    <w:qFormat/>
    <w:uiPriority w:val="10"/>
    <w:rPr>
      <w:rFonts w:cstheme="majorBidi"/>
      <w:b/>
      <w:color w:val="3333FF"/>
      <w:kern w:val="44"/>
      <w:sz w:val="24"/>
      <w:szCs w:val="24"/>
    </w:rPr>
  </w:style>
  <w:style w:type="character" w:customStyle="1" w:styleId="44">
    <w:name w:val="页眉 字符"/>
    <w:basedOn w:val="28"/>
    <w:link w:val="15"/>
    <w:autoRedefine/>
    <w:qFormat/>
    <w:uiPriority w:val="0"/>
    <w:rPr>
      <w:sz w:val="18"/>
      <w:szCs w:val="18"/>
    </w:rPr>
  </w:style>
  <w:style w:type="character" w:customStyle="1" w:styleId="45">
    <w:name w:val="页脚 字符"/>
    <w:basedOn w:val="28"/>
    <w:link w:val="14"/>
    <w:autoRedefine/>
    <w:qFormat/>
    <w:uiPriority w:val="99"/>
    <w:rPr>
      <w:sz w:val="18"/>
      <w:szCs w:val="18"/>
    </w:rPr>
  </w:style>
  <w:style w:type="character" w:styleId="46">
    <w:name w:val="Placeholder Text"/>
    <w:basedOn w:val="28"/>
    <w:autoRedefine/>
    <w:semiHidden/>
    <w:qFormat/>
    <w:uiPriority w:val="99"/>
    <w:rPr>
      <w:color w:val="808080"/>
    </w:rPr>
  </w:style>
  <w:style w:type="paragraph" w:customStyle="1" w:styleId="47">
    <w:name w:val="列出段落2"/>
    <w:basedOn w:val="1"/>
    <w:autoRedefine/>
    <w:unhideWhenUsed/>
    <w:qFormat/>
    <w:uiPriority w:val="99"/>
    <w:pPr>
      <w:ind w:firstLine="420" w:firstLineChars="200"/>
    </w:pPr>
  </w:style>
  <w:style w:type="paragraph" w:customStyle="1" w:styleId="48">
    <w:name w:val="样式 样式 首行缩进:  1 字符 + 首行缩进:  2 字符1"/>
    <w:basedOn w:val="1"/>
    <w:autoRedefine/>
    <w:qFormat/>
    <w:uiPriority w:val="0"/>
    <w:pPr>
      <w:spacing w:line="360" w:lineRule="auto"/>
      <w:ind w:firstLine="200" w:firstLineChars="200"/>
    </w:pPr>
    <w:rPr>
      <w:rFonts w:ascii="宋体" w:hAnsi="宋体" w:cs="宋体"/>
      <w:sz w:val="24"/>
      <w:szCs w:val="20"/>
    </w:rPr>
  </w:style>
  <w:style w:type="paragraph" w:customStyle="1" w:styleId="49">
    <w:name w:val="样式 样式 样式 首行缩进:  1 字符 + 首行缩进:  2 字符2 + 首行缩进:  2 字符"/>
    <w:basedOn w:val="1"/>
    <w:autoRedefine/>
    <w:qFormat/>
    <w:uiPriority w:val="0"/>
    <w:pPr>
      <w:spacing w:line="360" w:lineRule="auto"/>
      <w:ind w:firstLine="480" w:firstLineChars="200"/>
    </w:pPr>
    <w:rPr>
      <w:rFonts w:ascii="宋体" w:hAnsi="宋体" w:cs="宋体"/>
      <w:sz w:val="24"/>
      <w:szCs w:val="20"/>
    </w:rPr>
  </w:style>
  <w:style w:type="paragraph" w:customStyle="1" w:styleId="50">
    <w:name w:val="图表正文"/>
    <w:basedOn w:val="1"/>
    <w:autoRedefine/>
    <w:qFormat/>
    <w:uiPriority w:val="0"/>
    <w:pPr>
      <w:jc w:val="center"/>
    </w:pPr>
    <w:rPr>
      <w:rFonts w:eastAsia="Times New Roman"/>
      <w:color w:val="000000"/>
      <w:kern w:val="0"/>
    </w:rPr>
  </w:style>
  <w:style w:type="paragraph" w:customStyle="1" w:styleId="51">
    <w:name w:val="WPSOffice手动目录 1"/>
    <w:autoRedefine/>
    <w:qFormat/>
    <w:uiPriority w:val="0"/>
    <w:rPr>
      <w:rFonts w:ascii="Times New Roman" w:hAnsi="Times New Roman" w:eastAsia="宋体" w:cs="Times New Roman"/>
      <w:lang w:val="en-US" w:eastAsia="zh-CN" w:bidi="ar-SA"/>
    </w:rPr>
  </w:style>
  <w:style w:type="character" w:customStyle="1" w:styleId="52">
    <w:name w:val="批注框文本 字符"/>
    <w:basedOn w:val="28"/>
    <w:link w:val="13"/>
    <w:autoRedefine/>
    <w:semiHidden/>
    <w:qFormat/>
    <w:uiPriority w:val="99"/>
    <w:rPr>
      <w:rFonts w:asciiTheme="minorHAnsi" w:hAnsiTheme="minorHAnsi" w:eastAsiaTheme="minorEastAsia" w:cstheme="minorBidi"/>
      <w:kern w:val="2"/>
      <w:sz w:val="18"/>
      <w:szCs w:val="18"/>
    </w:rPr>
  </w:style>
  <w:style w:type="paragraph" w:customStyle="1" w:styleId="53">
    <w:name w:val="表内内容"/>
    <w:basedOn w:val="1"/>
    <w:autoRedefine/>
    <w:qFormat/>
    <w:uiPriority w:val="0"/>
    <w:pPr>
      <w:jc w:val="center"/>
    </w:pPr>
    <w:rPr>
      <w:rFonts w:ascii="Times New Roman" w:hAnsi="Times New Roman" w:eastAsia="宋体" w:cs="Times New Roman"/>
      <w:szCs w:val="24"/>
    </w:rPr>
  </w:style>
  <w:style w:type="paragraph" w:customStyle="1" w:styleId="54">
    <w:name w:val="我正文"/>
    <w:basedOn w:val="1"/>
    <w:autoRedefine/>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55">
    <w:name w:val="表格下方正文"/>
    <w:basedOn w:val="1"/>
    <w:autoRedefine/>
    <w:qFormat/>
    <w:uiPriority w:val="0"/>
    <w:pPr>
      <w:spacing w:beforeLines="100" w:line="360" w:lineRule="auto"/>
      <w:ind w:firstLine="270" w:firstLineChars="200"/>
    </w:pPr>
    <w:rPr>
      <w:rFonts w:ascii="Times New Roman" w:hAnsi="Times New Roman" w:eastAsia="宋体" w:cs="Times New Roman"/>
      <w:sz w:val="24"/>
      <w:szCs w:val="24"/>
    </w:rPr>
  </w:style>
  <w:style w:type="character" w:customStyle="1" w:styleId="56">
    <w:name w:val="表格文字 Char"/>
    <w:link w:val="57"/>
    <w:autoRedefine/>
    <w:qFormat/>
    <w:uiPriority w:val="0"/>
    <w:rPr>
      <w:kern w:val="2"/>
      <w:sz w:val="21"/>
      <w:szCs w:val="21"/>
    </w:rPr>
  </w:style>
  <w:style w:type="paragraph" w:customStyle="1" w:styleId="57">
    <w:name w:val="表格文字"/>
    <w:basedOn w:val="1"/>
    <w:link w:val="56"/>
    <w:autoRedefine/>
    <w:qFormat/>
    <w:uiPriority w:val="0"/>
    <w:pPr>
      <w:adjustRightInd w:val="0"/>
      <w:snapToGrid w:val="0"/>
    </w:pPr>
    <w:rPr>
      <w:rFonts w:ascii="Times New Roman" w:hAnsi="Times New Roman" w:eastAsia="宋体" w:cs="Times New Roman"/>
    </w:rPr>
  </w:style>
  <w:style w:type="character" w:customStyle="1" w:styleId="58">
    <w:name w:val="纯文本 字符"/>
    <w:basedOn w:val="28"/>
    <w:link w:val="10"/>
    <w:autoRedefine/>
    <w:qFormat/>
    <w:uiPriority w:val="0"/>
    <w:rPr>
      <w:rFonts w:ascii="宋体" w:hAnsi="Courier New" w:cs="Courier New"/>
      <w:kern w:val="2"/>
      <w:sz w:val="21"/>
      <w:szCs w:val="21"/>
    </w:rPr>
  </w:style>
  <w:style w:type="paragraph" w:customStyle="1" w:styleId="59">
    <w:name w:val="2正文"/>
    <w:basedOn w:val="1"/>
    <w:link w:val="60"/>
    <w:autoRedefine/>
    <w:qFormat/>
    <w:uiPriority w:val="0"/>
    <w:pPr>
      <w:adjustRightInd w:val="0"/>
      <w:snapToGrid w:val="0"/>
      <w:spacing w:line="360" w:lineRule="auto"/>
      <w:ind w:firstLine="200" w:firstLineChars="200"/>
    </w:pPr>
    <w:rPr>
      <w:rFonts w:ascii="Times New Roman" w:hAnsi="Times New Roman" w:eastAsia="宋体"/>
      <w:sz w:val="24"/>
      <w:szCs w:val="22"/>
    </w:rPr>
  </w:style>
  <w:style w:type="character" w:customStyle="1" w:styleId="60">
    <w:name w:val="2正文 字符"/>
    <w:basedOn w:val="28"/>
    <w:link w:val="59"/>
    <w:autoRedefine/>
    <w:qFormat/>
    <w:uiPriority w:val="0"/>
    <w:rPr>
      <w:rFonts w:cstheme="minorBidi"/>
      <w:kern w:val="2"/>
      <w:sz w:val="24"/>
      <w:szCs w:val="22"/>
    </w:rPr>
  </w:style>
  <w:style w:type="paragraph" w:customStyle="1" w:styleId="61">
    <w:name w:val="4表内内容"/>
    <w:basedOn w:val="53"/>
    <w:link w:val="62"/>
    <w:autoRedefine/>
    <w:qFormat/>
    <w:uiPriority w:val="0"/>
    <w:pPr>
      <w:adjustRightInd w:val="0"/>
      <w:snapToGrid w:val="0"/>
    </w:pPr>
  </w:style>
  <w:style w:type="character" w:customStyle="1" w:styleId="62">
    <w:name w:val="4表内内容 字符"/>
    <w:basedOn w:val="28"/>
    <w:link w:val="61"/>
    <w:autoRedefine/>
    <w:qFormat/>
    <w:uiPriority w:val="0"/>
    <w:rPr>
      <w:kern w:val="2"/>
      <w:sz w:val="21"/>
      <w:szCs w:val="24"/>
    </w:rPr>
  </w:style>
  <w:style w:type="character" w:customStyle="1" w:styleId="63">
    <w:name w:val="HTML 预设格式 字符"/>
    <w:basedOn w:val="28"/>
    <w:link w:val="19"/>
    <w:autoRedefine/>
    <w:qFormat/>
    <w:uiPriority w:val="99"/>
    <w:rPr>
      <w:rFonts w:ascii="宋体" w:hAnsi="宋体" w:cs="宋体"/>
      <w:sz w:val="24"/>
      <w:szCs w:val="24"/>
    </w:rPr>
  </w:style>
  <w:style w:type="paragraph" w:styleId="64">
    <w:name w:val="List Paragraph"/>
    <w:basedOn w:val="1"/>
    <w:autoRedefine/>
    <w:qFormat/>
    <w:uiPriority w:val="99"/>
    <w:pPr>
      <w:ind w:firstLine="420" w:firstLineChars="200"/>
    </w:pPr>
  </w:style>
  <w:style w:type="character" w:customStyle="1" w:styleId="65">
    <w:name w:val="批注文字 字符"/>
    <w:basedOn w:val="28"/>
    <w:link w:val="8"/>
    <w:autoRedefine/>
    <w:qFormat/>
    <w:uiPriority w:val="0"/>
    <w:rPr>
      <w:rFonts w:asciiTheme="minorHAnsi" w:hAnsiTheme="minorHAnsi" w:eastAsiaTheme="minorEastAsia" w:cstheme="minorBidi"/>
      <w:kern w:val="2"/>
      <w:sz w:val="21"/>
      <w:szCs w:val="21"/>
    </w:rPr>
  </w:style>
  <w:style w:type="table" w:customStyle="1" w:styleId="66">
    <w:name w:val="灰度表格1221"/>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7">
    <w:name w:val="批注主题 字符"/>
    <w:basedOn w:val="65"/>
    <w:link w:val="23"/>
    <w:autoRedefine/>
    <w:semiHidden/>
    <w:qFormat/>
    <w:uiPriority w:val="99"/>
    <w:rPr>
      <w:rFonts w:asciiTheme="minorHAnsi" w:hAnsiTheme="minorHAnsi" w:eastAsiaTheme="minorEastAsia" w:cstheme="minorBidi"/>
      <w:b/>
      <w:bCs/>
      <w:kern w:val="2"/>
      <w:sz w:val="21"/>
      <w:szCs w:val="21"/>
    </w:rPr>
  </w:style>
  <w:style w:type="paragraph" w:customStyle="1" w:styleId="68">
    <w:name w:val="表居中（中文）"/>
    <w:basedOn w:val="1"/>
    <w:autoRedefine/>
    <w:qFormat/>
    <w:uiPriority w:val="99"/>
    <w:pPr>
      <w:adjustRightInd w:val="0"/>
      <w:spacing w:line="380" w:lineRule="atLeast"/>
      <w:jc w:val="center"/>
      <w:textAlignment w:val="baseline"/>
    </w:pPr>
    <w:rPr>
      <w:rFonts w:eastAsia="楷体_GB2312"/>
      <w:kern w:val="0"/>
    </w:rPr>
  </w:style>
  <w:style w:type="paragraph" w:customStyle="1" w:styleId="69">
    <w:name w:val="xl48"/>
    <w:basedOn w:val="1"/>
    <w:autoRedefine/>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70">
    <w:name w:val="惠泽表格"/>
    <w:basedOn w:val="1"/>
    <w:autoRedefine/>
    <w:qFormat/>
    <w:uiPriority w:val="0"/>
    <w:pPr>
      <w:spacing w:line="480" w:lineRule="exact"/>
      <w:jc w:val="center"/>
    </w:pPr>
    <w:rPr>
      <w:rFonts w:ascii="黑体" w:hAnsi="黑体" w:eastAsia="黑体" w:cs="宋体"/>
      <w:sz w:val="24"/>
      <w:szCs w:val="20"/>
    </w:rPr>
  </w:style>
  <w:style w:type="paragraph" w:customStyle="1" w:styleId="71">
    <w:name w:val="a表格"/>
    <w:basedOn w:val="1"/>
    <w:autoRedefine/>
    <w:qFormat/>
    <w:uiPriority w:val="0"/>
    <w:pPr>
      <w:adjustRightInd w:val="0"/>
      <w:snapToGrid w:val="0"/>
      <w:jc w:val="center"/>
    </w:pPr>
    <w:rPr>
      <w:rFonts w:ascii="Times New Roman" w:hAnsi="Times New Roman" w:eastAsia="宋体"/>
      <w:b/>
      <w:color w:val="3333FF"/>
      <w:sz w:val="24"/>
    </w:rPr>
  </w:style>
  <w:style w:type="paragraph" w:customStyle="1" w:styleId="72">
    <w:name w:val="惠泽正文"/>
    <w:basedOn w:val="1"/>
    <w:autoRedefine/>
    <w:qFormat/>
    <w:uiPriority w:val="0"/>
    <w:pPr>
      <w:spacing w:line="480" w:lineRule="exact"/>
      <w:ind w:firstLine="480" w:firstLineChars="200"/>
    </w:pPr>
    <w:rPr>
      <w:rFonts w:hAnsi="宋体" w:cs="宋体"/>
      <w:sz w:val="24"/>
      <w:szCs w:val="20"/>
    </w:rPr>
  </w:style>
  <w:style w:type="paragraph" w:customStyle="1" w:styleId="73">
    <w:name w:val="002表头"/>
    <w:basedOn w:val="1"/>
    <w:autoRedefine/>
    <w:qFormat/>
    <w:uiPriority w:val="0"/>
    <w:pPr>
      <w:autoSpaceDE w:val="0"/>
      <w:autoSpaceDN w:val="0"/>
      <w:adjustRightInd w:val="0"/>
      <w:snapToGrid w:val="0"/>
      <w:jc w:val="center"/>
    </w:pPr>
    <w:rPr>
      <w:b/>
      <w:kern w:val="0"/>
    </w:rPr>
  </w:style>
  <w:style w:type="paragraph" w:customStyle="1" w:styleId="74">
    <w:name w:val="002标题三"/>
    <w:basedOn w:val="5"/>
    <w:autoRedefine/>
    <w:qFormat/>
    <w:uiPriority w:val="0"/>
    <w:pPr>
      <w:adjustRightInd w:val="0"/>
      <w:snapToGrid w:val="0"/>
      <w:spacing w:before="0" w:after="0" w:line="360" w:lineRule="auto"/>
    </w:pPr>
    <w:rPr>
      <w:rFonts w:ascii="宋体"/>
      <w:b w:val="0"/>
      <w:bCs w:val="0"/>
      <w:spacing w:val="4"/>
      <w:sz w:val="24"/>
      <w:szCs w:val="24"/>
    </w:rPr>
  </w:style>
  <w:style w:type="paragraph" w:customStyle="1" w:styleId="75">
    <w:name w:val="+正文"/>
    <w:basedOn w:val="1"/>
    <w:autoRedefine/>
    <w:qFormat/>
    <w:uiPriority w:val="0"/>
    <w:pPr>
      <w:spacing w:afterLines="50" w:line="440" w:lineRule="atLeast"/>
    </w:pPr>
    <w:rPr>
      <w:b/>
      <w:color w:val="0000FF"/>
      <w:kern w:val="0"/>
      <w:szCs w:val="28"/>
    </w:rPr>
  </w:style>
  <w:style w:type="paragraph" w:customStyle="1" w:styleId="76">
    <w:name w:val="xl27"/>
    <w:basedOn w:val="1"/>
    <w:autoRedefine/>
    <w:qFormat/>
    <w:uiPriority w:val="0"/>
    <w:pPr>
      <w:widowControl/>
      <w:spacing w:before="100" w:beforeAutospacing="1" w:after="100" w:afterAutospacing="1"/>
      <w:jc w:val="center"/>
    </w:pPr>
    <w:rPr>
      <w:rFonts w:hint="eastAsia" w:ascii="楷体_GB2312" w:hAnsi="Arial Unicode MS" w:eastAsia="楷体_GB2312"/>
      <w:kern w:val="0"/>
      <w:szCs w:val="28"/>
    </w:rPr>
  </w:style>
  <w:style w:type="character" w:customStyle="1" w:styleId="77">
    <w:name w:val="日期 字符"/>
    <w:basedOn w:val="28"/>
    <w:link w:val="11"/>
    <w:autoRedefine/>
    <w:qFormat/>
    <w:uiPriority w:val="0"/>
    <w:rPr>
      <w:rFonts w:ascii="宋体" w:hAnsi="宋体" w:cs="宋体"/>
      <w:sz w:val="28"/>
      <w:szCs w:val="24"/>
    </w:rPr>
  </w:style>
  <w:style w:type="paragraph" w:customStyle="1" w:styleId="78">
    <w:name w:val="0正文"/>
    <w:basedOn w:val="1"/>
    <w:link w:val="79"/>
    <w:autoRedefine/>
    <w:qFormat/>
    <w:uiPriority w:val="0"/>
    <w:pPr>
      <w:spacing w:line="360" w:lineRule="auto"/>
      <w:ind w:firstLine="480" w:firstLineChars="200"/>
    </w:pPr>
    <w:rPr>
      <w:rFonts w:ascii="Times New Roman" w:hAnsi="Times New Roman" w:eastAsia="Times New Roman" w:cs="Times New Roman"/>
      <w:sz w:val="24"/>
      <w:szCs w:val="24"/>
    </w:rPr>
  </w:style>
  <w:style w:type="character" w:customStyle="1" w:styleId="79">
    <w:name w:val="0正文 Char"/>
    <w:link w:val="78"/>
    <w:autoRedefine/>
    <w:qFormat/>
    <w:uiPriority w:val="0"/>
    <w:rPr>
      <w:rFonts w:eastAsia="Times New Roman"/>
      <w:kern w:val="2"/>
      <w:sz w:val="24"/>
      <w:szCs w:val="24"/>
    </w:rPr>
  </w:style>
  <w:style w:type="character" w:customStyle="1" w:styleId="80">
    <w:name w:val="fontstyle01"/>
    <w:basedOn w:val="28"/>
    <w:autoRedefine/>
    <w:qFormat/>
    <w:uiPriority w:val="0"/>
    <w:rPr>
      <w:rFonts w:hint="eastAsia" w:ascii="宋体" w:hAnsi="宋体" w:eastAsia="宋体"/>
      <w:color w:val="000000"/>
      <w:sz w:val="16"/>
      <w:szCs w:val="16"/>
    </w:rPr>
  </w:style>
  <w:style w:type="character" w:customStyle="1" w:styleId="81">
    <w:name w:val="fontstyle21"/>
    <w:basedOn w:val="28"/>
    <w:autoRedefine/>
    <w:qFormat/>
    <w:uiPriority w:val="0"/>
    <w:rPr>
      <w:rFonts w:hint="default" w:ascii="Calibri" w:hAnsi="Calibri" w:cs="Calibri"/>
      <w:color w:val="000000"/>
      <w:sz w:val="16"/>
      <w:szCs w:val="16"/>
    </w:rPr>
  </w:style>
  <w:style w:type="character" w:customStyle="1" w:styleId="82">
    <w:name w:val="fontstyle11"/>
    <w:basedOn w:val="28"/>
    <w:autoRedefine/>
    <w:qFormat/>
    <w:uiPriority w:val="0"/>
    <w:rPr>
      <w:rFonts w:hint="eastAsia" w:ascii="宋体" w:hAnsi="宋体" w:eastAsia="宋体"/>
      <w:color w:val="000000"/>
      <w:sz w:val="16"/>
      <w:szCs w:val="16"/>
    </w:rPr>
  </w:style>
  <w:style w:type="character" w:customStyle="1" w:styleId="83">
    <w:name w:val="表头 Char"/>
    <w:link w:val="84"/>
    <w:autoRedefine/>
    <w:qFormat/>
    <w:uiPriority w:val="0"/>
    <w:rPr>
      <w:b/>
      <w:sz w:val="24"/>
      <w:szCs w:val="24"/>
    </w:rPr>
  </w:style>
  <w:style w:type="paragraph" w:customStyle="1" w:styleId="84">
    <w:name w:val="表头"/>
    <w:next w:val="1"/>
    <w:link w:val="83"/>
    <w:autoRedefine/>
    <w:qFormat/>
    <w:uiPriority w:val="0"/>
    <w:pPr>
      <w:jc w:val="center"/>
      <w:outlineLvl w:val="3"/>
    </w:pPr>
    <w:rPr>
      <w:rFonts w:ascii="Times New Roman" w:hAnsi="Times New Roman" w:eastAsia="宋体" w:cs="Times New Roman"/>
      <w:b/>
      <w:sz w:val="24"/>
      <w:szCs w:val="24"/>
      <w:lang w:val="en-US" w:eastAsia="zh-CN" w:bidi="ar-SA"/>
    </w:rPr>
  </w:style>
  <w:style w:type="character" w:customStyle="1" w:styleId="85">
    <w:name w:val="正文缩进 字符"/>
    <w:link w:val="7"/>
    <w:autoRedefine/>
    <w:qFormat/>
    <w:uiPriority w:val="0"/>
    <w:rPr>
      <w:rFonts w:asciiTheme="minorHAnsi" w:hAnsiTheme="minorHAnsi" w:eastAsiaTheme="minorEastAsia" w:cstheme="minorBidi"/>
      <w:kern w:val="2"/>
      <w:sz w:val="21"/>
      <w:szCs w:val="21"/>
    </w:rPr>
  </w:style>
  <w:style w:type="character" w:customStyle="1" w:styleId="86">
    <w:name w:val="表格 Char"/>
    <w:link w:val="87"/>
    <w:autoRedefine/>
    <w:qFormat/>
    <w:uiPriority w:val="0"/>
    <w:rPr>
      <w:sz w:val="24"/>
      <w:szCs w:val="24"/>
    </w:rPr>
  </w:style>
  <w:style w:type="paragraph" w:customStyle="1" w:styleId="87">
    <w:name w:val="表格"/>
    <w:basedOn w:val="2"/>
    <w:next w:val="2"/>
    <w:link w:val="86"/>
    <w:autoRedefine/>
    <w:qFormat/>
    <w:uiPriority w:val="0"/>
    <w:pPr>
      <w:spacing w:after="120"/>
    </w:pPr>
    <w:rPr>
      <w:rFonts w:ascii="Times New Roman" w:hAnsi="Times New Roman" w:eastAsia="宋体" w:cs="Times New Roman"/>
      <w:spacing w:val="0"/>
      <w:kern w:val="0"/>
    </w:rPr>
  </w:style>
  <w:style w:type="paragraph" w:customStyle="1" w:styleId="88">
    <w:name w:val="Table Paragraph"/>
    <w:basedOn w:val="1"/>
    <w:autoRedefine/>
    <w:qFormat/>
    <w:uiPriority w:val="1"/>
    <w:pPr>
      <w:spacing w:line="360" w:lineRule="auto"/>
      <w:ind w:firstLine="200" w:firstLineChars="200"/>
    </w:pPr>
    <w:rPr>
      <w:rFonts w:ascii="宋体" w:hAnsi="宋体" w:eastAsia="宋体" w:cs="宋体"/>
      <w:sz w:val="24"/>
      <w:szCs w:val="20"/>
      <w:lang w:val="zh-CN" w:bidi="zh-CN"/>
    </w:rPr>
  </w:style>
  <w:style w:type="paragraph" w:customStyle="1" w:styleId="89">
    <w:name w:val="p0"/>
    <w:basedOn w:val="1"/>
    <w:autoRedefine/>
    <w:qFormat/>
    <w:uiPriority w:val="0"/>
    <w:pPr>
      <w:widowControl/>
    </w:pPr>
    <w:rPr>
      <w:rFonts w:ascii="Times New Roman" w:hAnsi="Times New Roman" w:eastAsia="宋体" w:cs="Times New Roman"/>
      <w:kern w:val="0"/>
    </w:rPr>
  </w:style>
  <w:style w:type="paragraph" w:customStyle="1" w:styleId="90">
    <w:name w:val="第一章表标头"/>
    <w:basedOn w:val="1"/>
    <w:autoRedefine/>
    <w:qFormat/>
    <w:uiPriority w:val="0"/>
    <w:pPr>
      <w:tabs>
        <w:tab w:val="left" w:pos="360"/>
        <w:tab w:val="left" w:pos="420"/>
        <w:tab w:val="left" w:pos="2269"/>
      </w:tabs>
      <w:adjustRightInd w:val="0"/>
      <w:snapToGrid w:val="0"/>
      <w:spacing w:line="480" w:lineRule="exact"/>
      <w:ind w:left="420" w:hanging="420" w:firstLineChars="200"/>
      <w:jc w:val="center"/>
    </w:pPr>
    <w:rPr>
      <w:rFonts w:ascii="黑体" w:hAnsi="Times New Roman" w:eastAsia="黑体" w:cs="Times New Roman"/>
      <w:sz w:val="24"/>
    </w:rPr>
  </w:style>
  <w:style w:type="paragraph" w:customStyle="1" w:styleId="91">
    <w:name w:val="p17"/>
    <w:basedOn w:val="1"/>
    <w:autoRedefine/>
    <w:qFormat/>
    <w:uiPriority w:val="0"/>
    <w:pPr>
      <w:widowControl/>
      <w:jc w:val="left"/>
    </w:pPr>
    <w:rPr>
      <w:rFonts w:ascii="宋体" w:hAnsi="宋体" w:eastAsia="宋体" w:cs="宋体"/>
      <w:kern w:val="0"/>
      <w:sz w:val="18"/>
      <w:szCs w:val="18"/>
    </w:rPr>
  </w:style>
  <w:style w:type="paragraph" w:customStyle="1" w:styleId="92">
    <w:name w:val="p19"/>
    <w:basedOn w:val="1"/>
    <w:autoRedefine/>
    <w:qFormat/>
    <w:uiPriority w:val="0"/>
    <w:pPr>
      <w:widowControl/>
    </w:pPr>
    <w:rPr>
      <w:rFonts w:ascii="Calibri" w:hAnsi="Calibri" w:eastAsia="宋体" w:cs="Times New Roman"/>
      <w:kern w:val="0"/>
    </w:rPr>
  </w:style>
  <w:style w:type="character" w:customStyle="1" w:styleId="93">
    <w:name w:val="正文文本缩进 2 字符"/>
    <w:basedOn w:val="28"/>
    <w:link w:val="12"/>
    <w:autoRedefine/>
    <w:semiHidden/>
    <w:qFormat/>
    <w:uiPriority w:val="99"/>
    <w:rPr>
      <w:rFonts w:asciiTheme="minorHAnsi" w:hAnsiTheme="minorHAnsi" w:eastAsiaTheme="minorEastAsia" w:cstheme="minorBidi"/>
      <w:kern w:val="2"/>
      <w:sz w:val="21"/>
      <w:szCs w:val="21"/>
    </w:rPr>
  </w:style>
  <w:style w:type="character" w:customStyle="1" w:styleId="94">
    <w:name w:val="cf01"/>
    <w:basedOn w:val="28"/>
    <w:autoRedefine/>
    <w:qFormat/>
    <w:uiPriority w:val="0"/>
    <w:rPr>
      <w:rFonts w:hint="eastAsia" w:ascii="Microsoft YaHei UI" w:hAnsi="Microsoft YaHei UI" w:eastAsia="Microsoft YaHei UI"/>
      <w:sz w:val="22"/>
      <w:szCs w:val="22"/>
    </w:rPr>
  </w:style>
  <w:style w:type="paragraph" w:customStyle="1" w:styleId="95">
    <w:name w:val="pf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
    <w:name w:val="Char1"/>
    <w:basedOn w:val="1"/>
    <w:autoRedefine/>
    <w:qFormat/>
    <w:uiPriority w:val="0"/>
    <w:pPr>
      <w:snapToGrid w:val="0"/>
      <w:spacing w:line="360" w:lineRule="auto"/>
      <w:ind w:firstLine="200" w:firstLineChars="200"/>
    </w:pPr>
    <w:rPr>
      <w:rFonts w:ascii="Times New Roman" w:hAnsi="Times New Roman" w:eastAsia="宋体" w:cs="Times New Roman"/>
    </w:rPr>
  </w:style>
  <w:style w:type="paragraph" w:customStyle="1" w:styleId="97">
    <w:name w:val="Char11"/>
    <w:basedOn w:val="1"/>
    <w:autoRedefine/>
    <w:qFormat/>
    <w:uiPriority w:val="0"/>
    <w:pPr>
      <w:snapToGrid w:val="0"/>
      <w:spacing w:line="360" w:lineRule="auto"/>
      <w:ind w:firstLine="200" w:firstLineChars="200"/>
    </w:pPr>
    <w:rPr>
      <w:rFonts w:ascii="Times New Roman" w:hAnsi="Times New Roman" w:eastAsia="宋体" w:cs="Times New Roman"/>
    </w:rPr>
  </w:style>
  <w:style w:type="character" w:customStyle="1" w:styleId="98">
    <w:name w:val="markedcontent"/>
    <w:basedOn w:val="28"/>
    <w:autoRedefine/>
    <w:qFormat/>
    <w:uiPriority w:val="0"/>
  </w:style>
  <w:style w:type="paragraph" w:customStyle="1" w:styleId="99">
    <w:name w:val="Char12"/>
    <w:basedOn w:val="1"/>
    <w:autoRedefine/>
    <w:qFormat/>
    <w:uiPriority w:val="0"/>
    <w:pPr>
      <w:snapToGrid w:val="0"/>
      <w:spacing w:line="360" w:lineRule="auto"/>
      <w:ind w:firstLine="200" w:firstLineChars="200"/>
    </w:pPr>
    <w:rPr>
      <w:rFonts w:ascii="Times New Roman" w:hAnsi="Times New Roman" w:eastAsia="宋体" w:cs="Times New Roman"/>
    </w:rPr>
  </w:style>
  <w:style w:type="character" w:customStyle="1" w:styleId="100">
    <w:name w:val="正文文本首行缩进 2 字符"/>
    <w:basedOn w:val="28"/>
    <w:link w:val="25"/>
    <w:autoRedefine/>
    <w:qFormat/>
    <w:uiPriority w:val="0"/>
    <w:rPr>
      <w:rFonts w:asciiTheme="minorHAnsi" w:hAnsiTheme="minorHAnsi" w:eastAsiaTheme="minorEastAsia" w:cstheme="minorBidi"/>
      <w:kern w:val="2"/>
      <w:sz w:val="28"/>
      <w:szCs w:val="21"/>
    </w:rPr>
  </w:style>
  <w:style w:type="character" w:customStyle="1" w:styleId="101">
    <w:name w:val="普通(网站) 字符"/>
    <w:link w:val="20"/>
    <w:autoRedefine/>
    <w:qFormat/>
    <w:locked/>
    <w:uiPriority w:val="0"/>
    <w:rPr>
      <w:rFonts w:asciiTheme="minorHAnsi" w:hAnsiTheme="minorHAnsi" w:eastAsiaTheme="minorEastAsia"/>
      <w:sz w:val="24"/>
      <w:szCs w:val="21"/>
    </w:rPr>
  </w:style>
  <w:style w:type="character" w:customStyle="1" w:styleId="102">
    <w:name w:val="正文文本 字符"/>
    <w:basedOn w:val="28"/>
    <w:link w:val="2"/>
    <w:autoRedefine/>
    <w:qFormat/>
    <w:uiPriority w:val="99"/>
    <w:rPr>
      <w:rFonts w:asciiTheme="minorHAnsi" w:hAnsiTheme="minorHAnsi" w:eastAsiaTheme="minorEastAsia" w:cstheme="minorBidi"/>
      <w:spacing w:val="20"/>
      <w:kern w:val="2"/>
      <w:sz w:val="24"/>
      <w:szCs w:val="24"/>
    </w:rPr>
  </w:style>
  <w:style w:type="character" w:customStyle="1" w:styleId="103">
    <w:name w:val="正文文本首行缩进 字符"/>
    <w:basedOn w:val="102"/>
    <w:link w:val="24"/>
    <w:autoRedefine/>
    <w:semiHidden/>
    <w:qFormat/>
    <w:uiPriority w:val="99"/>
    <w:rPr>
      <w:rFonts w:asciiTheme="minorHAnsi" w:hAnsiTheme="minorHAnsi" w:eastAsiaTheme="minorEastAsia" w:cstheme="minorBidi"/>
      <w:spacing w:val="20"/>
      <w:kern w:val="2"/>
      <w:sz w:val="21"/>
      <w:szCs w:val="21"/>
    </w:rPr>
  </w:style>
  <w:style w:type="character" w:customStyle="1" w:styleId="104">
    <w:name w:val="报告表正文 Char"/>
    <w:link w:val="105"/>
    <w:autoRedefine/>
    <w:qFormat/>
    <w:locked/>
    <w:uiPriority w:val="0"/>
    <w:rPr>
      <w:rFonts w:ascii="宋体" w:hAnsi="宋体" w:eastAsia="楷体_GB2312" w:cs="宋体"/>
      <w:kern w:val="2"/>
      <w:sz w:val="24"/>
      <w:szCs w:val="24"/>
    </w:rPr>
  </w:style>
  <w:style w:type="paragraph" w:customStyle="1" w:styleId="105">
    <w:name w:val="报告表正文"/>
    <w:basedOn w:val="1"/>
    <w:link w:val="104"/>
    <w:autoRedefine/>
    <w:qFormat/>
    <w:uiPriority w:val="0"/>
    <w:pPr>
      <w:spacing w:line="360" w:lineRule="auto"/>
      <w:ind w:firstLine="200" w:firstLineChars="200"/>
    </w:pPr>
    <w:rPr>
      <w:rFonts w:ascii="宋体" w:hAnsi="宋体" w:eastAsia="楷体_GB2312" w:cs="宋体"/>
      <w:sz w:val="24"/>
      <w:szCs w:val="24"/>
    </w:rPr>
  </w:style>
  <w:style w:type="paragraph" w:customStyle="1" w:styleId="106">
    <w:name w:val="Body text|1"/>
    <w:basedOn w:val="1"/>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107">
    <w:name w:val="text_pngnw"/>
    <w:basedOn w:val="28"/>
    <w:autoRedefine/>
    <w:qFormat/>
    <w:uiPriority w:val="0"/>
  </w:style>
  <w:style w:type="paragraph" w:customStyle="1" w:styleId="108">
    <w:name w:val="6表头"/>
    <w:basedOn w:val="1"/>
    <w:autoRedefine/>
    <w:qFormat/>
    <w:uiPriority w:val="0"/>
    <w:pPr>
      <w:widowControl/>
      <w:spacing w:before="156" w:beforeLines="50"/>
      <w:jc w:val="center"/>
    </w:pPr>
    <w:rPr>
      <w:rFonts w:ascii="Times New Roman" w:hAnsi="Times New Roman" w:eastAsia="黑体" w:cs="Times New Roman"/>
    </w:rPr>
  </w:style>
  <w:style w:type="paragraph" w:customStyle="1" w:styleId="109">
    <w:name w:val="正文首行缩进1"/>
    <w:basedOn w:val="1"/>
    <w:autoRedefine/>
    <w:qFormat/>
    <w:uiPriority w:val="0"/>
    <w:pPr>
      <w:adjustRightInd w:val="0"/>
      <w:snapToGrid w:val="0"/>
      <w:spacing w:line="360" w:lineRule="auto"/>
      <w:ind w:firstLine="482"/>
      <w:jc w:val="left"/>
    </w:pPr>
    <w:rPr>
      <w:rFonts w:ascii="Times New Roman" w:hAnsi="Times New Roman" w:eastAsia="宋体" w:cs="Times New Roman"/>
      <w:snapToGrid w:val="0"/>
      <w:kern w:val="0"/>
      <w:sz w:val="24"/>
      <w:szCs w:val="24"/>
    </w:rPr>
  </w:style>
  <w:style w:type="paragraph" w:customStyle="1" w:styleId="110">
    <w:name w:val="管线正文"/>
    <w:basedOn w:val="1"/>
    <w:autoRedefine/>
    <w:qFormat/>
    <w:uiPriority w:val="0"/>
    <w:pPr>
      <w:spacing w:line="360" w:lineRule="auto"/>
      <w:ind w:firstLine="482"/>
      <w:textAlignment w:val="baseline"/>
    </w:pPr>
    <w:rPr>
      <w:rFonts w:ascii="Times New Roman" w:hAnsi="Times New Roman" w:eastAsia="宋体" w:cs="Times New Roman"/>
      <w:sz w:val="24"/>
      <w:szCs w:val="24"/>
    </w:rPr>
  </w:style>
  <w:style w:type="paragraph" w:customStyle="1" w:styleId="111">
    <w:name w:val="默认段落字体 Para Char Char Char Char Char Char Char"/>
    <w:basedOn w:val="1"/>
    <w:autoRedefine/>
    <w:qFormat/>
    <w:uiPriority w:val="0"/>
    <w:pPr>
      <w:adjustRightInd w:val="0"/>
      <w:spacing w:line="440" w:lineRule="exact"/>
      <w:ind w:firstLine="200" w:firstLineChars="200"/>
      <w:jc w:val="left"/>
      <w:textAlignment w:val="baseline"/>
    </w:pPr>
    <w:rPr>
      <w:rFonts w:ascii="Times New Roman" w:hAnsi="Times New Roman" w:eastAsia="宋体" w:cs="Times New Roman"/>
      <w:kern w:val="0"/>
      <w:sz w:val="24"/>
      <w:szCs w:val="20"/>
      <w:lang w:eastAsia="zh-TW"/>
    </w:rPr>
  </w:style>
  <w:style w:type="character" w:customStyle="1" w:styleId="112">
    <w:name w:val="标题 2 字符"/>
    <w:basedOn w:val="28"/>
    <w:link w:val="4"/>
    <w:autoRedefine/>
    <w:qFormat/>
    <w:uiPriority w:val="0"/>
    <w:rPr>
      <w:rFonts w:ascii="等线 Light" w:hAnsi="等线 Light" w:eastAsia="等线 Light" w:cs="Times New Roman"/>
      <w:b/>
      <w:bCs/>
      <w:kern w:val="2"/>
      <w:sz w:val="32"/>
      <w:szCs w:val="32"/>
    </w:rPr>
  </w:style>
  <w:style w:type="character" w:customStyle="1" w:styleId="113">
    <w:name w:val="0水保正文 Char Char"/>
    <w:link w:val="114"/>
    <w:autoRedefine/>
    <w:qFormat/>
    <w:uiPriority w:val="0"/>
    <w:rPr>
      <w:rFonts w:ascii="宋体" w:hAnsi="宋体" w:eastAsia="仿宋_GB2312"/>
      <w:color w:val="000000"/>
      <w:sz w:val="24"/>
      <w:szCs w:val="24"/>
    </w:rPr>
  </w:style>
  <w:style w:type="paragraph" w:customStyle="1" w:styleId="114">
    <w:name w:val="0水保正文"/>
    <w:basedOn w:val="1"/>
    <w:link w:val="113"/>
    <w:autoRedefine/>
    <w:qFormat/>
    <w:uiPriority w:val="0"/>
    <w:pPr>
      <w:adjustRightInd w:val="0"/>
      <w:snapToGrid w:val="0"/>
      <w:spacing w:line="360" w:lineRule="auto"/>
      <w:ind w:firstLine="480" w:firstLineChars="200"/>
    </w:pPr>
    <w:rPr>
      <w:rFonts w:ascii="宋体" w:hAnsi="宋体" w:eastAsia="仿宋_GB2312" w:cs="Times New Roman"/>
      <w:color w:val="000000"/>
      <w:kern w:val="0"/>
      <w:sz w:val="24"/>
      <w:szCs w:val="24"/>
    </w:rPr>
  </w:style>
  <w:style w:type="paragraph" w:customStyle="1" w:styleId="115">
    <w:name w:val="表格内容"/>
    <w:basedOn w:val="1"/>
    <w:next w:val="1"/>
    <w:link w:val="126"/>
    <w:autoRedefine/>
    <w:qFormat/>
    <w:uiPriority w:val="0"/>
    <w:pPr>
      <w:jc w:val="center"/>
    </w:pPr>
    <w:rPr>
      <w:rFonts w:ascii="Times New Roman" w:hAnsi="Times New Roman" w:eastAsia="宋体" w:cs="Times New Roman"/>
    </w:rPr>
  </w:style>
  <w:style w:type="paragraph" w:customStyle="1" w:styleId="116">
    <w:name w:val="（新格式）表格"/>
    <w:basedOn w:val="1"/>
    <w:autoRedefine/>
    <w:qFormat/>
    <w:uiPriority w:val="0"/>
    <w:pPr>
      <w:widowControl/>
      <w:topLinePunct/>
      <w:spacing w:before="20" w:beforeLines="20" w:after="20" w:afterLines="20"/>
      <w:jc w:val="center"/>
    </w:pPr>
    <w:rPr>
      <w:rFonts w:hint="eastAsia" w:ascii="Times New Roman" w:hAnsi="Times New Roman" w:eastAsia="宋体" w:cs="Times New Roman"/>
      <w:snapToGrid w:val="0"/>
      <w:kern w:val="0"/>
      <w:szCs w:val="20"/>
    </w:rPr>
  </w:style>
  <w:style w:type="paragraph" w:customStyle="1" w:styleId="117">
    <w:name w:val="Default1"/>
    <w:autoRedefine/>
    <w:qFormat/>
    <w:uiPriority w:val="99"/>
    <w:pPr>
      <w:widowControl w:val="0"/>
      <w:autoSpaceDE w:val="0"/>
      <w:autoSpaceDN w:val="0"/>
      <w:adjustRightInd w:val="0"/>
    </w:pPr>
    <w:rPr>
      <w:rFonts w:ascii="宋体" w:hAnsi="Calibri" w:eastAsia="微软雅黑" w:cs="宋体"/>
      <w:color w:val="000000"/>
      <w:sz w:val="24"/>
      <w:szCs w:val="24"/>
      <w:lang w:val="en-US" w:eastAsia="zh-CN" w:bidi="ar-SA"/>
    </w:rPr>
  </w:style>
  <w:style w:type="character" w:customStyle="1" w:styleId="118">
    <w:name w:val="cf11"/>
    <w:basedOn w:val="28"/>
    <w:autoRedefine/>
    <w:qFormat/>
    <w:uiPriority w:val="0"/>
    <w:rPr>
      <w:rFonts w:hint="eastAsia" w:ascii="Microsoft YaHei UI" w:hAnsi="Microsoft YaHei UI" w:eastAsia="Microsoft YaHei UI"/>
      <w:b/>
      <w:bCs/>
      <w:sz w:val="18"/>
      <w:szCs w:val="18"/>
    </w:rPr>
  </w:style>
  <w:style w:type="character" w:customStyle="1" w:styleId="119">
    <w:name w:val="NormalCharacter"/>
    <w:autoRedefine/>
    <w:semiHidden/>
    <w:qFormat/>
    <w:uiPriority w:val="0"/>
  </w:style>
  <w:style w:type="character" w:customStyle="1" w:styleId="120">
    <w:name w:val="text_jd9wg"/>
    <w:basedOn w:val="28"/>
    <w:autoRedefine/>
    <w:qFormat/>
    <w:uiPriority w:val="0"/>
  </w:style>
  <w:style w:type="character" w:customStyle="1" w:styleId="121">
    <w:name w:val="text_vgzkf"/>
    <w:basedOn w:val="28"/>
    <w:autoRedefine/>
    <w:qFormat/>
    <w:uiPriority w:val="0"/>
  </w:style>
  <w:style w:type="paragraph" w:customStyle="1" w:styleId="122">
    <w:name w:val="正文 New New New New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23">
    <w:name w:val="正文（海诚） Char"/>
    <w:link w:val="124"/>
    <w:autoRedefine/>
    <w:qFormat/>
    <w:uiPriority w:val="0"/>
    <w:rPr>
      <w:rFonts w:eastAsia="仿宋_GB2312"/>
      <w:kern w:val="2"/>
      <w:sz w:val="28"/>
    </w:rPr>
  </w:style>
  <w:style w:type="paragraph" w:customStyle="1" w:styleId="124">
    <w:name w:val="正文（海诚）"/>
    <w:basedOn w:val="1"/>
    <w:link w:val="123"/>
    <w:autoRedefine/>
    <w:qFormat/>
    <w:uiPriority w:val="0"/>
    <w:pPr>
      <w:spacing w:line="520" w:lineRule="exact"/>
      <w:ind w:firstLine="560" w:firstLineChars="200"/>
    </w:pPr>
    <w:rPr>
      <w:rFonts w:ascii="Times New Roman" w:hAnsi="Times New Roman" w:eastAsia="仿宋_GB2312" w:cs="Times New Roman"/>
      <w:sz w:val="28"/>
      <w:szCs w:val="20"/>
    </w:rPr>
  </w:style>
  <w:style w:type="paragraph" w:customStyle="1" w:styleId="125">
    <w:name w:val="正文1"/>
    <w:basedOn w:val="1"/>
    <w:autoRedefine/>
    <w:qFormat/>
    <w:uiPriority w:val="0"/>
    <w:pPr>
      <w:adjustRightInd w:val="0"/>
      <w:snapToGrid w:val="0"/>
      <w:spacing w:line="500" w:lineRule="atLeast"/>
      <w:ind w:firstLine="567"/>
    </w:pPr>
    <w:rPr>
      <w:rFonts w:ascii="Times New Roman" w:hAnsi="Times New Roman" w:eastAsia="宋体" w:cs="Times New Roman"/>
      <w:sz w:val="28"/>
      <w:szCs w:val="20"/>
    </w:rPr>
  </w:style>
  <w:style w:type="character" w:customStyle="1" w:styleId="126">
    <w:name w:val="标题2 Char"/>
    <w:link w:val="115"/>
    <w:autoRedefine/>
    <w:qFormat/>
    <w:locked/>
    <w:uiPriority w:val="0"/>
    <w:rPr>
      <w:kern w:val="2"/>
      <w:sz w:val="21"/>
      <w:szCs w:val="21"/>
    </w:rPr>
  </w:style>
  <w:style w:type="paragraph" w:customStyle="1" w:styleId="127">
    <w:name w:val="修订1"/>
    <w:autoRedefine/>
    <w:hidden/>
    <w:unhideWhenUsed/>
    <w:qFormat/>
    <w:uiPriority w:val="99"/>
    <w:rPr>
      <w:rFonts w:asciiTheme="minorHAnsi" w:hAnsiTheme="minorHAnsi" w:eastAsiaTheme="minorEastAsia" w:cstheme="minorBidi"/>
      <w:kern w:val="2"/>
      <w:sz w:val="21"/>
      <w:szCs w:val="21"/>
      <w:lang w:val="en-US" w:eastAsia="zh-CN" w:bidi="ar-SA"/>
    </w:rPr>
  </w:style>
  <w:style w:type="character" w:customStyle="1" w:styleId="128">
    <w:name w:val="正文缩进 Char"/>
    <w:qFormat/>
    <w:uiPriority w:val="0"/>
    <w:rPr>
      <w:rFonts w:eastAsia="宋体" w:cs="Lucida Sans"/>
      <w:kern w:val="2"/>
      <w:sz w:val="21"/>
      <w:lang w:val="en-US" w:eastAsia="zh-CN" w:bidi="ar-SA"/>
    </w:rPr>
  </w:style>
  <w:style w:type="character" w:customStyle="1" w:styleId="129">
    <w:name w:val="表头 Char Char"/>
    <w:qFormat/>
    <w:uiPriority w:val="0"/>
    <w:rPr>
      <w:rFonts w:ascii="宋体" w:hAnsi="宋体" w:eastAsia="黑体" w:cs="宋体"/>
      <w:sz w:val="24"/>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62A2C-75FB-497E-8978-ACC4D3670AA6}">
  <ds:schemaRefs/>
</ds:datastoreItem>
</file>

<file path=docProps/app.xml><?xml version="1.0" encoding="utf-8"?>
<Properties xmlns="http://schemas.openxmlformats.org/officeDocument/2006/extended-properties" xmlns:vt="http://schemas.openxmlformats.org/officeDocument/2006/docPropsVTypes">
  <Template>Normal</Template>
  <Company>Windsoft</Company>
  <Pages>63</Pages>
  <Words>7779</Words>
  <Characters>44344</Characters>
  <Lines>369</Lines>
  <Paragraphs>104</Paragraphs>
  <TotalTime>751</TotalTime>
  <ScaleCrop>false</ScaleCrop>
  <LinksUpToDate>false</LinksUpToDate>
  <CharactersWithSpaces>52019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2023-06-12T06:45:00Z</dcterms:created>
  <dc:creator>shen lee</dc:creator>
  <cp:lastModifiedBy>苗苗</cp:lastModifiedBy>
  <cp:lastPrinted>2024-03-01T14:36:00Z</cp:lastPrinted>
  <dcterms:modified xsi:type="dcterms:W3CDTF">2024-03-07T02:56:04Z</dcterms:modified>
  <cp:revision>916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24C9BE3808D04B1DAA608D3C9AF89813_13</vt:lpwstr>
  </property>
</Properties>
</file>