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s="Times New Roman"/>
          <w:sz w:val="36"/>
          <w:szCs w:val="36"/>
        </w:rPr>
      </w:pPr>
    </w:p>
    <w:p>
      <w:pPr>
        <w:rPr>
          <w:rFonts w:eastAsia="仿宋_GB2312" w:cs="Times New Roman"/>
          <w:sz w:val="36"/>
          <w:szCs w:val="36"/>
        </w:rPr>
      </w:pPr>
    </w:p>
    <w:p>
      <w:pPr>
        <w:rPr>
          <w:rFonts w:eastAsia="仿宋_GB2312" w:cs="Times New Roman"/>
          <w:sz w:val="36"/>
          <w:szCs w:val="36"/>
        </w:rPr>
      </w:pPr>
    </w:p>
    <w:p>
      <w:pPr>
        <w:adjustRightInd w:val="0"/>
        <w:snapToGrid w:val="0"/>
        <w:jc w:val="center"/>
        <w:outlineLvl w:val="0"/>
        <w:rPr>
          <w:rFonts w:eastAsia="方正小标宋_GBK" w:cs="Times New Roman"/>
          <w:bCs/>
          <w:sz w:val="72"/>
          <w:szCs w:val="72"/>
        </w:rPr>
      </w:pPr>
      <w:r>
        <w:rPr>
          <w:rFonts w:eastAsia="方正小标宋_GBK" w:cs="Times New Roman"/>
          <w:bCs/>
          <w:sz w:val="72"/>
          <w:szCs w:val="72"/>
        </w:rPr>
        <w:t>建设项目环境影响报告表</w:t>
      </w:r>
    </w:p>
    <w:p>
      <w:pPr>
        <w:adjustRightInd w:val="0"/>
        <w:snapToGrid w:val="0"/>
        <w:spacing w:before="249" w:beforeLines="80"/>
        <w:jc w:val="center"/>
        <w:rPr>
          <w:rFonts w:eastAsia="楷体_GB2312" w:cs="Times New Roman"/>
          <w:bCs/>
          <w:sz w:val="48"/>
          <w:szCs w:val="48"/>
        </w:rPr>
      </w:pPr>
      <w:r>
        <w:rPr>
          <w:rFonts w:eastAsia="楷体_GB2312" w:cs="Times New Roman"/>
          <w:bCs/>
          <w:sz w:val="48"/>
          <w:szCs w:val="48"/>
        </w:rPr>
        <w:t>（污染影响类）</w:t>
      </w:r>
    </w:p>
    <w:p>
      <w:pPr>
        <w:jc w:val="center"/>
        <w:rPr>
          <w:rFonts w:eastAsia="仿宋" w:cs="Times New Roman"/>
          <w:sz w:val="52"/>
          <w:szCs w:val="52"/>
        </w:rPr>
      </w:pPr>
    </w:p>
    <w:p>
      <w:pPr>
        <w:ind w:firstLine="1040"/>
        <w:rPr>
          <w:rFonts w:eastAsia="仿宋" w:cs="Times New Roman"/>
          <w:sz w:val="44"/>
          <w:szCs w:val="44"/>
        </w:rPr>
      </w:pPr>
    </w:p>
    <w:p>
      <w:pPr>
        <w:adjustRightInd w:val="0"/>
        <w:snapToGrid w:val="0"/>
        <w:spacing w:line="288" w:lineRule="auto"/>
        <w:ind w:firstLine="640" w:firstLineChars="200"/>
        <w:rPr>
          <w:rFonts w:eastAsia="仿宋_GB2312" w:cs="Times New Roman"/>
          <w:sz w:val="32"/>
          <w:szCs w:val="32"/>
          <w:u w:val="single"/>
        </w:rPr>
      </w:pPr>
      <w:r>
        <w:rPr>
          <w:rFonts w:eastAsia="仿宋_GB2312" w:cs="Times New Roman"/>
          <w:sz w:val="32"/>
          <w:szCs w:val="32"/>
        </w:rPr>
        <w:t>项目名称：</w:t>
      </w:r>
      <w:r>
        <w:rPr>
          <w:rFonts w:eastAsia="仿宋_GB2312" w:cs="Times New Roman"/>
          <w:sz w:val="32"/>
          <w:szCs w:val="32"/>
          <w:u w:val="single"/>
        </w:rPr>
        <w:t xml:space="preserve">         </w:t>
      </w:r>
      <w:bookmarkStart w:id="0" w:name="_Hlk155604694"/>
      <w:r>
        <w:rPr>
          <w:rFonts w:eastAsia="仿宋_GB2312" w:cs="Times New Roman"/>
          <w:sz w:val="32"/>
          <w:szCs w:val="32"/>
          <w:u w:val="single"/>
        </w:rPr>
        <w:t>路面建设材料扩建项目</w:t>
      </w:r>
      <w:bookmarkEnd w:id="0"/>
      <w:r>
        <w:rPr>
          <w:rFonts w:eastAsia="仿宋_GB2312" w:cs="Times New Roman"/>
          <w:sz w:val="32"/>
          <w:szCs w:val="32"/>
          <w:u w:val="single"/>
        </w:rPr>
        <w:t xml:space="preserve">      </w:t>
      </w:r>
    </w:p>
    <w:p>
      <w:pPr>
        <w:adjustRightInd w:val="0"/>
        <w:snapToGrid w:val="0"/>
        <w:spacing w:line="288" w:lineRule="auto"/>
        <w:ind w:firstLine="640" w:firstLineChars="200"/>
        <w:rPr>
          <w:rFonts w:eastAsia="仿宋_GB2312" w:cs="Times New Roman"/>
          <w:sz w:val="32"/>
          <w:szCs w:val="32"/>
          <w:u w:val="single"/>
        </w:rPr>
      </w:pPr>
      <w:r>
        <w:rPr>
          <w:rFonts w:eastAsia="仿宋_GB2312" w:cs="Times New Roman"/>
          <w:sz w:val="32"/>
          <w:szCs w:val="32"/>
        </w:rPr>
        <w:t>建设单位（盖章）：</w:t>
      </w:r>
      <w:bookmarkStart w:id="1" w:name="_Hlk155604687"/>
      <w:r>
        <w:rPr>
          <w:rFonts w:eastAsia="仿宋_GB2312" w:cs="Times New Roman"/>
          <w:sz w:val="32"/>
          <w:szCs w:val="32"/>
          <w:u w:val="single"/>
        </w:rPr>
        <w:t>周至科达路面建设材料有限公司</w:t>
      </w:r>
      <w:bookmarkEnd w:id="1"/>
    </w:p>
    <w:p>
      <w:pPr>
        <w:adjustRightInd w:val="0"/>
        <w:snapToGrid w:val="0"/>
        <w:spacing w:line="288" w:lineRule="auto"/>
        <w:ind w:firstLine="640" w:firstLineChars="200"/>
        <w:rPr>
          <w:rFonts w:eastAsia="仿宋_GB2312" w:cs="Times New Roman"/>
          <w:sz w:val="32"/>
          <w:szCs w:val="32"/>
          <w:u w:val="single"/>
        </w:rPr>
      </w:pPr>
      <w:r>
        <w:rPr>
          <w:rFonts w:eastAsia="仿宋_GB2312" w:cs="Times New Roman"/>
          <w:sz w:val="32"/>
          <w:szCs w:val="32"/>
        </w:rPr>
        <w:t>编制日期：</w:t>
      </w:r>
      <w:r>
        <w:rPr>
          <w:rFonts w:eastAsia="仿宋_GB2312" w:cs="Times New Roman"/>
          <w:sz w:val="32"/>
          <w:szCs w:val="32"/>
          <w:u w:val="single"/>
        </w:rPr>
        <w:t xml:space="preserve">           二零二四年</w:t>
      </w:r>
      <w:r>
        <w:rPr>
          <w:rFonts w:hint="eastAsia" w:eastAsia="仿宋_GB2312" w:cs="Times New Roman"/>
          <w:sz w:val="32"/>
          <w:szCs w:val="32"/>
          <w:u w:val="single"/>
        </w:rPr>
        <w:t>二</w:t>
      </w:r>
      <w:r>
        <w:rPr>
          <w:rFonts w:eastAsia="仿宋_GB2312" w:cs="Times New Roman"/>
          <w:sz w:val="32"/>
          <w:szCs w:val="32"/>
          <w:u w:val="single"/>
        </w:rPr>
        <w:t xml:space="preserve">月          </w:t>
      </w:r>
    </w:p>
    <w:p>
      <w:pPr>
        <w:adjustRightInd w:val="0"/>
        <w:snapToGrid w:val="0"/>
        <w:spacing w:line="288" w:lineRule="auto"/>
        <w:ind w:firstLine="1040"/>
        <w:rPr>
          <w:rFonts w:eastAsia="仿宋_GB2312" w:cs="Times New Roman"/>
          <w:sz w:val="36"/>
          <w:szCs w:val="36"/>
          <w:u w:val="single"/>
        </w:rPr>
      </w:pPr>
      <w:bookmarkStart w:id="2" w:name="_Hlk57884087"/>
    </w:p>
    <w:p>
      <w:pPr>
        <w:adjustRightInd w:val="0"/>
        <w:snapToGrid w:val="0"/>
        <w:spacing w:line="288" w:lineRule="auto"/>
        <w:ind w:firstLine="1040"/>
        <w:rPr>
          <w:rFonts w:eastAsia="仿宋_GB2312" w:cs="Times New Roman"/>
          <w:sz w:val="36"/>
          <w:szCs w:val="36"/>
        </w:rPr>
      </w:pPr>
    </w:p>
    <w:p>
      <w:pPr>
        <w:adjustRightInd w:val="0"/>
        <w:snapToGrid w:val="0"/>
        <w:spacing w:line="288" w:lineRule="auto"/>
        <w:ind w:firstLine="1040"/>
        <w:rPr>
          <w:rFonts w:eastAsia="仿宋_GB2312" w:cs="Times New Roman"/>
          <w:sz w:val="36"/>
          <w:szCs w:val="36"/>
        </w:rPr>
      </w:pPr>
    </w:p>
    <w:p>
      <w:pPr>
        <w:adjustRightInd w:val="0"/>
        <w:snapToGrid w:val="0"/>
        <w:spacing w:line="288" w:lineRule="auto"/>
        <w:ind w:firstLine="1040"/>
        <w:rPr>
          <w:rFonts w:eastAsia="仿宋_GB2312" w:cs="Times New Roman"/>
          <w:sz w:val="36"/>
          <w:szCs w:val="36"/>
        </w:rPr>
      </w:pPr>
    </w:p>
    <w:p>
      <w:pPr>
        <w:adjustRightInd w:val="0"/>
        <w:snapToGrid w:val="0"/>
        <w:spacing w:line="288" w:lineRule="auto"/>
        <w:ind w:firstLine="1040"/>
        <w:rPr>
          <w:rFonts w:eastAsia="仿宋_GB2312" w:cs="Times New Roman"/>
          <w:sz w:val="36"/>
          <w:szCs w:val="36"/>
        </w:rPr>
      </w:pPr>
    </w:p>
    <w:bookmarkEnd w:id="2"/>
    <w:p>
      <w:pPr>
        <w:adjustRightInd w:val="0"/>
        <w:snapToGrid w:val="0"/>
        <w:spacing w:line="288" w:lineRule="auto"/>
        <w:jc w:val="center"/>
        <w:rPr>
          <w:rFonts w:eastAsia="楷体_GB2312" w:cs="Times New Roman"/>
          <w:sz w:val="36"/>
          <w:szCs w:val="36"/>
        </w:rPr>
      </w:pPr>
      <w:r>
        <w:rPr>
          <w:rFonts w:eastAsia="楷体_GB2312" w:cs="Times New Roman"/>
          <w:sz w:val="36"/>
          <w:szCs w:val="36"/>
        </w:rPr>
        <w:t>中华人民共和国生态环境部制</w:t>
      </w:r>
    </w:p>
    <w:p>
      <w:pPr>
        <w:rPr>
          <w:rFonts w:cs="Times New Roman"/>
        </w:rPr>
      </w:pPr>
    </w:p>
    <w:p>
      <w:pPr>
        <w:rPr>
          <w:rFonts w:cs="Times New Roman"/>
        </w:rPr>
      </w:pPr>
    </w:p>
    <w:p>
      <w:pPr>
        <w:rPr>
          <w:rFonts w:cs="Times New Roman"/>
        </w:rPr>
      </w:pPr>
    </w:p>
    <w:p>
      <w:pPr>
        <w:rPr>
          <w:rFonts w:cs="Times New Roman"/>
        </w:rPr>
        <w:sectPr>
          <w:footerReference r:id="rId5" w:type="default"/>
          <w:footerReference r:id="rId6" w:type="even"/>
          <w:pgSz w:w="11906" w:h="16838"/>
          <w:pgMar w:top="1440" w:right="1800" w:bottom="1440" w:left="1800" w:header="851" w:footer="992" w:gutter="0"/>
          <w:cols w:space="425" w:num="1"/>
          <w:docGrid w:type="lines" w:linePitch="312" w:charSpace="0"/>
        </w:sectPr>
      </w:pPr>
    </w:p>
    <w:p>
      <w:pPr>
        <w:jc w:val="center"/>
        <w:rPr>
          <w:rFonts w:cs="Times New Roman"/>
          <w:b/>
          <w:bCs/>
          <w:sz w:val="28"/>
          <w:szCs w:val="24"/>
        </w:rPr>
      </w:pPr>
      <w:r>
        <w:rPr>
          <w:rFonts w:cs="Times New Roman"/>
          <w:b/>
          <w:bCs/>
          <w:sz w:val="28"/>
          <w:szCs w:val="24"/>
        </w:rPr>
        <w:t>一、建设项目基本情况</w:t>
      </w:r>
    </w:p>
    <w:tbl>
      <w:tblPr>
        <w:tblStyle w:val="18"/>
        <w:tblW w:w="492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15"/>
        <w:gridCol w:w="2208"/>
        <w:gridCol w:w="2179"/>
        <w:gridCol w:w="3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94" w:type="pct"/>
            <w:tcBorders>
              <w:top w:val="single" w:color="auto" w:sz="8"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建设项目名称</w:t>
            </w:r>
          </w:p>
        </w:tc>
        <w:tc>
          <w:tcPr>
            <w:tcW w:w="4005" w:type="pct"/>
            <w:gridSpan w:val="3"/>
            <w:tcBorders>
              <w:top w:val="single" w:color="auto" w:sz="8" w:space="0"/>
              <w:left w:val="single" w:color="auto" w:sz="4" w:space="0"/>
              <w:bottom w:val="single" w:color="auto" w:sz="4" w:space="0"/>
              <w:right w:val="single" w:color="auto" w:sz="8" w:space="0"/>
            </w:tcBorders>
            <w:vAlign w:val="center"/>
          </w:tcPr>
          <w:p>
            <w:pPr>
              <w:pStyle w:val="23"/>
              <w:rPr>
                <w:color w:val="auto"/>
              </w:rPr>
            </w:pPr>
            <w:r>
              <w:rPr>
                <w:color w:val="auto"/>
              </w:rPr>
              <w:t>路面建设材料扩建项目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项目代码</w:t>
            </w:r>
          </w:p>
        </w:tc>
        <w:tc>
          <w:tcPr>
            <w:tcW w:w="4005" w:type="pct"/>
            <w:gridSpan w:val="3"/>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2311-610124-04-01-517678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建设单位联系人</w:t>
            </w:r>
          </w:p>
        </w:tc>
        <w:tc>
          <w:tcPr>
            <w:tcW w:w="1146"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胡石头</w:t>
            </w:r>
          </w:p>
        </w:tc>
        <w:tc>
          <w:tcPr>
            <w:tcW w:w="1131"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联系方式</w:t>
            </w:r>
          </w:p>
        </w:tc>
        <w:tc>
          <w:tcPr>
            <w:tcW w:w="1728" w:type="pct"/>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187</w:t>
            </w:r>
            <w:r>
              <w:rPr>
                <w:rFonts w:hint="eastAsia"/>
                <w:color w:val="auto"/>
                <w:lang w:val="en-US" w:eastAsia="zh-CN"/>
              </w:rPr>
              <w:t>****</w:t>
            </w:r>
            <w:bookmarkStart w:id="13" w:name="_GoBack"/>
            <w:bookmarkEnd w:id="13"/>
            <w:r>
              <w:rPr>
                <w:color w:val="auto"/>
              </w:rPr>
              <w:t>5990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建设地点</w:t>
            </w:r>
          </w:p>
        </w:tc>
        <w:tc>
          <w:tcPr>
            <w:tcW w:w="4005" w:type="pct"/>
            <w:gridSpan w:val="3"/>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周至县渭河工业区周普路3号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地理坐标</w:t>
            </w:r>
          </w:p>
        </w:tc>
        <w:tc>
          <w:tcPr>
            <w:tcW w:w="4005" w:type="pct"/>
            <w:gridSpan w:val="3"/>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（东经108度12分28.410秒，北纬34度12分2.195秒）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国民经济</w:t>
            </w:r>
          </w:p>
          <w:p>
            <w:pPr>
              <w:pStyle w:val="23"/>
              <w:rPr>
                <w:color w:val="auto"/>
              </w:rPr>
            </w:pPr>
            <w:r>
              <w:rPr>
                <w:color w:val="auto"/>
              </w:rPr>
              <w:t>行业类别</w:t>
            </w:r>
          </w:p>
        </w:tc>
        <w:tc>
          <w:tcPr>
            <w:tcW w:w="1146"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C302</w:t>
            </w:r>
            <w:r>
              <w:rPr>
                <w:rFonts w:hint="eastAsia"/>
                <w:color w:val="auto"/>
              </w:rPr>
              <w:t>石膏、水泥制品及类似制品制造</w:t>
            </w:r>
          </w:p>
        </w:tc>
        <w:tc>
          <w:tcPr>
            <w:tcW w:w="1131" w:type="pct"/>
            <w:tcBorders>
              <w:top w:val="single" w:color="auto" w:sz="4" w:space="0"/>
              <w:left w:val="single" w:color="auto" w:sz="4" w:space="0"/>
              <w:bottom w:val="single" w:color="auto" w:sz="4" w:space="0"/>
              <w:right w:val="single" w:color="auto" w:sz="4" w:space="0"/>
            </w:tcBorders>
            <w:vAlign w:val="center"/>
          </w:tcPr>
          <w:p>
            <w:pPr>
              <w:pStyle w:val="23"/>
              <w:rPr>
                <w:color w:val="auto"/>
              </w:rPr>
            </w:pPr>
            <w:bookmarkStart w:id="3" w:name="_Hlk49843745"/>
            <w:r>
              <w:rPr>
                <w:color w:val="auto"/>
              </w:rPr>
              <w:t>建设项目</w:t>
            </w:r>
          </w:p>
          <w:p>
            <w:pPr>
              <w:pStyle w:val="23"/>
              <w:rPr>
                <w:color w:val="auto"/>
              </w:rPr>
            </w:pPr>
            <w:r>
              <w:rPr>
                <w:color w:val="auto"/>
              </w:rPr>
              <w:t>行业类别</w:t>
            </w:r>
            <w:bookmarkEnd w:id="3"/>
          </w:p>
        </w:tc>
        <w:tc>
          <w:tcPr>
            <w:tcW w:w="1728" w:type="pct"/>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二十七：非金属矿物制品业</w:t>
            </w:r>
          </w:p>
          <w:p>
            <w:pPr>
              <w:pStyle w:val="23"/>
              <w:rPr>
                <w:color w:val="auto"/>
              </w:rPr>
            </w:pPr>
            <w:r>
              <w:rPr>
                <w:color w:val="auto"/>
              </w:rPr>
              <w:t>30–石膏、水泥制品及类似制品制造302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93"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建设性质</w:t>
            </w:r>
          </w:p>
        </w:tc>
        <w:tc>
          <w:tcPr>
            <w:tcW w:w="1146"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sym w:font="Wingdings 2" w:char="F0A3"/>
            </w:r>
            <w:r>
              <w:rPr>
                <w:color w:val="auto"/>
              </w:rPr>
              <w:t>新建（迁建）</w:t>
            </w:r>
          </w:p>
          <w:p>
            <w:pPr>
              <w:pStyle w:val="23"/>
              <w:rPr>
                <w:color w:val="auto"/>
              </w:rPr>
            </w:pPr>
            <w:r>
              <w:rPr>
                <w:color w:val="auto"/>
              </w:rPr>
              <w:sym w:font="Wingdings 2" w:char="F0A3"/>
            </w:r>
            <w:r>
              <w:rPr>
                <w:color w:val="auto"/>
              </w:rPr>
              <w:t>改建</w:t>
            </w:r>
          </w:p>
          <w:p>
            <w:pPr>
              <w:pStyle w:val="23"/>
              <w:rPr>
                <w:color w:val="auto"/>
              </w:rPr>
            </w:pPr>
            <w:r>
              <w:rPr>
                <w:color w:val="auto"/>
              </w:rPr>
              <w:sym w:font="Wingdings 2" w:char="F052"/>
            </w:r>
            <w:r>
              <w:rPr>
                <w:color w:val="auto"/>
              </w:rPr>
              <w:t>扩建</w:t>
            </w:r>
          </w:p>
          <w:p>
            <w:pPr>
              <w:pStyle w:val="23"/>
              <w:rPr>
                <w:color w:val="auto"/>
              </w:rPr>
            </w:pPr>
            <w:r>
              <w:rPr>
                <w:color w:val="auto"/>
              </w:rPr>
              <w:sym w:font="Wingdings 2" w:char="F0A3"/>
            </w:r>
            <w:r>
              <w:rPr>
                <w:color w:val="auto"/>
              </w:rPr>
              <w:t>技术改造</w:t>
            </w:r>
          </w:p>
        </w:tc>
        <w:tc>
          <w:tcPr>
            <w:tcW w:w="1131"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建设项目</w:t>
            </w:r>
          </w:p>
          <w:p>
            <w:pPr>
              <w:pStyle w:val="23"/>
              <w:rPr>
                <w:color w:val="auto"/>
              </w:rPr>
            </w:pPr>
            <w:r>
              <w:rPr>
                <w:color w:val="auto"/>
              </w:rPr>
              <w:t>申报情形</w:t>
            </w:r>
          </w:p>
        </w:tc>
        <w:tc>
          <w:tcPr>
            <w:tcW w:w="1728" w:type="pct"/>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sym w:font="Wingdings 2" w:char="F052"/>
            </w:r>
            <w:r>
              <w:rPr>
                <w:color w:val="auto"/>
              </w:rPr>
              <w:t>首次申报项目</w:t>
            </w:r>
          </w:p>
          <w:p>
            <w:pPr>
              <w:pStyle w:val="23"/>
              <w:rPr>
                <w:color w:val="auto"/>
              </w:rPr>
            </w:pPr>
            <w:r>
              <w:rPr>
                <w:color w:val="auto"/>
              </w:rPr>
              <w:sym w:font="Wingdings 2" w:char="F0A3"/>
            </w:r>
            <w:r>
              <w:rPr>
                <w:color w:val="auto"/>
              </w:rPr>
              <w:t>不予批准后再次申报项目</w:t>
            </w:r>
          </w:p>
          <w:p>
            <w:pPr>
              <w:pStyle w:val="23"/>
              <w:rPr>
                <w:color w:val="auto"/>
              </w:rPr>
            </w:pPr>
            <w:r>
              <w:rPr>
                <w:color w:val="auto"/>
              </w:rPr>
              <w:sym w:font="Wingdings 2" w:char="F0A3"/>
            </w:r>
            <w:r>
              <w:rPr>
                <w:color w:val="auto"/>
              </w:rPr>
              <w:t>超五年重新审核项目</w:t>
            </w:r>
          </w:p>
          <w:p>
            <w:pPr>
              <w:pStyle w:val="23"/>
              <w:rPr>
                <w:color w:val="auto"/>
              </w:rPr>
            </w:pPr>
            <w:r>
              <w:rPr>
                <w:color w:val="auto"/>
              </w:rPr>
              <w:sym w:font="Wingdings 2" w:char="F0A3"/>
            </w:r>
            <w:r>
              <w:rPr>
                <w:color w:val="auto"/>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项目审批（核准/</w:t>
            </w:r>
          </w:p>
          <w:p>
            <w:pPr>
              <w:pStyle w:val="23"/>
              <w:rPr>
                <w:color w:val="auto"/>
              </w:rPr>
            </w:pPr>
            <w:r>
              <w:rPr>
                <w:color w:val="auto"/>
              </w:rPr>
              <w:t>备案）部门（选填）</w:t>
            </w:r>
          </w:p>
        </w:tc>
        <w:tc>
          <w:tcPr>
            <w:tcW w:w="1146"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周至县发展和改革委员会</w:t>
            </w:r>
          </w:p>
        </w:tc>
        <w:tc>
          <w:tcPr>
            <w:tcW w:w="1131"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项目审批（核准/</w:t>
            </w:r>
          </w:p>
          <w:p>
            <w:pPr>
              <w:pStyle w:val="23"/>
              <w:rPr>
                <w:color w:val="auto"/>
              </w:rPr>
            </w:pPr>
            <w:r>
              <w:rPr>
                <w:color w:val="auto"/>
              </w:rPr>
              <w:t>备案）文号（选填）</w:t>
            </w:r>
          </w:p>
        </w:tc>
        <w:tc>
          <w:tcPr>
            <w:tcW w:w="1728" w:type="pct"/>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2311-610124-04-01-517678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总投资（万元）</w:t>
            </w:r>
          </w:p>
        </w:tc>
        <w:tc>
          <w:tcPr>
            <w:tcW w:w="1146"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500</w:t>
            </w:r>
          </w:p>
        </w:tc>
        <w:tc>
          <w:tcPr>
            <w:tcW w:w="1131" w:type="pct"/>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环保投资（万元）</w:t>
            </w:r>
          </w:p>
        </w:tc>
        <w:tc>
          <w:tcPr>
            <w:tcW w:w="1728" w:type="pct"/>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环保投资占比（%）</w:t>
            </w:r>
          </w:p>
        </w:tc>
        <w:tc>
          <w:tcPr>
            <w:tcW w:w="1146"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6%</w:t>
            </w:r>
          </w:p>
        </w:tc>
        <w:tc>
          <w:tcPr>
            <w:tcW w:w="1131" w:type="pct"/>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施工工期</w:t>
            </w:r>
          </w:p>
        </w:tc>
        <w:tc>
          <w:tcPr>
            <w:tcW w:w="1728" w:type="pct"/>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12个月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是否开工建设</w:t>
            </w:r>
          </w:p>
        </w:tc>
        <w:tc>
          <w:tcPr>
            <w:tcW w:w="1146"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sym w:font="Wingdings 2" w:char="0052"/>
            </w:r>
            <w:r>
              <w:rPr>
                <w:color w:val="auto"/>
              </w:rPr>
              <w:t>否</w:t>
            </w:r>
          </w:p>
          <w:p>
            <w:pPr>
              <w:pStyle w:val="23"/>
              <w:rPr>
                <w:color w:val="auto"/>
              </w:rPr>
            </w:pPr>
            <w:r>
              <w:rPr>
                <w:color w:val="auto"/>
              </w:rPr>
              <w:sym w:font="Wingdings 2" w:char="F0A3"/>
            </w:r>
            <w:r>
              <w:rPr>
                <w:color w:val="auto"/>
              </w:rPr>
              <w:t xml:space="preserve">是：          </w:t>
            </w:r>
          </w:p>
        </w:tc>
        <w:tc>
          <w:tcPr>
            <w:tcW w:w="1131"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用地面积（m</w:t>
            </w:r>
            <w:r>
              <w:rPr>
                <w:color w:val="auto"/>
                <w:vertAlign w:val="superscript"/>
              </w:rPr>
              <w:t>2</w:t>
            </w:r>
            <w:r>
              <w:rPr>
                <w:color w:val="auto"/>
              </w:rPr>
              <w:t>）</w:t>
            </w:r>
          </w:p>
          <w:p>
            <w:pPr>
              <w:pStyle w:val="23"/>
              <w:rPr>
                <w:color w:val="auto"/>
              </w:rPr>
            </w:pPr>
            <w:r>
              <w:rPr>
                <w:color w:val="auto"/>
              </w:rPr>
              <w:t>/长度（km）</w:t>
            </w:r>
          </w:p>
        </w:tc>
        <w:tc>
          <w:tcPr>
            <w:tcW w:w="1728" w:type="pct"/>
            <w:tcBorders>
              <w:top w:val="single" w:color="auto" w:sz="4" w:space="0"/>
              <w:left w:val="single" w:color="auto" w:sz="4" w:space="0"/>
              <w:bottom w:val="single" w:color="auto" w:sz="4" w:space="0"/>
              <w:right w:val="single" w:color="auto" w:sz="8" w:space="0"/>
            </w:tcBorders>
            <w:vAlign w:val="center"/>
          </w:tcPr>
          <w:p>
            <w:pPr>
              <w:pStyle w:val="23"/>
              <w:rPr>
                <w:color w:val="auto"/>
              </w:rPr>
            </w:pPr>
            <w:r>
              <w:rPr>
                <w:color w:val="auto"/>
              </w:rPr>
              <w:t>12000m</w:t>
            </w:r>
            <w:r>
              <w:rPr>
                <w:color w:val="auto"/>
                <w:vertAlign w:val="superscript"/>
              </w:rPr>
              <w:t>2</w:t>
            </w:r>
            <w:r>
              <w:rPr>
                <w:color w:val="auto"/>
              </w:rPr>
              <w:t>（18亩）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62"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专项评价设置情况</w:t>
            </w:r>
          </w:p>
        </w:tc>
        <w:tc>
          <w:tcPr>
            <w:tcW w:w="4005"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ind w:firstLine="480" w:firstLineChars="200"/>
              <w:rPr>
                <w:rFonts w:cs="Times New Roman"/>
              </w:rPr>
            </w:pPr>
            <w:r>
              <w:rPr>
                <w:rFonts w:cs="Times New Roman"/>
              </w:rPr>
              <w:t>根据《建设项目环境影响报告表编制技术指南》（污染影响类）（试行），专项评价设置原则与本项目情况对照见表1-1。</w:t>
            </w:r>
          </w:p>
          <w:p>
            <w:pPr>
              <w:pStyle w:val="24"/>
              <w:rPr>
                <w:rFonts w:cs="Times New Roman"/>
              </w:rPr>
            </w:pPr>
            <w:r>
              <w:rPr>
                <w:rFonts w:cs="Times New Roman"/>
              </w:rPr>
              <w:t>表1-1 专项评价设置原则及本项目情况对照一览表</w:t>
            </w:r>
          </w:p>
          <w:tbl>
            <w:tblPr>
              <w:tblStyle w:val="18"/>
              <w:tblW w:w="499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2586"/>
              <w:gridCol w:w="2863"/>
              <w:gridCol w:w="114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8" w:space="0"/>
                    <w:left w:val="nil"/>
                    <w:bottom w:val="single" w:color="auto" w:sz="4" w:space="0"/>
                    <w:right w:val="single" w:color="auto" w:sz="4" w:space="0"/>
                  </w:tcBorders>
                  <w:vAlign w:val="center"/>
                </w:tcPr>
                <w:p>
                  <w:pPr>
                    <w:pStyle w:val="23"/>
                    <w:rPr>
                      <w:color w:val="auto"/>
                    </w:rPr>
                  </w:pPr>
                  <w:r>
                    <w:rPr>
                      <w:color w:val="auto"/>
                    </w:rPr>
                    <w:t>专项评价的类别</w:t>
                  </w:r>
                </w:p>
              </w:tc>
              <w:tc>
                <w:tcPr>
                  <w:tcW w:w="1683" w:type="pct"/>
                  <w:tcBorders>
                    <w:top w:val="single" w:color="auto" w:sz="8" w:space="0"/>
                    <w:left w:val="single" w:color="auto" w:sz="4" w:space="0"/>
                    <w:bottom w:val="single" w:color="auto" w:sz="4" w:space="0"/>
                    <w:right w:val="single" w:color="auto" w:sz="4" w:space="0"/>
                  </w:tcBorders>
                  <w:vAlign w:val="center"/>
                </w:tcPr>
                <w:p>
                  <w:pPr>
                    <w:pStyle w:val="23"/>
                    <w:rPr>
                      <w:color w:val="auto"/>
                    </w:rPr>
                  </w:pPr>
                  <w:r>
                    <w:rPr>
                      <w:color w:val="auto"/>
                    </w:rPr>
                    <w:t>设置原则</w:t>
                  </w:r>
                </w:p>
              </w:tc>
              <w:tc>
                <w:tcPr>
                  <w:tcW w:w="1863" w:type="pct"/>
                  <w:tcBorders>
                    <w:top w:val="single" w:color="auto" w:sz="8" w:space="0"/>
                    <w:left w:val="single" w:color="auto" w:sz="4" w:space="0"/>
                    <w:bottom w:val="single" w:color="auto" w:sz="4" w:space="0"/>
                    <w:right w:val="single" w:color="auto" w:sz="4" w:space="0"/>
                  </w:tcBorders>
                  <w:vAlign w:val="center"/>
                </w:tcPr>
                <w:p>
                  <w:pPr>
                    <w:pStyle w:val="23"/>
                    <w:rPr>
                      <w:color w:val="auto"/>
                    </w:rPr>
                  </w:pPr>
                  <w:r>
                    <w:rPr>
                      <w:color w:val="auto"/>
                    </w:rPr>
                    <w:t>本项目情况</w:t>
                  </w:r>
                </w:p>
              </w:tc>
              <w:tc>
                <w:tcPr>
                  <w:tcW w:w="742" w:type="pct"/>
                  <w:tcBorders>
                    <w:top w:val="single" w:color="auto" w:sz="8" w:space="0"/>
                    <w:left w:val="single" w:color="auto" w:sz="4" w:space="0"/>
                    <w:bottom w:val="single" w:color="auto" w:sz="4" w:space="0"/>
                    <w:right w:val="nil"/>
                  </w:tcBorders>
                  <w:vAlign w:val="center"/>
                </w:tcPr>
                <w:p>
                  <w:pPr>
                    <w:pStyle w:val="23"/>
                    <w:rPr>
                      <w:color w:val="auto"/>
                    </w:rPr>
                  </w:pPr>
                  <w:r>
                    <w:rPr>
                      <w:color w:val="auto"/>
                    </w:rPr>
                    <w:t>是否开展专项评价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3"/>
                    <w:rPr>
                      <w:color w:val="auto"/>
                    </w:rPr>
                  </w:pPr>
                  <w:r>
                    <w:rPr>
                      <w:color w:val="auto"/>
                    </w:rPr>
                    <w:t>大气</w:t>
                  </w:r>
                </w:p>
              </w:tc>
              <w:tc>
                <w:tcPr>
                  <w:tcW w:w="168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排放废气含有毒有害污染物</w:t>
                  </w:r>
                  <w:r>
                    <w:rPr>
                      <w:color w:val="auto"/>
                      <w:vertAlign w:val="superscript"/>
                    </w:rPr>
                    <w:t>1</w:t>
                  </w:r>
                  <w:r>
                    <w:rPr>
                      <w:color w:val="auto"/>
                    </w:rPr>
                    <w:t>、二噁英、苯并芘、氰化物、氯气且厂界外500米范围内有环境空气保护目标</w:t>
                  </w:r>
                  <w:r>
                    <w:rPr>
                      <w:color w:val="auto"/>
                      <w:vertAlign w:val="superscript"/>
                    </w:rPr>
                    <w:t>2</w:t>
                  </w:r>
                  <w:r>
                    <w:rPr>
                      <w:color w:val="auto"/>
                    </w:rPr>
                    <w:t>的建设项目。</w:t>
                  </w:r>
                </w:p>
              </w:tc>
              <w:tc>
                <w:tcPr>
                  <w:tcW w:w="186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本项目运营期排放废气中含有苯并[a]芘，</w:t>
                  </w:r>
                  <w:r>
                    <w:rPr>
                      <w:rFonts w:hint="eastAsia"/>
                      <w:color w:val="auto"/>
                    </w:rPr>
                    <w:t>本项目东南侧渭滩村距离东南侧厂界约3</w:t>
                  </w:r>
                  <w:r>
                    <w:rPr>
                      <w:color w:val="auto"/>
                    </w:rPr>
                    <w:t>10m</w:t>
                  </w:r>
                  <w:r>
                    <w:rPr>
                      <w:rFonts w:hint="eastAsia"/>
                      <w:color w:val="auto"/>
                    </w:rPr>
                    <w:t>，西北侧渭河新村距离西北厂界约4</w:t>
                  </w:r>
                  <w:r>
                    <w:rPr>
                      <w:color w:val="auto"/>
                    </w:rPr>
                    <w:t>20m</w:t>
                  </w:r>
                  <w:r>
                    <w:rPr>
                      <w:rFonts w:hint="eastAsia"/>
                      <w:color w:val="auto"/>
                    </w:rPr>
                    <w:t>。搅拌场站位置距离渭滩村4</w:t>
                  </w:r>
                  <w:r>
                    <w:rPr>
                      <w:color w:val="auto"/>
                    </w:rPr>
                    <w:t>4</w:t>
                  </w:r>
                  <w:r>
                    <w:rPr>
                      <w:rFonts w:hint="eastAsia"/>
                      <w:color w:val="auto"/>
                    </w:rPr>
                    <w:t>0m，距渭新村470m。</w:t>
                  </w:r>
                  <w:r>
                    <w:rPr>
                      <w:color w:val="auto"/>
                    </w:rPr>
                    <w:t>因此本项目需要进行大气专项评价。</w:t>
                  </w:r>
                </w:p>
              </w:tc>
              <w:tc>
                <w:tcPr>
                  <w:tcW w:w="742"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设置大气专项环评</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710" w:type="pct"/>
                  <w:tcBorders>
                    <w:top w:val="single" w:color="auto" w:sz="4" w:space="0"/>
                    <w:left w:val="nil"/>
                    <w:bottom w:val="single" w:color="auto" w:sz="4" w:space="0"/>
                    <w:right w:val="single" w:color="auto" w:sz="4" w:space="0"/>
                  </w:tcBorders>
                  <w:vAlign w:val="center"/>
                </w:tcPr>
                <w:p>
                  <w:pPr>
                    <w:pStyle w:val="23"/>
                    <w:rPr>
                      <w:color w:val="auto"/>
                    </w:rPr>
                  </w:pPr>
                  <w:r>
                    <w:rPr>
                      <w:color w:val="auto"/>
                    </w:rPr>
                    <w:t>地表水</w:t>
                  </w:r>
                </w:p>
              </w:tc>
              <w:tc>
                <w:tcPr>
                  <w:tcW w:w="168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新增工业废水直排建设项目（槽罐车外送污水处理厂的除外）；新增废水直排的污水集中处理厂。</w:t>
                  </w:r>
                </w:p>
                <w:p>
                  <w:pPr>
                    <w:rPr>
                      <w:rFonts w:cs="Times New Roman"/>
                    </w:rPr>
                  </w:pPr>
                </w:p>
              </w:tc>
              <w:tc>
                <w:tcPr>
                  <w:tcW w:w="186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本项目场内道路冲洗废水及进出车辆冲洗废水经沉淀池沉淀后回用不外排。因此本项目不需要进行地表水专项评价。</w:t>
                  </w:r>
                </w:p>
              </w:tc>
              <w:tc>
                <w:tcPr>
                  <w:tcW w:w="742"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3"/>
                    <w:rPr>
                      <w:color w:val="auto"/>
                    </w:rPr>
                  </w:pPr>
                  <w:r>
                    <w:rPr>
                      <w:color w:val="auto"/>
                    </w:rPr>
                    <w:t>环境风险</w:t>
                  </w:r>
                </w:p>
              </w:tc>
              <w:tc>
                <w:tcPr>
                  <w:tcW w:w="168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有毒有害和易燃易爆危险物质存储量超过临界量</w:t>
                  </w:r>
                  <w:r>
                    <w:rPr>
                      <w:color w:val="auto"/>
                      <w:vertAlign w:val="superscript"/>
                    </w:rPr>
                    <w:t>3</w:t>
                  </w:r>
                  <w:r>
                    <w:rPr>
                      <w:color w:val="auto"/>
                    </w:rPr>
                    <w:t>的建设项目。</w:t>
                  </w:r>
                </w:p>
              </w:tc>
              <w:tc>
                <w:tcPr>
                  <w:tcW w:w="186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本项目涉及的环境风险物质最大存储量均未超过临界量，因此本项目不需要进行环境风险专项评价。</w:t>
                  </w:r>
                </w:p>
              </w:tc>
              <w:tc>
                <w:tcPr>
                  <w:tcW w:w="742"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3"/>
                    <w:rPr>
                      <w:color w:val="auto"/>
                    </w:rPr>
                  </w:pPr>
                  <w:r>
                    <w:rPr>
                      <w:color w:val="auto"/>
                    </w:rPr>
                    <w:t>生态</w:t>
                  </w:r>
                </w:p>
              </w:tc>
              <w:tc>
                <w:tcPr>
                  <w:tcW w:w="168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取水口下游500米范围内有重要水生生物的自然产卵场、索饵场、越冬场和洄游通道的新增河道取水的污染类建设项目。</w:t>
                  </w:r>
                </w:p>
              </w:tc>
              <w:tc>
                <w:tcPr>
                  <w:tcW w:w="186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本项目不属于河道取水的污染类建设项目，因此本项目不需要进行生态专项评价。</w:t>
                  </w:r>
                </w:p>
              </w:tc>
              <w:tc>
                <w:tcPr>
                  <w:tcW w:w="742"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3"/>
                    <w:rPr>
                      <w:color w:val="auto"/>
                    </w:rPr>
                  </w:pPr>
                  <w:r>
                    <w:rPr>
                      <w:color w:val="auto"/>
                    </w:rPr>
                    <w:t>海洋</w:t>
                  </w:r>
                </w:p>
              </w:tc>
              <w:tc>
                <w:tcPr>
                  <w:tcW w:w="168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直接向海排放污染物的海洋工程建设项目。</w:t>
                  </w:r>
                </w:p>
              </w:tc>
              <w:tc>
                <w:tcPr>
                  <w:tcW w:w="186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lang w:bidi="ar"/>
                    </w:rPr>
                    <w:t>本项目位于西安市周至县，属于内陆区域，不涉及海洋。</w:t>
                  </w:r>
                  <w:r>
                    <w:rPr>
                      <w:color w:val="auto"/>
                    </w:rPr>
                    <w:t>不需要进行海洋专项评价。</w:t>
                  </w:r>
                </w:p>
              </w:tc>
              <w:tc>
                <w:tcPr>
                  <w:tcW w:w="742"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tcBorders>
                    <w:top w:val="single" w:color="auto" w:sz="4" w:space="0"/>
                    <w:left w:val="nil"/>
                    <w:bottom w:val="single" w:color="auto" w:sz="8" w:space="0"/>
                    <w:right w:val="nil"/>
                  </w:tcBorders>
                  <w:vAlign w:val="center"/>
                </w:tcPr>
                <w:p>
                  <w:pPr>
                    <w:widowControl/>
                    <w:adjustRightInd w:val="0"/>
                    <w:snapToGrid w:val="0"/>
                    <w:spacing w:line="240" w:lineRule="auto"/>
                    <w:jc w:val="both"/>
                    <w:rPr>
                      <w:rFonts w:eastAsia="宋体" w:cs="Times New Roman"/>
                      <w:kern w:val="0"/>
                      <w:sz w:val="21"/>
                      <w:szCs w:val="21"/>
                      <w:lang w:bidi="ar"/>
                    </w:rPr>
                  </w:pPr>
                  <w:r>
                    <w:rPr>
                      <w:rFonts w:eastAsia="宋体" w:cs="Times New Roman"/>
                      <w:kern w:val="0"/>
                      <w:sz w:val="21"/>
                      <w:szCs w:val="21"/>
                      <w:lang w:bidi="ar"/>
                    </w:rPr>
                    <w:t>注：1.废气中有毒有害污染物指纳入《有毒有害大气污染物名录》的污染物（不包括无排放标准的污染物）。</w:t>
                  </w:r>
                </w:p>
                <w:p>
                  <w:pPr>
                    <w:widowControl/>
                    <w:adjustRightInd w:val="0"/>
                    <w:snapToGrid w:val="0"/>
                    <w:spacing w:line="240" w:lineRule="auto"/>
                    <w:ind w:firstLine="420" w:firstLineChars="200"/>
                    <w:jc w:val="both"/>
                    <w:rPr>
                      <w:rFonts w:eastAsia="宋体" w:cs="Times New Roman"/>
                      <w:kern w:val="0"/>
                      <w:sz w:val="21"/>
                      <w:szCs w:val="21"/>
                      <w:lang w:bidi="ar"/>
                    </w:rPr>
                  </w:pPr>
                  <w:r>
                    <w:rPr>
                      <w:rFonts w:eastAsia="宋体" w:cs="Times New Roman"/>
                      <w:kern w:val="0"/>
                      <w:sz w:val="21"/>
                      <w:szCs w:val="21"/>
                      <w:lang w:bidi="ar"/>
                    </w:rPr>
                    <w:t>2.环境空气保护目标指自然保护区、风景名胜区、居住区、文化区和农村地区中人群较集中的区域。</w:t>
                  </w:r>
                </w:p>
                <w:p>
                  <w:pPr>
                    <w:widowControl/>
                    <w:adjustRightInd w:val="0"/>
                    <w:snapToGrid w:val="0"/>
                    <w:spacing w:line="240" w:lineRule="auto"/>
                    <w:ind w:firstLine="420" w:firstLineChars="200"/>
                    <w:jc w:val="both"/>
                    <w:rPr>
                      <w:rFonts w:cs="Times New Roman"/>
                    </w:rPr>
                  </w:pPr>
                  <w:r>
                    <w:rPr>
                      <w:rFonts w:eastAsia="宋体" w:cs="Times New Roman"/>
                      <w:kern w:val="0"/>
                      <w:sz w:val="21"/>
                      <w:szCs w:val="21"/>
                      <w:lang w:bidi="ar"/>
                    </w:rPr>
                    <w:t>3.临界量及其计算方法可参考《建设项目环境风险评价技术导则》（HJ169）附录B、附录C。</w:t>
                  </w:r>
                </w:p>
              </w:tc>
            </w:tr>
          </w:tbl>
          <w:p>
            <w:pPr>
              <w:pStyle w:val="23"/>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规划情况</w:t>
            </w:r>
          </w:p>
        </w:tc>
        <w:tc>
          <w:tcPr>
            <w:tcW w:w="4005"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pStyle w:val="23"/>
              <w:rPr>
                <w:color w:val="auto"/>
              </w:rPr>
            </w:pPr>
            <w:r>
              <w:rPr>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803"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规划环境影响</w:t>
            </w:r>
          </w:p>
          <w:p>
            <w:pPr>
              <w:pStyle w:val="23"/>
              <w:rPr>
                <w:color w:val="auto"/>
              </w:rPr>
            </w:pPr>
            <w:r>
              <w:rPr>
                <w:color w:val="auto"/>
              </w:rPr>
              <w:t>评价情况</w:t>
            </w:r>
          </w:p>
        </w:tc>
        <w:tc>
          <w:tcPr>
            <w:tcW w:w="4005"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pStyle w:val="23"/>
              <w:rPr>
                <w:color w:val="auto"/>
              </w:rPr>
            </w:pPr>
            <w:r>
              <w:rPr>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14"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3"/>
              <w:rPr>
                <w:color w:val="auto"/>
              </w:rPr>
            </w:pPr>
            <w:r>
              <w:rPr>
                <w:color w:val="auto"/>
              </w:rPr>
              <w:t>规划及规划环境影响评价符合性分析</w:t>
            </w:r>
          </w:p>
        </w:tc>
        <w:tc>
          <w:tcPr>
            <w:tcW w:w="4005"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pStyle w:val="24"/>
              <w:rPr>
                <w:rFonts w:cs="Times New Roman"/>
                <w:b w:val="0"/>
                <w:bCs/>
                <w:szCs w:val="21"/>
              </w:rPr>
            </w:pPr>
            <w:r>
              <w:rPr>
                <w:rFonts w:cs="Times New Roman"/>
                <w:b w:val="0"/>
                <w:bCs/>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842" w:hRule="atLeast"/>
        </w:trPr>
        <w:tc>
          <w:tcPr>
            <w:tcW w:w="99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rFonts w:cs="Times New Roman"/>
              </w:rPr>
            </w:pPr>
            <w:r>
              <w:rPr>
                <w:rFonts w:cs="Times New Roman"/>
              </w:rPr>
              <w:t>其他符合性分析</w:t>
            </w:r>
          </w:p>
        </w:tc>
        <w:tc>
          <w:tcPr>
            <w:tcW w:w="4005"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ind w:firstLine="482" w:firstLineChars="200"/>
              <w:rPr>
                <w:rFonts w:cs="Times New Roman"/>
                <w:b/>
                <w:bCs/>
              </w:rPr>
            </w:pPr>
            <w:r>
              <w:rPr>
                <w:rFonts w:cs="Times New Roman"/>
                <w:b/>
                <w:bCs/>
              </w:rPr>
              <w:t>（一）产业政策符合性分析</w:t>
            </w:r>
          </w:p>
          <w:p>
            <w:pPr>
              <w:ind w:firstLine="480" w:firstLineChars="200"/>
              <w:rPr>
                <w:rFonts w:cs="Times New Roman"/>
              </w:rPr>
            </w:pPr>
            <w:r>
              <w:rPr>
                <w:rFonts w:cs="Times New Roman"/>
              </w:rPr>
              <w:t>根据《产业结构调整指导目录》（2024年</w:t>
            </w:r>
            <w:r>
              <w:rPr>
                <w:rFonts w:hint="eastAsia" w:cs="Times New Roman"/>
              </w:rPr>
              <w:t>本</w:t>
            </w:r>
            <w:r>
              <w:rPr>
                <w:rFonts w:cs="Times New Roman"/>
              </w:rPr>
              <w:t>），本项目使用的生产工艺、产品与设备均不属于鼓励类，也不属于限制类和淘汰类，属于允许类项目，符合国家产业政策。</w:t>
            </w:r>
          </w:p>
          <w:p>
            <w:pPr>
              <w:ind w:firstLine="480" w:firstLineChars="200"/>
              <w:rPr>
                <w:rFonts w:cs="Times New Roman"/>
              </w:rPr>
            </w:pPr>
            <w:r>
              <w:rPr>
                <w:rFonts w:cs="Times New Roman"/>
              </w:rPr>
              <w:t>根据《市场准入负面清单》（2022年版），本项目不属于清单内禁止准入类项目，且不在市场准入相关的禁止性规定范围内，可依法平等准入，符合政策要求。</w:t>
            </w:r>
          </w:p>
          <w:p>
            <w:pPr>
              <w:ind w:firstLine="480" w:firstLineChars="200"/>
              <w:rPr>
                <w:rFonts w:cs="Times New Roman"/>
              </w:rPr>
            </w:pPr>
            <w:r>
              <w:rPr>
                <w:rFonts w:cs="Times New Roman"/>
              </w:rPr>
              <w:t>本项目于2023年11月20日取得了周至县发展和改革委员会《路面建设材料扩建项目》备案确认书，项目代码：2311-610124-04-01-517678。</w:t>
            </w:r>
          </w:p>
          <w:p>
            <w:pPr>
              <w:ind w:firstLine="482" w:firstLineChars="200"/>
              <w:rPr>
                <w:rFonts w:cs="Times New Roman"/>
                <w:b/>
                <w:bCs/>
              </w:rPr>
            </w:pPr>
            <w:r>
              <w:rPr>
                <w:rFonts w:cs="Times New Roman"/>
                <w:b/>
                <w:bCs/>
              </w:rPr>
              <w:t>（二）选址合理性</w:t>
            </w:r>
          </w:p>
          <w:p>
            <w:pPr>
              <w:ind w:firstLine="480" w:firstLineChars="200"/>
              <w:rPr>
                <w:rFonts w:cs="Times New Roman"/>
              </w:rPr>
            </w:pPr>
            <w:r>
              <w:rPr>
                <w:rFonts w:cs="Times New Roman"/>
              </w:rPr>
              <w:t>本项目位于周至县渭河工业区周普路3号，在现有厂区南侧租用周至县双翔机械制造有限公司所有工业用地18亩，根据企业提供的所在地块的《中华人民共和国不动产权证书》，该地块土地类型为工业用地。项目东侧为西安美地天瑞新型建材有限公司，北侧为空置工业厂房，西侧为农田，南侧为废弃办公楼及空地。根据现场勘查，项目地最近环境敏感点为位于所在地西北方向的渭新村和东南方向的渭滩村。</w:t>
            </w:r>
          </w:p>
          <w:p>
            <w:pPr>
              <w:ind w:firstLine="480" w:firstLineChars="200"/>
              <w:rPr>
                <w:rFonts w:cs="Times New Roman"/>
              </w:rPr>
            </w:pPr>
            <w:r>
              <w:rPr>
                <w:rFonts w:cs="Times New Roman"/>
              </w:rPr>
              <w:t>根据《公路环境保护设计规范》（JTG B04-2010）适用于新建、改（扩）建公路工程设计，高速公路、一级公路、二级公路和有特殊要求的公路工程项目必须进行环境保护设计，其他等级公路可参照执行。本项目是为市政道路铺设、维护提供搅拌沥青服务的固定式搅拌站，参照执行《公路环境保护设计规范》（JTG B04-2010）中6.3.2第3条：沥青混合料应集中场站搅拌，其设备污染物排放应符合现行《大气综合排放标准》（GB 16297）的规定；搅拌场站距离环境敏感点的距离不宜小于300m，并应根据当地施工季节的最小频率风向的被保护对象的上风侧。</w:t>
            </w:r>
          </w:p>
          <w:p>
            <w:pPr>
              <w:ind w:firstLine="480" w:firstLineChars="200"/>
              <w:rPr>
                <w:rFonts w:cs="Times New Roman"/>
              </w:rPr>
            </w:pPr>
            <w:r>
              <w:rPr>
                <w:rFonts w:cs="Times New Roman"/>
              </w:rPr>
              <w:t>根据建设单位提供平面示意图，</w:t>
            </w:r>
            <w:r>
              <w:rPr>
                <w:rFonts w:hint="eastAsia" w:cs="Times New Roman"/>
              </w:rPr>
              <w:t>本项目东南侧渭滩村距离东南侧厂界约310m，西北侧渭河新村距离西北厂界约420m。搅拌场站位置距离渭滩村440m，距渭新村470m。</w:t>
            </w:r>
            <w:r>
              <w:rPr>
                <w:rFonts w:cs="Times New Roman"/>
              </w:rPr>
              <w:t>因此本项目搅拌楼周边300m范围内无环境敏感保护目标。周至县常年主导风向为西风，敏感点不在场站下风向。本项目相距北横线约610m，周边交通便利、设施齐全，项目地供电、供气等市政设施完备。项目所在区域水、电、气等配套设施齐全，地理位置优越，交通便利。</w:t>
            </w:r>
          </w:p>
          <w:p>
            <w:pPr>
              <w:ind w:firstLine="480" w:firstLineChars="200"/>
              <w:rPr>
                <w:rFonts w:cs="Times New Roman"/>
              </w:rPr>
            </w:pPr>
            <w:r>
              <w:rPr>
                <w:rFonts w:cs="Times New Roman"/>
              </w:rPr>
              <w:t>考虑到项目生产运营过程中对周边敏感点的不利影响主要为废气、噪声，本次环评要求对废气、噪声采取强有力的环保措施。在此前提下，采取各类有效的污染治理措施后，各类污染均可达标排放，距离项目最近的敏感点声环境预测值可满足《声环境质量标准》（GB3096-2008）中的2类标准要求，项目排放的大气污染物对敏感点的贡献值相对较小，因此，在严格落实本报告提出的环保措施前提下，项目运行不会对外环境产生较大影响。本项目周边500m范围不涉及国家公园、自然保护区、风景名胜区、世界文化和自然遗产地、自然公园、重要湿地等。外环境无重大制约因素，从环境保护角度分析，项目选址可行。</w:t>
            </w:r>
          </w:p>
          <w:p>
            <w:pPr>
              <w:ind w:firstLine="482" w:firstLineChars="200"/>
              <w:rPr>
                <w:rFonts w:cs="Times New Roman"/>
                <w:b/>
                <w:bCs/>
              </w:rPr>
            </w:pPr>
            <w:r>
              <w:rPr>
                <w:rFonts w:cs="Times New Roman"/>
                <w:b/>
                <w:bCs/>
              </w:rPr>
              <w:t>（三）“三线一单”符合性分析</w:t>
            </w:r>
          </w:p>
          <w:p>
            <w:pPr>
              <w:adjustRightInd w:val="0"/>
              <w:snapToGrid w:val="0"/>
              <w:ind w:firstLine="480" w:firstLineChars="200"/>
              <w:rPr>
                <w:rFonts w:cs="Times New Roman"/>
                <w:szCs w:val="32"/>
                <w:lang w:val="zh-CN"/>
              </w:rPr>
            </w:pPr>
            <w:r>
              <w:rPr>
                <w:rFonts w:cs="Times New Roman"/>
                <w:szCs w:val="32"/>
                <w:lang w:val="zh-CN"/>
              </w:rPr>
              <w:t>根据陕西省生态环境厅办公室关于印发《陕西省“三线一单”生态环境分区管控应用技术指南：环境影响评价（试行）》（陕环办发〔202</w:t>
            </w:r>
            <w:r>
              <w:rPr>
                <w:rFonts w:cs="Times New Roman"/>
                <w:szCs w:val="32"/>
              </w:rPr>
              <w:t>2</w:t>
            </w:r>
            <w:r>
              <w:rPr>
                <w:rFonts w:cs="Times New Roman"/>
                <w:szCs w:val="32"/>
                <w:lang w:val="zh-CN"/>
              </w:rPr>
              <w:t>〕</w:t>
            </w:r>
            <w:r>
              <w:rPr>
                <w:rFonts w:cs="Times New Roman"/>
                <w:szCs w:val="32"/>
              </w:rPr>
              <w:t>76号</w:t>
            </w:r>
            <w:r>
              <w:rPr>
                <w:rFonts w:cs="Times New Roman"/>
                <w:szCs w:val="32"/>
                <w:lang w:val="zh-CN"/>
              </w:rPr>
              <w:t>）通知中，环评文件规范化要求中的规定：环评文件涉及“三线一单”生态环境分区管控符合性分析采取“一图一表一说明”的表达方式，在对照分析结果右侧加列，并论证规划或建设项目的符合性。</w:t>
            </w:r>
          </w:p>
          <w:p>
            <w:pPr>
              <w:adjustRightInd w:val="0"/>
              <w:snapToGrid w:val="0"/>
              <w:ind w:firstLine="482" w:firstLineChars="200"/>
              <w:rPr>
                <w:rFonts w:cs="Times New Roman"/>
                <w:szCs w:val="32"/>
                <w:lang w:val="zh-CN"/>
              </w:rPr>
            </w:pPr>
            <w:r>
              <w:rPr>
                <w:rFonts w:cs="Times New Roman"/>
                <w:b/>
                <w:bCs/>
                <w:szCs w:val="32"/>
              </w:rPr>
              <w:t>1、</w:t>
            </w:r>
            <w:r>
              <w:rPr>
                <w:rFonts w:cs="Times New Roman"/>
                <w:b/>
                <w:bCs/>
                <w:szCs w:val="32"/>
                <w:lang w:val="zh-CN"/>
              </w:rPr>
              <w:t>“一图”：指的是规划或建设项目与环境管控单元对照分析示意图。</w:t>
            </w:r>
          </w:p>
          <w:p>
            <w:pPr>
              <w:adjustRightInd w:val="0"/>
              <w:snapToGrid w:val="0"/>
              <w:ind w:firstLine="480" w:firstLineChars="200"/>
              <w:rPr>
                <w:rFonts w:cs="Times New Roman"/>
                <w:szCs w:val="32"/>
                <w:lang w:val="zh-CN"/>
              </w:rPr>
            </w:pPr>
            <w:r>
              <w:rPr>
                <w:rFonts w:cs="Times New Roman"/>
                <w:szCs w:val="32"/>
                <w:lang w:val="zh-CN"/>
              </w:rPr>
              <w:t>根据《西安市人民政府关于印发“三线一单”生态环境分区管控方案的通知》（市政发〔2021〕</w:t>
            </w:r>
            <w:r>
              <w:rPr>
                <w:rFonts w:cs="Times New Roman"/>
                <w:szCs w:val="32"/>
              </w:rPr>
              <w:t>22</w:t>
            </w:r>
            <w:r>
              <w:rPr>
                <w:rFonts w:cs="Times New Roman"/>
                <w:szCs w:val="32"/>
                <w:lang w:val="zh-CN"/>
              </w:rPr>
              <w:t>号），按照保护优先、衔接整合、有效管理的原则，将全市统筹划定为优先保护和重点管控两类环境管控单元共158个，实施生态环境分区管控。</w:t>
            </w:r>
          </w:p>
          <w:p>
            <w:pPr>
              <w:adjustRightInd w:val="0"/>
              <w:snapToGrid w:val="0"/>
              <w:ind w:firstLine="480" w:firstLineChars="200"/>
              <w:rPr>
                <w:rFonts w:cs="Times New Roman"/>
              </w:rPr>
            </w:pPr>
            <w:r>
              <w:rPr>
                <w:rFonts w:cs="Times New Roman"/>
                <w:szCs w:val="32"/>
                <w:lang w:val="zh-CN"/>
              </w:rPr>
              <w:t>根据本项目与西安市生态环境管控单元分布示意图的对比结果，本项目位于西安市重点管控单元，不涉及优先保护单元；项目实施过程中应落实《西安市“三线一单”生态环境分区管控方案》重点管控单元的相关要求，项目与西安市生态环境管控单元比对示意图见附图</w:t>
            </w:r>
            <w:r>
              <w:rPr>
                <w:rFonts w:cs="Times New Roman"/>
                <w:szCs w:val="32"/>
              </w:rPr>
              <w:t>7</w:t>
            </w:r>
            <w:r>
              <w:rPr>
                <w:rFonts w:cs="Times New Roman"/>
                <w:szCs w:val="32"/>
                <w:lang w:val="zh-CN"/>
              </w:rPr>
              <w:t>。</w:t>
            </w:r>
          </w:p>
          <w:p>
            <w:pPr>
              <w:pStyle w:val="23"/>
              <w:rPr>
                <w:color w:val="auto"/>
              </w:rPr>
            </w:pPr>
          </w:p>
        </w:tc>
      </w:tr>
    </w:tbl>
    <w:p>
      <w:pPr>
        <w:rPr>
          <w:rFonts w:cs="Times New Roman"/>
        </w:rPr>
        <w:sectPr>
          <w:footerReference r:id="rId7" w:type="default"/>
          <w:pgSz w:w="11906" w:h="16838"/>
          <w:pgMar w:top="1440" w:right="1080" w:bottom="1440" w:left="1080" w:header="851" w:footer="992" w:gutter="0"/>
          <w:pgNumType w:fmt="numberInDash" w:start="1"/>
          <w:cols w:space="0" w:num="1"/>
          <w:docGrid w:type="lines" w:linePitch="326" w:charSpace="0"/>
        </w:sectPr>
      </w:pPr>
    </w:p>
    <w:tbl>
      <w:tblPr>
        <w:tblStyle w:val="18"/>
        <w:tblW w:w="4936"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9"/>
        <w:gridCol w:w="13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9"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spacing w:line="240" w:lineRule="auto"/>
              <w:jc w:val="center"/>
              <w:rPr>
                <w:rFonts w:cs="Times New Roman"/>
              </w:rPr>
            </w:pPr>
            <w:r>
              <w:rPr>
                <w:rFonts w:cs="Times New Roman"/>
              </w:rPr>
              <w:t>其他符合性分析</w:t>
            </w:r>
          </w:p>
        </w:tc>
        <w:tc>
          <w:tcPr>
            <w:tcW w:w="4840" w:type="pct"/>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adjustRightInd w:val="0"/>
              <w:snapToGrid w:val="0"/>
              <w:ind w:firstLine="482" w:firstLineChars="200"/>
              <w:rPr>
                <w:rFonts w:cs="Times New Roman"/>
                <w:szCs w:val="32"/>
                <w:lang w:val="zh-CN"/>
              </w:rPr>
            </w:pPr>
            <w:r>
              <w:rPr>
                <w:rFonts w:cs="Times New Roman"/>
                <w:b/>
                <w:bCs/>
                <w:szCs w:val="32"/>
              </w:rPr>
              <w:t>2、</w:t>
            </w:r>
            <w:r>
              <w:rPr>
                <w:rFonts w:cs="Times New Roman"/>
                <w:b/>
                <w:bCs/>
                <w:szCs w:val="32"/>
                <w:lang w:val="zh-CN"/>
              </w:rPr>
              <w:t>“一表”：指的是项目或规划范围涉及的生态环境管控单元准入清单。</w:t>
            </w:r>
          </w:p>
          <w:p>
            <w:pPr>
              <w:adjustRightInd w:val="0"/>
              <w:snapToGrid w:val="0"/>
              <w:ind w:firstLine="480" w:firstLineChars="200"/>
              <w:rPr>
                <w:rFonts w:cs="Times New Roman"/>
                <w:szCs w:val="32"/>
                <w:lang w:val="zh-CN"/>
              </w:rPr>
            </w:pPr>
            <w:r>
              <w:rPr>
                <w:rFonts w:cs="Times New Roman"/>
                <w:szCs w:val="32"/>
                <w:lang w:val="zh-CN"/>
              </w:rPr>
              <w:t>本项目位于重点管控单元，项目与西安市“三线一单”分区管控方案对比结果见表1-</w:t>
            </w:r>
            <w:r>
              <w:rPr>
                <w:rFonts w:cs="Times New Roman"/>
                <w:szCs w:val="32"/>
              </w:rPr>
              <w:t>2</w:t>
            </w:r>
            <w:r>
              <w:rPr>
                <w:rFonts w:cs="Times New Roman"/>
                <w:szCs w:val="32"/>
                <w:lang w:val="zh-CN"/>
              </w:rPr>
              <w:t>。</w:t>
            </w:r>
          </w:p>
          <w:p>
            <w:pPr>
              <w:adjustRightInd w:val="0"/>
              <w:snapToGrid w:val="0"/>
              <w:spacing w:line="240" w:lineRule="auto"/>
              <w:jc w:val="center"/>
              <w:rPr>
                <w:rFonts w:cs="Times New Roman"/>
                <w:b/>
                <w:bCs/>
                <w:szCs w:val="21"/>
              </w:rPr>
            </w:pPr>
            <w:r>
              <w:rPr>
                <w:rFonts w:cs="Times New Roman"/>
                <w:b/>
                <w:bCs/>
                <w:szCs w:val="21"/>
              </w:rPr>
              <w:t>表1-2项目与西安市“三线一单”生态环境分区管控方案对比分析表</w:t>
            </w:r>
          </w:p>
          <w:tbl>
            <w:tblPr>
              <w:tblStyle w:val="18"/>
              <w:tblW w:w="4994"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26"/>
              <w:gridCol w:w="909"/>
              <w:gridCol w:w="688"/>
              <w:gridCol w:w="698"/>
              <w:gridCol w:w="664"/>
              <w:gridCol w:w="5503"/>
              <w:gridCol w:w="813"/>
              <w:gridCol w:w="2516"/>
              <w:gridCol w:w="6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 w:type="pct"/>
                  <w:tcBorders>
                    <w:tl2br w:val="nil"/>
                    <w:tr2bl w:val="nil"/>
                  </w:tcBorders>
                  <w:vAlign w:val="center"/>
                </w:tcPr>
                <w:p>
                  <w:pPr>
                    <w:pStyle w:val="23"/>
                    <w:rPr>
                      <w:rFonts w:eastAsiaTheme="minorEastAsia"/>
                      <w:color w:val="auto"/>
                    </w:rPr>
                  </w:pPr>
                  <w:r>
                    <w:rPr>
                      <w:color w:val="auto"/>
                    </w:rPr>
                    <w:t>市</w:t>
                  </w:r>
                </w:p>
              </w:tc>
              <w:tc>
                <w:tcPr>
                  <w:tcW w:w="160" w:type="pct"/>
                  <w:tcBorders>
                    <w:tl2br w:val="nil"/>
                    <w:tr2bl w:val="nil"/>
                  </w:tcBorders>
                  <w:vAlign w:val="center"/>
                </w:tcPr>
                <w:p>
                  <w:pPr>
                    <w:pStyle w:val="23"/>
                    <w:rPr>
                      <w:rFonts w:eastAsiaTheme="minorEastAsia"/>
                      <w:color w:val="auto"/>
                    </w:rPr>
                  </w:pPr>
                  <w:r>
                    <w:rPr>
                      <w:color w:val="auto"/>
                    </w:rPr>
                    <w:t>区县</w:t>
                  </w:r>
                </w:p>
              </w:tc>
              <w:tc>
                <w:tcPr>
                  <w:tcW w:w="341" w:type="pct"/>
                  <w:tcBorders>
                    <w:tl2br w:val="nil"/>
                    <w:tr2bl w:val="nil"/>
                  </w:tcBorders>
                  <w:vAlign w:val="center"/>
                </w:tcPr>
                <w:p>
                  <w:pPr>
                    <w:pStyle w:val="23"/>
                    <w:rPr>
                      <w:rFonts w:eastAsiaTheme="minorEastAsia"/>
                      <w:color w:val="auto"/>
                    </w:rPr>
                  </w:pPr>
                  <w:r>
                    <w:rPr>
                      <w:color w:val="auto"/>
                    </w:rPr>
                    <w:t>环境管控单元名称</w:t>
                  </w:r>
                </w:p>
              </w:tc>
              <w:tc>
                <w:tcPr>
                  <w:tcW w:w="258" w:type="pct"/>
                  <w:tcBorders>
                    <w:tl2br w:val="nil"/>
                    <w:tr2bl w:val="nil"/>
                  </w:tcBorders>
                  <w:vAlign w:val="center"/>
                </w:tcPr>
                <w:p>
                  <w:pPr>
                    <w:pStyle w:val="23"/>
                    <w:rPr>
                      <w:color w:val="auto"/>
                    </w:rPr>
                  </w:pPr>
                  <w:r>
                    <w:rPr>
                      <w:color w:val="auto"/>
                    </w:rPr>
                    <w:t>单元要素属性</w:t>
                  </w:r>
                </w:p>
              </w:tc>
              <w:tc>
                <w:tcPr>
                  <w:tcW w:w="262" w:type="pct"/>
                  <w:tcBorders>
                    <w:tl2br w:val="nil"/>
                    <w:tr2bl w:val="nil"/>
                  </w:tcBorders>
                  <w:vAlign w:val="center"/>
                </w:tcPr>
                <w:p>
                  <w:pPr>
                    <w:pStyle w:val="23"/>
                    <w:rPr>
                      <w:rFonts w:eastAsiaTheme="minorEastAsia"/>
                      <w:color w:val="auto"/>
                    </w:rPr>
                  </w:pPr>
                  <w:r>
                    <w:rPr>
                      <w:color w:val="auto"/>
                    </w:rPr>
                    <w:t>管控单元分类</w:t>
                  </w:r>
                </w:p>
              </w:tc>
              <w:tc>
                <w:tcPr>
                  <w:tcW w:w="2313" w:type="pct"/>
                  <w:gridSpan w:val="2"/>
                  <w:tcBorders>
                    <w:tl2br w:val="nil"/>
                    <w:tr2bl w:val="nil"/>
                  </w:tcBorders>
                  <w:vAlign w:val="center"/>
                </w:tcPr>
                <w:p>
                  <w:pPr>
                    <w:pStyle w:val="23"/>
                    <w:rPr>
                      <w:rFonts w:eastAsiaTheme="minorEastAsia"/>
                      <w:color w:val="auto"/>
                    </w:rPr>
                  </w:pPr>
                  <w:r>
                    <w:rPr>
                      <w:color w:val="auto"/>
                    </w:rPr>
                    <w:t>管控要求</w:t>
                  </w:r>
                </w:p>
              </w:tc>
              <w:tc>
                <w:tcPr>
                  <w:tcW w:w="305" w:type="pct"/>
                  <w:tcBorders>
                    <w:tl2br w:val="nil"/>
                    <w:tr2bl w:val="nil"/>
                  </w:tcBorders>
                  <w:vAlign w:val="center"/>
                </w:tcPr>
                <w:p>
                  <w:pPr>
                    <w:pStyle w:val="23"/>
                    <w:rPr>
                      <w:color w:val="auto"/>
                    </w:rPr>
                  </w:pPr>
                  <w:r>
                    <w:rPr>
                      <w:color w:val="auto"/>
                    </w:rPr>
                    <w:t>面积</w:t>
                  </w:r>
                </w:p>
              </w:tc>
              <w:tc>
                <w:tcPr>
                  <w:tcW w:w="943" w:type="pct"/>
                  <w:tcBorders>
                    <w:tl2br w:val="nil"/>
                    <w:tr2bl w:val="nil"/>
                  </w:tcBorders>
                  <w:vAlign w:val="center"/>
                </w:tcPr>
                <w:p>
                  <w:pPr>
                    <w:pStyle w:val="23"/>
                    <w:rPr>
                      <w:color w:val="auto"/>
                    </w:rPr>
                  </w:pPr>
                  <w:r>
                    <w:rPr>
                      <w:color w:val="auto"/>
                    </w:rPr>
                    <w:t>项目情况</w:t>
                  </w:r>
                </w:p>
              </w:tc>
              <w:tc>
                <w:tcPr>
                  <w:tcW w:w="256" w:type="pct"/>
                  <w:tcBorders>
                    <w:tl2br w:val="nil"/>
                    <w:tr2bl w:val="nil"/>
                  </w:tcBorders>
                  <w:vAlign w:val="center"/>
                </w:tcPr>
                <w:p>
                  <w:pPr>
                    <w:pStyle w:val="23"/>
                    <w:rPr>
                      <w:color w:val="auto"/>
                    </w:rPr>
                  </w:pPr>
                  <w:r>
                    <w:rPr>
                      <w:color w:val="auto"/>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59" w:type="pct"/>
                  <w:vMerge w:val="restart"/>
                  <w:tcBorders>
                    <w:tl2br w:val="nil"/>
                    <w:tr2bl w:val="nil"/>
                  </w:tcBorders>
                  <w:vAlign w:val="center"/>
                </w:tcPr>
                <w:p>
                  <w:pPr>
                    <w:pStyle w:val="23"/>
                    <w:rPr>
                      <w:color w:val="auto"/>
                    </w:rPr>
                  </w:pPr>
                  <w:r>
                    <w:rPr>
                      <w:color w:val="auto"/>
                    </w:rPr>
                    <w:t>西安市</w:t>
                  </w:r>
                </w:p>
              </w:tc>
              <w:tc>
                <w:tcPr>
                  <w:tcW w:w="160" w:type="pct"/>
                  <w:vMerge w:val="restart"/>
                  <w:tcBorders>
                    <w:tl2br w:val="nil"/>
                    <w:tr2bl w:val="nil"/>
                  </w:tcBorders>
                  <w:vAlign w:val="center"/>
                </w:tcPr>
                <w:p>
                  <w:pPr>
                    <w:pStyle w:val="23"/>
                    <w:rPr>
                      <w:color w:val="auto"/>
                    </w:rPr>
                  </w:pPr>
                  <w:r>
                    <w:rPr>
                      <w:color w:val="auto"/>
                    </w:rPr>
                    <w:t>周至县</w:t>
                  </w:r>
                </w:p>
              </w:tc>
              <w:tc>
                <w:tcPr>
                  <w:tcW w:w="341" w:type="pct"/>
                  <w:vMerge w:val="restart"/>
                  <w:tcBorders>
                    <w:tl2br w:val="nil"/>
                    <w:tr2bl w:val="nil"/>
                  </w:tcBorders>
                  <w:vAlign w:val="center"/>
                </w:tcPr>
                <w:p>
                  <w:pPr>
                    <w:pStyle w:val="23"/>
                    <w:rPr>
                      <w:color w:val="auto"/>
                    </w:rPr>
                  </w:pPr>
                  <w:r>
                    <w:rPr>
                      <w:color w:val="auto"/>
                    </w:rPr>
                    <w:t>周至重点管控单元单元2</w:t>
                  </w:r>
                </w:p>
              </w:tc>
              <w:tc>
                <w:tcPr>
                  <w:tcW w:w="258"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7.2</w:t>
                  </w:r>
                </w:p>
                <w:p>
                  <w:pPr>
                    <w:adjustRightInd w:val="0"/>
                    <w:snapToGrid w:val="0"/>
                    <w:spacing w:line="240" w:lineRule="auto"/>
                    <w:jc w:val="center"/>
                    <w:rPr>
                      <w:rFonts w:cs="Times New Roman"/>
                      <w:sz w:val="21"/>
                      <w:szCs w:val="21"/>
                    </w:rPr>
                  </w:pPr>
                  <w:r>
                    <w:rPr>
                      <w:rFonts w:cs="Times New Roman"/>
                      <w:sz w:val="21"/>
                      <w:szCs w:val="21"/>
                    </w:rPr>
                    <w:t>水环境农业污染重点管控区</w:t>
                  </w:r>
                </w:p>
              </w:tc>
              <w:tc>
                <w:tcPr>
                  <w:tcW w:w="262"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重点管控单元</w:t>
                  </w:r>
                </w:p>
              </w:tc>
              <w:tc>
                <w:tcPr>
                  <w:tcW w:w="249"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污染物排放管控</w:t>
                  </w:r>
                </w:p>
              </w:tc>
              <w:tc>
                <w:tcPr>
                  <w:tcW w:w="2064" w:type="pct"/>
                  <w:tcBorders>
                    <w:tl2br w:val="nil"/>
                    <w:tr2bl w:val="nil"/>
                  </w:tcBorders>
                  <w:vAlign w:val="center"/>
                </w:tcPr>
                <w:p>
                  <w:pPr>
                    <w:adjustRightInd w:val="0"/>
                    <w:snapToGrid w:val="0"/>
                    <w:spacing w:line="240" w:lineRule="auto"/>
                    <w:rPr>
                      <w:rFonts w:cs="Times New Roman"/>
                      <w:sz w:val="21"/>
                      <w:szCs w:val="21"/>
                    </w:rPr>
                  </w:pPr>
                  <w:r>
                    <w:rPr>
                      <w:rFonts w:cs="Times New Roman"/>
                      <w:sz w:val="21"/>
                      <w:szCs w:val="21"/>
                    </w:rPr>
                    <w:t>1.加强农业面源污染防治。对畜禽养殖场（小区）密集、粪污资源化利用水平较低的区域，鼓励采用“种养结合”模式，有序开展农田化肥、农药减施，推广有机肥。持续开展化肥农药减量化行动，化肥、农药使用量实现零增长。敏感区域和大中型灌区，要利用现有沟、塘、窖等，配置水生植物群落、格栅和透水坝，建设生态沟渠、污水净化塘、地表径流集蓄池等面源污染防治设施，净化农田排水。</w:t>
                  </w:r>
                </w:p>
                <w:p>
                  <w:pPr>
                    <w:adjustRightInd w:val="0"/>
                    <w:snapToGrid w:val="0"/>
                    <w:spacing w:line="240" w:lineRule="auto"/>
                    <w:rPr>
                      <w:rFonts w:cs="Times New Roman"/>
                      <w:sz w:val="21"/>
                      <w:szCs w:val="21"/>
                    </w:rPr>
                  </w:pPr>
                  <w:r>
                    <w:rPr>
                      <w:rFonts w:cs="Times New Roman"/>
                      <w:sz w:val="21"/>
                      <w:szCs w:val="21"/>
                    </w:rPr>
                    <w:t>2.提升农村生活污染治理水平。加快农村环境综合整治。按照分散与集中相结合的原则，实行农村污水、垃圾处理统一规划、统一建设、统一管理，积极推进城镇污水、垃圾处理设施和服务向农村延伸。践行美丽乡村建设，推进“改水、改厕、改路、改房、改线”的农村美化环境建设。</w:t>
                  </w:r>
                </w:p>
              </w:tc>
              <w:tc>
                <w:tcPr>
                  <w:tcW w:w="305" w:type="pct"/>
                  <w:vMerge w:val="restart"/>
                  <w:tcBorders>
                    <w:tl2br w:val="nil"/>
                    <w:tr2bl w:val="nil"/>
                  </w:tcBorders>
                  <w:vAlign w:val="center"/>
                </w:tcPr>
                <w:p>
                  <w:pPr>
                    <w:pStyle w:val="23"/>
                    <w:rPr>
                      <w:color w:val="auto"/>
                    </w:rPr>
                  </w:pPr>
                  <w:r>
                    <w:rPr>
                      <w:color w:val="auto"/>
                    </w:rPr>
                    <w:t>25624.57m</w:t>
                  </w:r>
                  <w:r>
                    <w:rPr>
                      <w:color w:val="auto"/>
                      <w:vertAlign w:val="superscript"/>
                    </w:rPr>
                    <w:t>2</w:t>
                  </w:r>
                </w:p>
              </w:tc>
              <w:tc>
                <w:tcPr>
                  <w:tcW w:w="943" w:type="pct"/>
                  <w:tcBorders>
                    <w:tl2br w:val="nil"/>
                    <w:tr2bl w:val="nil"/>
                  </w:tcBorders>
                  <w:vAlign w:val="center"/>
                </w:tcPr>
                <w:p>
                  <w:pPr>
                    <w:pStyle w:val="23"/>
                    <w:rPr>
                      <w:color w:val="auto"/>
                    </w:rPr>
                  </w:pPr>
                  <w:r>
                    <w:rPr>
                      <w:color w:val="auto"/>
                    </w:rPr>
                    <w:t>本项目为水泥制品制造行业，运营期间主要废水为车辆冲洗废水，沉淀后回用不外排。</w:t>
                  </w:r>
                </w:p>
              </w:tc>
              <w:tc>
                <w:tcPr>
                  <w:tcW w:w="256" w:type="pct"/>
                  <w:tcBorders>
                    <w:tl2br w:val="nil"/>
                    <w:tr2bl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9" w:type="pct"/>
                  <w:vMerge w:val="continue"/>
                  <w:tcBorders>
                    <w:tl2br w:val="nil"/>
                    <w:tr2bl w:val="nil"/>
                  </w:tcBorders>
                  <w:vAlign w:val="center"/>
                </w:tcPr>
                <w:p>
                  <w:pPr>
                    <w:pStyle w:val="23"/>
                    <w:rPr>
                      <w:color w:val="auto"/>
                    </w:rPr>
                  </w:pPr>
                </w:p>
              </w:tc>
              <w:tc>
                <w:tcPr>
                  <w:tcW w:w="160" w:type="pct"/>
                  <w:vMerge w:val="continue"/>
                  <w:tcBorders>
                    <w:tl2br w:val="nil"/>
                    <w:tr2bl w:val="nil"/>
                  </w:tcBorders>
                  <w:vAlign w:val="center"/>
                </w:tcPr>
                <w:p>
                  <w:pPr>
                    <w:pStyle w:val="23"/>
                    <w:rPr>
                      <w:color w:val="auto"/>
                    </w:rPr>
                  </w:pPr>
                </w:p>
              </w:tc>
              <w:tc>
                <w:tcPr>
                  <w:tcW w:w="341" w:type="pct"/>
                  <w:vMerge w:val="continue"/>
                  <w:tcBorders>
                    <w:tl2br w:val="nil"/>
                    <w:tr2bl w:val="nil"/>
                  </w:tcBorders>
                  <w:vAlign w:val="center"/>
                </w:tcPr>
                <w:p>
                  <w:pPr>
                    <w:pStyle w:val="23"/>
                    <w:rPr>
                      <w:color w:val="auto"/>
                    </w:rPr>
                  </w:pPr>
                </w:p>
              </w:tc>
              <w:tc>
                <w:tcPr>
                  <w:tcW w:w="258" w:type="pct"/>
                  <w:vMerge w:val="restar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7.5大气环境布局敏感重点管控区</w:t>
                  </w:r>
                </w:p>
              </w:tc>
              <w:tc>
                <w:tcPr>
                  <w:tcW w:w="262" w:type="pct"/>
                  <w:vMerge w:val="restar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重点管控单元</w:t>
                  </w:r>
                </w:p>
              </w:tc>
              <w:tc>
                <w:tcPr>
                  <w:tcW w:w="249" w:type="pct"/>
                  <w:tcBorders>
                    <w:tl2br w:val="nil"/>
                    <w:tr2bl w:val="nil"/>
                  </w:tcBorders>
                  <w:vAlign w:val="center"/>
                </w:tcPr>
                <w:p>
                  <w:pPr>
                    <w:adjustRightInd w:val="0"/>
                    <w:snapToGrid w:val="0"/>
                    <w:spacing w:line="240" w:lineRule="auto"/>
                    <w:jc w:val="center"/>
                    <w:rPr>
                      <w:rFonts w:cs="Times New Roman"/>
                      <w:sz w:val="21"/>
                      <w:szCs w:val="21"/>
                      <w:lang w:val="en-GB"/>
                    </w:rPr>
                  </w:pPr>
                  <w:r>
                    <w:rPr>
                      <w:rFonts w:cs="Times New Roman"/>
                      <w:sz w:val="21"/>
                      <w:szCs w:val="21"/>
                    </w:rPr>
                    <w:t>空间布局约束</w:t>
                  </w:r>
                </w:p>
              </w:tc>
              <w:tc>
                <w:tcPr>
                  <w:tcW w:w="2064" w:type="pct"/>
                  <w:tcBorders>
                    <w:tl2br w:val="nil"/>
                    <w:tr2bl w:val="nil"/>
                  </w:tcBorders>
                  <w:vAlign w:val="center"/>
                </w:tcPr>
                <w:p>
                  <w:pPr>
                    <w:tabs>
                      <w:tab w:val="left" w:pos="265"/>
                    </w:tabs>
                    <w:autoSpaceDE w:val="0"/>
                    <w:autoSpaceDN w:val="0"/>
                    <w:adjustRightInd w:val="0"/>
                    <w:snapToGrid w:val="0"/>
                    <w:spacing w:line="240" w:lineRule="auto"/>
                    <w:rPr>
                      <w:rFonts w:cs="Times New Roman"/>
                      <w:sz w:val="21"/>
                      <w:szCs w:val="21"/>
                    </w:rPr>
                  </w:pPr>
                  <w:r>
                    <w:rPr>
                      <w:rFonts w:cs="Times New Roman"/>
                      <w:sz w:val="21"/>
                      <w:szCs w:val="21"/>
                    </w:rPr>
                    <w:t>1．大气污染防治重点区域严禁新增钢铁、水泥熟料、平板玻璃、炼化产能。</w:t>
                  </w:r>
                </w:p>
                <w:p>
                  <w:pPr>
                    <w:tabs>
                      <w:tab w:val="left" w:pos="265"/>
                    </w:tabs>
                    <w:autoSpaceDE w:val="0"/>
                    <w:autoSpaceDN w:val="0"/>
                    <w:adjustRightInd w:val="0"/>
                    <w:snapToGrid w:val="0"/>
                    <w:spacing w:line="240" w:lineRule="auto"/>
                    <w:rPr>
                      <w:rFonts w:cs="Times New Roman"/>
                      <w:sz w:val="21"/>
                      <w:szCs w:val="21"/>
                    </w:rPr>
                  </w:pPr>
                  <w:r>
                    <w:rPr>
                      <w:rFonts w:cs="Times New Roman"/>
                      <w:sz w:val="21"/>
                      <w:szCs w:val="21"/>
                    </w:rPr>
                    <w:t>2．推动重污染企业搬迁入园或依法关闭。</w:t>
                  </w:r>
                </w:p>
              </w:tc>
              <w:tc>
                <w:tcPr>
                  <w:tcW w:w="305" w:type="pct"/>
                  <w:vMerge w:val="continue"/>
                  <w:tcBorders>
                    <w:tl2br w:val="nil"/>
                    <w:tr2bl w:val="nil"/>
                  </w:tcBorders>
                  <w:vAlign w:val="center"/>
                </w:tcPr>
                <w:p>
                  <w:pPr>
                    <w:pStyle w:val="23"/>
                    <w:rPr>
                      <w:color w:val="auto"/>
                    </w:rPr>
                  </w:pPr>
                </w:p>
              </w:tc>
              <w:tc>
                <w:tcPr>
                  <w:tcW w:w="2513" w:type="dxa"/>
                  <w:tcBorders>
                    <w:tl2br w:val="nil"/>
                    <w:tr2bl w:val="nil"/>
                  </w:tcBorders>
                  <w:vAlign w:val="center"/>
                </w:tcPr>
                <w:p>
                  <w:pPr>
                    <w:pStyle w:val="23"/>
                    <w:rPr>
                      <w:color w:val="auto"/>
                    </w:rPr>
                  </w:pPr>
                  <w:r>
                    <w:rPr>
                      <w:color w:val="auto"/>
                    </w:rPr>
                    <w:t>本项目不属于上述项目。</w:t>
                  </w:r>
                </w:p>
              </w:tc>
              <w:tc>
                <w:tcPr>
                  <w:tcW w:w="256" w:type="pct"/>
                  <w:vMerge w:val="restart"/>
                  <w:tcBorders>
                    <w:tl2br w:val="nil"/>
                    <w:tr2bl w:val="nil"/>
                  </w:tcBorders>
                  <w:vAlign w:val="center"/>
                </w:tcPr>
                <w:p>
                  <w:pPr>
                    <w:pStyle w:val="23"/>
                    <w:rPr>
                      <w:color w:val="auto"/>
                      <w:kern w:val="0"/>
                      <w:lang w:bidi="ar"/>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9" w:type="pct"/>
                  <w:vMerge w:val="continue"/>
                  <w:tcBorders>
                    <w:tl2br w:val="nil"/>
                    <w:tr2bl w:val="nil"/>
                  </w:tcBorders>
                  <w:vAlign w:val="center"/>
                </w:tcPr>
                <w:p>
                  <w:pPr>
                    <w:pStyle w:val="23"/>
                    <w:rPr>
                      <w:color w:val="auto"/>
                    </w:rPr>
                  </w:pPr>
                </w:p>
              </w:tc>
              <w:tc>
                <w:tcPr>
                  <w:tcW w:w="160" w:type="pct"/>
                  <w:vMerge w:val="continue"/>
                  <w:tcBorders>
                    <w:tl2br w:val="nil"/>
                    <w:tr2bl w:val="nil"/>
                  </w:tcBorders>
                  <w:vAlign w:val="center"/>
                </w:tcPr>
                <w:p>
                  <w:pPr>
                    <w:pStyle w:val="23"/>
                    <w:rPr>
                      <w:color w:val="auto"/>
                    </w:rPr>
                  </w:pPr>
                </w:p>
              </w:tc>
              <w:tc>
                <w:tcPr>
                  <w:tcW w:w="341" w:type="pct"/>
                  <w:vMerge w:val="continue"/>
                  <w:tcBorders>
                    <w:tl2br w:val="nil"/>
                    <w:tr2bl w:val="nil"/>
                  </w:tcBorders>
                  <w:vAlign w:val="center"/>
                </w:tcPr>
                <w:p>
                  <w:pPr>
                    <w:pStyle w:val="23"/>
                    <w:rPr>
                      <w:color w:val="auto"/>
                    </w:rPr>
                  </w:pPr>
                </w:p>
              </w:tc>
              <w:tc>
                <w:tcPr>
                  <w:tcW w:w="258" w:type="pct"/>
                  <w:vMerge w:val="continue"/>
                  <w:tcBorders>
                    <w:tl2br w:val="nil"/>
                    <w:tr2bl w:val="nil"/>
                  </w:tcBorders>
                  <w:vAlign w:val="center"/>
                </w:tcPr>
                <w:p>
                  <w:pPr>
                    <w:adjustRightInd w:val="0"/>
                    <w:snapToGrid w:val="0"/>
                    <w:spacing w:line="240" w:lineRule="auto"/>
                    <w:jc w:val="center"/>
                    <w:rPr>
                      <w:rFonts w:cs="Times New Roman"/>
                      <w:sz w:val="21"/>
                      <w:szCs w:val="21"/>
                    </w:rPr>
                  </w:pPr>
                </w:p>
              </w:tc>
              <w:tc>
                <w:tcPr>
                  <w:tcW w:w="262" w:type="pct"/>
                  <w:vMerge w:val="continue"/>
                  <w:tcBorders>
                    <w:tl2br w:val="nil"/>
                    <w:tr2bl w:val="nil"/>
                  </w:tcBorders>
                  <w:vAlign w:val="center"/>
                </w:tcPr>
                <w:p>
                  <w:pPr>
                    <w:adjustRightInd w:val="0"/>
                    <w:snapToGrid w:val="0"/>
                    <w:spacing w:line="240" w:lineRule="auto"/>
                    <w:jc w:val="center"/>
                    <w:rPr>
                      <w:rFonts w:cs="Times New Roman"/>
                      <w:sz w:val="21"/>
                      <w:szCs w:val="21"/>
                    </w:rPr>
                  </w:pPr>
                </w:p>
              </w:tc>
              <w:tc>
                <w:tcPr>
                  <w:tcW w:w="249" w:type="pct"/>
                  <w:tcBorders>
                    <w:tl2br w:val="nil"/>
                    <w:tr2bl w:val="nil"/>
                  </w:tcBorders>
                  <w:vAlign w:val="center"/>
                </w:tcPr>
                <w:p>
                  <w:pPr>
                    <w:adjustRightInd w:val="0"/>
                    <w:snapToGrid w:val="0"/>
                    <w:spacing w:line="240" w:lineRule="auto"/>
                    <w:jc w:val="center"/>
                    <w:rPr>
                      <w:rFonts w:cs="Times New Roman"/>
                      <w:sz w:val="21"/>
                      <w:szCs w:val="21"/>
                      <w:lang w:val="en-GB"/>
                    </w:rPr>
                  </w:pPr>
                  <w:r>
                    <w:rPr>
                      <w:rFonts w:cs="Times New Roman"/>
                      <w:sz w:val="21"/>
                      <w:szCs w:val="21"/>
                    </w:rPr>
                    <w:t>污染物排放管控</w:t>
                  </w:r>
                </w:p>
              </w:tc>
              <w:tc>
                <w:tcPr>
                  <w:tcW w:w="2064" w:type="pct"/>
                  <w:tcBorders>
                    <w:tl2br w:val="nil"/>
                    <w:tr2bl w:val="nil"/>
                  </w:tcBorders>
                  <w:vAlign w:val="center"/>
                </w:tcPr>
                <w:p>
                  <w:pPr>
                    <w:adjustRightInd w:val="0"/>
                    <w:snapToGrid w:val="0"/>
                    <w:spacing w:line="240" w:lineRule="auto"/>
                    <w:rPr>
                      <w:rFonts w:cs="Times New Roman"/>
                      <w:sz w:val="21"/>
                      <w:szCs w:val="21"/>
                    </w:rPr>
                  </w:pPr>
                  <w:r>
                    <w:rPr>
                      <w:rFonts w:cs="Times New Roman"/>
                      <w:sz w:val="21"/>
                      <w:szCs w:val="21"/>
                    </w:rPr>
                    <w:t>1．区域内保留企业采用先进生产工艺、严格落实污染治理设施，污染物执行超低排放或特别排放限值。</w:t>
                  </w:r>
                </w:p>
                <w:p>
                  <w:pPr>
                    <w:adjustRightInd w:val="0"/>
                    <w:snapToGrid w:val="0"/>
                    <w:spacing w:line="240" w:lineRule="auto"/>
                    <w:rPr>
                      <w:rFonts w:cs="Times New Roman"/>
                      <w:sz w:val="21"/>
                      <w:szCs w:val="21"/>
                    </w:rPr>
                  </w:pPr>
                  <w:r>
                    <w:rPr>
                      <w:rFonts w:cs="Times New Roman"/>
                      <w:sz w:val="21"/>
                      <w:szCs w:val="21"/>
                    </w:rPr>
                    <w:t>2．鼓励将老旧车辆和非道路移动机械替换为清洁能源车辆；推进新能源或清洁能源汽车使用。</w:t>
                  </w:r>
                </w:p>
                <w:p>
                  <w:pPr>
                    <w:adjustRightInd w:val="0"/>
                    <w:snapToGrid w:val="0"/>
                    <w:spacing w:line="240" w:lineRule="auto"/>
                    <w:rPr>
                      <w:rFonts w:cs="Times New Roman"/>
                      <w:sz w:val="21"/>
                      <w:szCs w:val="21"/>
                    </w:rPr>
                  </w:pPr>
                  <w:r>
                    <w:rPr>
                      <w:rFonts w:cs="Times New Roman"/>
                      <w:sz w:val="21"/>
                      <w:szCs w:val="21"/>
                    </w:rPr>
                    <w:t>3．进行散煤替代，加快铺设天然气管网和集中供暖管网。</w:t>
                  </w:r>
                </w:p>
              </w:tc>
              <w:tc>
                <w:tcPr>
                  <w:tcW w:w="305" w:type="pct"/>
                  <w:vMerge w:val="continue"/>
                  <w:tcBorders>
                    <w:tl2br w:val="nil"/>
                    <w:tr2bl w:val="nil"/>
                  </w:tcBorders>
                  <w:vAlign w:val="center"/>
                </w:tcPr>
                <w:p>
                  <w:pPr>
                    <w:pStyle w:val="23"/>
                    <w:rPr>
                      <w:color w:val="auto"/>
                      <w:lang w:bidi="ar"/>
                    </w:rPr>
                  </w:pPr>
                </w:p>
              </w:tc>
              <w:tc>
                <w:tcPr>
                  <w:tcW w:w="2513" w:type="dxa"/>
                  <w:tcBorders>
                    <w:tl2br w:val="nil"/>
                    <w:tr2bl w:val="nil"/>
                  </w:tcBorders>
                  <w:vAlign w:val="center"/>
                </w:tcPr>
                <w:p>
                  <w:pPr>
                    <w:pStyle w:val="23"/>
                    <w:rPr>
                      <w:color w:val="auto"/>
                    </w:rPr>
                  </w:pPr>
                  <w:r>
                    <w:rPr>
                      <w:color w:val="auto"/>
                    </w:rPr>
                    <w:t>本项目为水泥稳定</w:t>
                  </w:r>
                  <w:r>
                    <w:rPr>
                      <w:rFonts w:hint="eastAsia"/>
                      <w:color w:val="auto"/>
                    </w:rPr>
                    <w:t>材料</w:t>
                  </w:r>
                  <w:r>
                    <w:rPr>
                      <w:color w:val="auto"/>
                    </w:rPr>
                    <w:t>制造行业，企业内不涉及食堂和锅炉等设施，产生的粉尘经环保设施处理后可达标排放。</w:t>
                  </w:r>
                </w:p>
              </w:tc>
              <w:tc>
                <w:tcPr>
                  <w:tcW w:w="256" w:type="pct"/>
                  <w:vMerge w:val="continue"/>
                  <w:tcBorders>
                    <w:tl2br w:val="nil"/>
                    <w:tr2bl w:val="nil"/>
                  </w:tcBorders>
                  <w:vAlign w:val="center"/>
                </w:tcPr>
                <w:p>
                  <w:pPr>
                    <w:pStyle w:val="23"/>
                    <w:rPr>
                      <w:color w:val="auto"/>
                      <w:lang w:bidi="ar"/>
                    </w:rPr>
                  </w:pPr>
                </w:p>
              </w:tc>
            </w:tr>
          </w:tbl>
          <w:p>
            <w:pPr>
              <w:adjustRightInd w:val="0"/>
              <w:ind w:firstLine="482" w:firstLineChars="200"/>
              <w:rPr>
                <w:rFonts w:eastAsia="宋体" w:cs="Times New Roman"/>
                <w:szCs w:val="32"/>
                <w:lang w:val="zh-CN"/>
              </w:rPr>
            </w:pPr>
            <w:r>
              <w:rPr>
                <w:rFonts w:eastAsia="宋体" w:cs="Times New Roman"/>
                <w:b/>
                <w:bCs/>
                <w:szCs w:val="32"/>
                <w:lang w:val="zh-CN"/>
              </w:rPr>
              <w:t>（</w:t>
            </w:r>
            <w:r>
              <w:rPr>
                <w:rFonts w:eastAsia="宋体" w:cs="Times New Roman"/>
                <w:b/>
                <w:bCs/>
                <w:szCs w:val="32"/>
              </w:rPr>
              <w:t>3</w:t>
            </w:r>
            <w:r>
              <w:rPr>
                <w:rFonts w:eastAsia="宋体" w:cs="Times New Roman"/>
                <w:b/>
                <w:bCs/>
                <w:szCs w:val="32"/>
                <w:lang w:val="zh-CN"/>
              </w:rPr>
              <w:t>）“一说明”：指的是依据“一图”和“一表”结果，论证规划或建设项目符合性的说明。</w:t>
            </w:r>
          </w:p>
          <w:p>
            <w:pPr>
              <w:ind w:firstLine="480" w:firstLineChars="200"/>
              <w:rPr>
                <w:rFonts w:eastAsia="宋体" w:cs="Times New Roman"/>
                <w:kern w:val="0"/>
                <w:szCs w:val="24"/>
              </w:rPr>
            </w:pPr>
            <w:r>
              <w:rPr>
                <w:rFonts w:eastAsia="宋体" w:cs="Times New Roman"/>
                <w:kern w:val="0"/>
                <w:szCs w:val="24"/>
              </w:rPr>
              <w:t>根据一图一表分析可知，本项目位于周至县渭河工业区周普路3号，属于重点管控单元，项目建设满足管控单元在空间布局约束、污染物排放管控等管控维度的要求。综上所述，本项目建设符合“三线一单”相关要求。</w:t>
            </w:r>
          </w:p>
        </w:tc>
      </w:tr>
    </w:tbl>
    <w:p>
      <w:pPr>
        <w:rPr>
          <w:rFonts w:cs="Times New Roman"/>
        </w:rPr>
        <w:sectPr>
          <w:pgSz w:w="16838" w:h="11906" w:orient="landscape"/>
          <w:pgMar w:top="1083" w:right="1440" w:bottom="1083" w:left="1440" w:header="851" w:footer="992" w:gutter="0"/>
          <w:pgNumType w:fmt="numberInDash"/>
          <w:cols w:space="0" w:num="1"/>
          <w:docGrid w:type="lines" w:linePitch="335" w:charSpace="0"/>
        </w:sectPr>
      </w:pPr>
      <w:r>
        <w:rPr>
          <w:rFonts w:cs="Times New Roman"/>
        </w:rPr>
        <w:br w:type="page"/>
      </w:r>
    </w:p>
    <w:tbl>
      <w:tblPr>
        <w:tblStyle w:val="18"/>
        <w:tblW w:w="4936"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92"/>
        <w:gridCol w:w="88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833" w:hRule="atLeast"/>
        </w:trPr>
        <w:tc>
          <w:tcPr>
            <w:tcW w:w="410" w:type="pct"/>
            <w:tcBorders>
              <w:top w:val="single" w:color="auto" w:sz="4" w:space="0"/>
              <w:left w:val="single" w:color="auto" w:sz="8" w:space="0"/>
              <w:bottom w:val="single" w:color="auto" w:sz="8" w:space="0"/>
              <w:right w:val="single" w:color="auto" w:sz="4" w:space="0"/>
            </w:tcBorders>
            <w:tcMar>
              <w:top w:w="16" w:type="dxa"/>
              <w:left w:w="16" w:type="dxa"/>
              <w:bottom w:w="0" w:type="dxa"/>
              <w:right w:w="16" w:type="dxa"/>
            </w:tcMar>
            <w:vAlign w:val="center"/>
          </w:tcPr>
          <w:p>
            <w:pPr>
              <w:spacing w:line="240" w:lineRule="auto"/>
              <w:jc w:val="center"/>
              <w:rPr>
                <w:rFonts w:cs="Times New Roman"/>
              </w:rPr>
            </w:pPr>
            <w:r>
              <w:rPr>
                <w:rFonts w:cs="Times New Roman"/>
              </w:rPr>
              <w:t>其他符合性分析</w:t>
            </w:r>
          </w:p>
        </w:tc>
        <w:tc>
          <w:tcPr>
            <w:tcW w:w="4589" w:type="pct"/>
            <w:tcBorders>
              <w:top w:val="single" w:color="auto" w:sz="4" w:space="0"/>
              <w:left w:val="single" w:color="auto" w:sz="4" w:space="0"/>
              <w:bottom w:val="single" w:color="auto" w:sz="8" w:space="0"/>
              <w:right w:val="single" w:color="auto" w:sz="8" w:space="0"/>
            </w:tcBorders>
            <w:tcMar>
              <w:top w:w="16" w:type="dxa"/>
              <w:left w:w="16" w:type="dxa"/>
              <w:bottom w:w="0" w:type="dxa"/>
              <w:right w:w="16" w:type="dxa"/>
            </w:tcMar>
            <w:vAlign w:val="center"/>
          </w:tcPr>
          <w:p>
            <w:pPr>
              <w:ind w:firstLine="482" w:firstLineChars="200"/>
              <w:rPr>
                <w:rFonts w:cs="Times New Roman"/>
                <w:b/>
                <w:bCs/>
              </w:rPr>
            </w:pPr>
            <w:r>
              <w:rPr>
                <w:rFonts w:cs="Times New Roman"/>
                <w:b/>
                <w:bCs/>
              </w:rPr>
              <w:t>（四）与相关环保政策符合性分析</w:t>
            </w:r>
          </w:p>
          <w:p>
            <w:pPr>
              <w:pStyle w:val="24"/>
              <w:rPr>
                <w:rFonts w:cs="Times New Roman"/>
                <w:kern w:val="2"/>
              </w:rPr>
            </w:pPr>
            <w:r>
              <w:rPr>
                <w:rFonts w:cs="Times New Roman"/>
                <w:kern w:val="2"/>
              </w:rPr>
              <w:t>表1-3  相关政策相符性分析</w:t>
            </w:r>
          </w:p>
          <w:tbl>
            <w:tblPr>
              <w:tblStyle w:val="18"/>
              <w:tblW w:w="496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3644"/>
              <w:gridCol w:w="2847"/>
              <w:gridCol w:w="7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84" w:type="pct"/>
                  <w:tcBorders>
                    <w:top w:val="single" w:color="auto" w:sz="4" w:space="0"/>
                    <w:left w:val="nil"/>
                    <w:bottom w:val="single" w:color="auto" w:sz="4" w:space="0"/>
                    <w:right w:val="single" w:color="auto" w:sz="4" w:space="0"/>
                  </w:tcBorders>
                  <w:vAlign w:val="center"/>
                </w:tcPr>
                <w:p>
                  <w:pPr>
                    <w:pStyle w:val="23"/>
                    <w:rPr>
                      <w:color w:val="auto"/>
                    </w:rPr>
                  </w:pPr>
                  <w:r>
                    <w:rPr>
                      <w:color w:val="auto"/>
                    </w:rPr>
                    <w:t>文件名称</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文件内容</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项目情况</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84" w:type="pct"/>
                  <w:vMerge w:val="restart"/>
                  <w:tcBorders>
                    <w:top w:val="single" w:color="auto" w:sz="4" w:space="0"/>
                    <w:left w:val="nil"/>
                    <w:right w:val="single" w:color="auto" w:sz="4" w:space="0"/>
                  </w:tcBorders>
                  <w:vAlign w:val="center"/>
                </w:tcPr>
                <w:p>
                  <w:pPr>
                    <w:pStyle w:val="23"/>
                    <w:rPr>
                      <w:color w:val="auto"/>
                    </w:rPr>
                  </w:pPr>
                  <w:r>
                    <w:rPr>
                      <w:color w:val="auto"/>
                    </w:rPr>
                    <w:t>《陕西省“十四五”生态环境保护规划》（陕政办发〔2021〕25号）</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实施重点行业氮氧化物等污染物深度治理，持续推进钢铁企业超低排放改造，探索研究开展焦化、水泥行业超低排放改造，推进玻璃、陶瓷、铸造、铁合金、有色等行业污染深度治理。</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本项目为水泥制品制造行业，运营期生产过程动力来源为电能，不排放氮氧化物。产生的粉尘经环保设施处理后可达标排放。</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84" w:type="pct"/>
                  <w:vMerge w:val="continue"/>
                  <w:tcBorders>
                    <w:left w:val="nil"/>
                    <w:bottom w:val="single" w:color="auto" w:sz="4" w:space="0"/>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加强扬尘精细化管控。大力推进低尘机械化湿式清扫作业，加大重要路段冲洗保洁力度，渣土车实施硬覆盖与全密闭运输，强化道路绿化用地扬尘治理。</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项目施工期进行洒水降尘，渣土车加盖篷布。</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84" w:type="pct"/>
                  <w:tcBorders>
                    <w:top w:val="single" w:color="auto" w:sz="4" w:space="0"/>
                    <w:left w:val="nil"/>
                    <w:bottom w:val="single" w:color="auto" w:sz="4" w:space="0"/>
                    <w:right w:val="single" w:color="auto" w:sz="4" w:space="0"/>
                  </w:tcBorders>
                  <w:vAlign w:val="center"/>
                </w:tcPr>
                <w:p>
                  <w:pPr>
                    <w:pStyle w:val="23"/>
                    <w:rPr>
                      <w:color w:val="auto"/>
                    </w:rPr>
                  </w:pPr>
                  <w:r>
                    <w:rPr>
                      <w:color w:val="auto"/>
                    </w:rPr>
                    <w:t>《西安市“十四五”生态环境保护规划》</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坚持将生态环境保护融入发展全过程，落实“三线一单”制度，强化环评源头预防作用，健全排污许可制度。</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位于周至县渭河工业区，符合《西安市人民政府关于印发“三线一单”生态环境分区管控方案的通知》（市政发〔2021〕22号；项目在采取有效的环保措施后，污染物排放量小，对环境影响较小，符合重点管控单元要求，环评要求项目建成后按照要求办理排污许可手续。</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84" w:type="pct"/>
                  <w:vMerge w:val="restart"/>
                  <w:tcBorders>
                    <w:top w:val="single" w:color="auto" w:sz="4" w:space="0"/>
                    <w:left w:val="nil"/>
                    <w:right w:val="single" w:color="auto" w:sz="4" w:space="0"/>
                  </w:tcBorders>
                  <w:vAlign w:val="center"/>
                </w:tcPr>
                <w:p>
                  <w:pPr>
                    <w:pStyle w:val="23"/>
                    <w:rPr>
                      <w:color w:val="auto"/>
                    </w:rPr>
                  </w:pPr>
                  <w:r>
                    <w:rPr>
                      <w:color w:val="auto"/>
                    </w:rPr>
                    <w:t>《陕西省大气污染治理专项行动方案（2023-2027年）》</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关中地区市辖区及开发区范围内新、改、扩建涉气重点行业企业应达到环保绩效A级、绩效引领性水平，西安市、咸阳市、渭南市的其他区域应达到环保绩效B级及以上水平。</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本项目位于西安市周至县属于关中地区市辖区，类别为水泥制品制造，属于《重污染天气重点行业应急减排措施制定技术指南（2020年修订版）》中的39类行业之一，应达到水泥制品绩效引领性指标。</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84" w:type="pct"/>
                  <w:vMerge w:val="continue"/>
                  <w:tcBorders>
                    <w:left w:val="nil"/>
                    <w:right w:val="single" w:color="auto" w:sz="4" w:space="0"/>
                  </w:tcBorders>
                  <w:vAlign w:val="center"/>
                </w:tcPr>
                <w:p>
                  <w:pPr>
                    <w:widowControl/>
                    <w:adjustRightInd w:val="0"/>
                    <w:snapToGrid w:val="0"/>
                    <w:spacing w:line="240" w:lineRule="auto"/>
                    <w:jc w:val="center"/>
                    <w:rPr>
                      <w:rFonts w:eastAsia="宋体" w:cs="Times New Roman"/>
                      <w:sz w:val="21"/>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关中地区以降低PM10指标为导向建立动态管控机制，施工场地严格执行“六个百分百”，施工工地扬尘排放超过《施工场界扬尘排放限值（DB61/1078—2017）》的立即停工整改，西安市、咸阳市、渭南市除沙尘天气影响外，PM10小时浓度连续3小时超过150微克/立方米时，暂停超过环境质量监测值2.5倍以上的施工工地作业。</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本项目施工期应强化洒水抑尘，增加作业车辆和机械冲洗次数，最大限度控制扬尘排放。</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884" w:type="pct"/>
                  <w:vMerge w:val="continue"/>
                  <w:tcBorders>
                    <w:left w:val="nil"/>
                    <w:right w:val="single" w:color="auto" w:sz="4" w:space="0"/>
                  </w:tcBorders>
                  <w:vAlign w:val="center"/>
                </w:tcPr>
                <w:p>
                  <w:pPr>
                    <w:widowControl/>
                    <w:adjustRightInd w:val="0"/>
                    <w:snapToGrid w:val="0"/>
                    <w:spacing w:line="240" w:lineRule="auto"/>
                    <w:jc w:val="center"/>
                    <w:rPr>
                      <w:rFonts w:eastAsia="宋体" w:cs="Times New Roman"/>
                      <w:sz w:val="21"/>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eastAsia="宋体" w:cs="Times New Roman"/>
                      <w:sz w:val="21"/>
                      <w:szCs w:val="21"/>
                    </w:rPr>
                    <w:t>车辆优化工程.....强化非道路移动机械排放控制区管控，到2025年不符合第三阶段和在用非移动机械排放标准三类限值的机械禁止使用，具备条件的可更换国四及以上排放标准的发动机。</w:t>
                  </w:r>
                </w:p>
              </w:tc>
              <w:tc>
                <w:tcPr>
                  <w:tcW w:w="16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hint="eastAsia" w:eastAsia="宋体" w:cs="Times New Roman"/>
                      <w:sz w:val="21"/>
                      <w:szCs w:val="21"/>
                    </w:rPr>
                    <w:t>经过现场调查，现有工程</w:t>
                  </w:r>
                  <w:r>
                    <w:rPr>
                      <w:rFonts w:eastAsia="宋体" w:cs="Times New Roman"/>
                      <w:sz w:val="21"/>
                      <w:szCs w:val="21"/>
                    </w:rPr>
                    <w:t>本项目内部使用的非道路移动机械为国</w:t>
                  </w:r>
                  <w:r>
                    <w:rPr>
                      <w:rFonts w:hint="eastAsia" w:eastAsia="宋体" w:cs="Times New Roman"/>
                      <w:sz w:val="21"/>
                      <w:szCs w:val="21"/>
                    </w:rPr>
                    <w:t>三</w:t>
                  </w:r>
                  <w:r>
                    <w:rPr>
                      <w:rFonts w:eastAsia="宋体" w:cs="Times New Roman"/>
                      <w:sz w:val="21"/>
                      <w:szCs w:val="21"/>
                    </w:rPr>
                    <w:t>排放标准的发动机</w:t>
                  </w:r>
                  <w:r>
                    <w:rPr>
                      <w:rFonts w:hint="eastAsia" w:eastAsia="宋体" w:cs="Times New Roman"/>
                      <w:sz w:val="21"/>
                      <w:szCs w:val="21"/>
                    </w:rPr>
                    <w:t>，本项目拟新增国四非道路移动机械</w:t>
                  </w:r>
                  <w:r>
                    <w:rPr>
                      <w:rFonts w:eastAsia="宋体" w:cs="Times New Roman"/>
                      <w:sz w:val="21"/>
                      <w:szCs w:val="21"/>
                    </w:rPr>
                    <w:t>。环评要求企业严格按照《重污染天气重点行业应急减排措施制定技术指南》要求，建立门禁系统。</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84" w:type="pct"/>
                  <w:vMerge w:val="restart"/>
                  <w:tcBorders>
                    <w:top w:val="single" w:color="auto" w:sz="4" w:space="0"/>
                    <w:left w:val="nil"/>
                    <w:right w:val="single" w:color="auto" w:sz="4" w:space="0"/>
                  </w:tcBorders>
                  <w:vAlign w:val="center"/>
                </w:tcPr>
                <w:p>
                  <w:pPr>
                    <w:pStyle w:val="23"/>
                    <w:rPr>
                      <w:color w:val="auto"/>
                    </w:rPr>
                  </w:pPr>
                  <w:r>
                    <w:rPr>
                      <w:color w:val="auto"/>
                    </w:rPr>
                    <w:t>《西安市大气污染治理专项行动方案》（2023-2027年）</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严格新改扩建涉气重点行业绩效评级限制条件。各区、开发区范围内新改扩建涉气重点行业企业应达到环保绩效A级、绩效引领性水平，周至县、蓝田县应达到环保绩效B级及以上水平。</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本项目位于陕西省西安市周至县，属于区内改建涉气重点行业企业，应达到水泥制品绩效引领性指标。</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加强建筑垃圾清运作业项目和在建工地施工扬尘精细化管控。建立动态管理清单，全面落实“六个百分百”“七个到位”要求，强化洒水抑尘，增加作业车辆和机械冲洗次数，防止带泥行驶。加强扬尘管控日常督导检查，对发现的问题组织相关辖区进行整改。将扬尘管理工作不到位的不良信息纳入建筑市场信用管理体系，情节严重的实行信用惩戒。</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本项目施工期应全面落实“六个百分百”“七个到位”要求，强化洒水抑尘，增加作业车辆和机械冲洗次数，防止带泥行驶。</w:t>
                  </w:r>
                </w:p>
              </w:tc>
              <w:tc>
                <w:tcPr>
                  <w:tcW w:w="416" w:type="pct"/>
                  <w:tcBorders>
                    <w:top w:val="single" w:color="auto" w:sz="4" w:space="0"/>
                    <w:left w:val="single" w:color="auto" w:sz="4" w:space="0"/>
                    <w:bottom w:val="single" w:color="auto" w:sz="4" w:space="0"/>
                    <w:right w:val="nil"/>
                  </w:tcBorders>
                  <w:vAlign w:val="center"/>
                </w:tcPr>
                <w:p>
                  <w:pPr>
                    <w:pStyle w:val="23"/>
                    <w:rPr>
                      <w:color w:val="auto"/>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车辆优化工程.....强化非道路移动机械排放控制区管控。到 2025 年0不符合“双三标准”的机械禁止使用，具备条件的可更换国四及以上排放标准的发动机。.....持续推进重点企业门禁系统建设。督促指导企业落实重污染天气重点行业绩效分级技术指南要求，日运输车辆10 辆次及以上的企业全部安装门禁系统。2023年底前完成60家企业门禁系统安装，2025年底前全部完成相关企业门禁系统安装。</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经过现场调查，现有工程本项目内部使用的非道路移动机械为国三排放标准的发动机，本项目拟新增国四非道路移动机械。</w:t>
                  </w:r>
                  <w:r>
                    <w:rPr>
                      <w:color w:val="auto"/>
                    </w:rPr>
                    <w:t>环评要求企业严格按照《重污染天气重点行业应急减排措施制定技术指南》要求，建立门禁系统。</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84" w:type="pct"/>
                  <w:vMerge w:val="restart"/>
                  <w:tcBorders>
                    <w:left w:val="nil"/>
                    <w:right w:val="single" w:color="auto" w:sz="4" w:space="0"/>
                  </w:tcBorders>
                  <w:vAlign w:val="center"/>
                </w:tcPr>
                <w:p>
                  <w:pPr>
                    <w:pStyle w:val="23"/>
                    <w:rPr>
                      <w:color w:val="auto"/>
                    </w:rPr>
                  </w:pPr>
                  <w:r>
                    <w:rPr>
                      <w:color w:val="auto"/>
                    </w:rPr>
                    <w:t>《周至县大气污染治理专项行动方案》（2023-2027年）</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加强物料堆场扬尘管控。针对铸造、铁合金、焦化、水泥、砖瓦、石灰、耐火材料、有色金属冶炼等行业，严格控制物料储存、输送及生产工艺过程无组织排放，粉粒类物料堆放场以及大型煤炭和矿石物料堆场，基本完成抑尘设施建设和物料输送系统封闭改造，严禁露天装卸作业和物料干法作业。</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本项目骨料堆场、传送带均设置在封闭的工业厂房内，水泥等粉状物料均存放在筒仓内。采取以上措施可有效控制物料堆场扬尘的排放。</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车辆优化工程.....持续推进老旧车辆及非道路移动机械淘汰。2023年底前完成企业内部国三及以下排放标准柴油货车和国一及以下排放标准非道路移动工程机械淘汰工作。2025年底前，全县淘汰国三及以下排放标准柴油货车，推进淘汰国一及以下排放标准非道路移动工程机械。2025年全县新能源和国六排放标准货车保有量占比不低于50%。.....持续推进重点企业门禁系统建设。督促指导企业落实重污染天气重点行业绩效分级技术指南要求，日运输车辆10辆次及以上企业全部安装门禁系统，</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经过现场调查，现有工程本项目内部使用的非道路移动机械为国三排放标准的发动机，本项目拟新增国四非道路移动机械</w:t>
                  </w:r>
                  <w:r>
                    <w:rPr>
                      <w:color w:val="auto"/>
                    </w:rPr>
                    <w:t>。环评要求企业严格按照《重污染天气重点行业应急减排措施制定技术指南》要求，建立门禁系统。</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84" w:type="pct"/>
                  <w:tcBorders>
                    <w:left w:val="nil"/>
                    <w:bottom w:val="single" w:color="auto" w:sz="4" w:space="0"/>
                    <w:right w:val="single" w:color="auto" w:sz="4" w:space="0"/>
                  </w:tcBorders>
                  <w:vAlign w:val="center"/>
                </w:tcPr>
                <w:p>
                  <w:pPr>
                    <w:pStyle w:val="23"/>
                    <w:rPr>
                      <w:color w:val="auto"/>
                    </w:rPr>
                  </w:pPr>
                  <w:r>
                    <w:rPr>
                      <w:rFonts w:hint="eastAsia"/>
                      <w:color w:val="auto"/>
                    </w:rPr>
                    <w:t>《西安市挥发性有机物污染整治专项实施方案（2023-2027年）》</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强化涉活性炭NMHC处理工艺治理。采用活性炭吸附技术的，其中颗粒碳碘吸附值不低于800mg/g或四氯化碳吸附率不低于60%，蜂窝活性炭碘吸附值不低于600mg/g或四氯化碳吸附率不低于30%，按设计要求足量添加、定期更换，动态更新挥发性有机物治理设施台账。组织开展活性炭技术等NMHC治理设施排查，对达不到要求的，应当更换或升级改造，实现稳定达标排放。</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经过现场调查，项目现有工程沥青烟治理设施中活性炭吸附箱使用的活性炭碘值为8</w:t>
                  </w:r>
                  <w:r>
                    <w:rPr>
                      <w:color w:val="auto"/>
                    </w:rPr>
                    <w:t>25</w:t>
                  </w:r>
                  <w:r>
                    <w:rPr>
                      <w:color w:val="auto"/>
                      <w:lang w:val="en-GB"/>
                    </w:rPr>
                    <w:t>mg/g</w:t>
                  </w:r>
                  <w:r>
                    <w:rPr>
                      <w:rFonts w:hint="eastAsia"/>
                      <w:color w:val="auto"/>
                      <w:lang w:val="en-GB"/>
                    </w:rPr>
                    <w:t>（见附件），符合政策要求。</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hint="eastAsia"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84" w:type="pct"/>
                  <w:vMerge w:val="restart"/>
                  <w:tcBorders>
                    <w:left w:val="nil"/>
                    <w:right w:val="single" w:color="auto" w:sz="4" w:space="0"/>
                  </w:tcBorders>
                  <w:vAlign w:val="center"/>
                </w:tcPr>
                <w:p>
                  <w:pPr>
                    <w:pStyle w:val="23"/>
                    <w:rPr>
                      <w:color w:val="auto"/>
                    </w:rPr>
                  </w:pPr>
                  <w:r>
                    <w:rPr>
                      <w:rFonts w:hint="eastAsia"/>
                      <w:color w:val="auto"/>
                    </w:rPr>
                    <w:t>《周至县挥发性有机物污染整治专项实施方案（2023-2027年）》</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低效治理设施升级改造行动。新建项目不得采用低温等离子、光氧化、光催化技术的废气治理设施等单一治理工艺或者组合工艺。</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经过现场调查，项目现有工程沥青烟治理设施采用“气旋喷淋+电捕焦油+活性炭吸附”的组合处理工艺对沥青烟气进行处理。</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hint="eastAsia"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强化涉活性炭NMHC处理工艺治理。采用活性炭吸附技术的，其中颗粒碳碘吸附值不低于800mg/g或四氯化碳吸附率不低于60%，蜂窝活性炭碘吸附值不低于600mg/g或四氯化碳吸附率不低于30%，按设计要求足量添加、定期更换，动态更新挥发性有机物治理设施台账。组织开展活性炭技术等NMHC治理设施排查，对达不到要求的，应当更换或升级改造，实现稳定达标排放。</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经过现场调查，项目现有工程沥青烟治理设施中活性炭吸附箱使用的活性炭碘值为8</w:t>
                  </w:r>
                  <w:r>
                    <w:rPr>
                      <w:color w:val="auto"/>
                    </w:rPr>
                    <w:t>25</w:t>
                  </w:r>
                  <w:r>
                    <w:rPr>
                      <w:color w:val="auto"/>
                      <w:lang w:val="en-GB"/>
                    </w:rPr>
                    <w:t>mg/g</w:t>
                  </w:r>
                  <w:r>
                    <w:rPr>
                      <w:rFonts w:hint="eastAsia"/>
                      <w:color w:val="auto"/>
                      <w:lang w:val="en-GB"/>
                    </w:rPr>
                    <w:t>（见附件），符合政策要求。</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hint="eastAsia"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pct"/>
                  <w:vMerge w:val="restart"/>
                  <w:tcBorders>
                    <w:top w:val="single" w:color="auto" w:sz="4" w:space="0"/>
                    <w:left w:val="nil"/>
                    <w:right w:val="single" w:color="auto" w:sz="4" w:space="0"/>
                  </w:tcBorders>
                  <w:vAlign w:val="center"/>
                </w:tcPr>
                <w:p>
                  <w:pPr>
                    <w:adjustRightInd w:val="0"/>
                    <w:snapToGrid w:val="0"/>
                    <w:spacing w:line="240" w:lineRule="auto"/>
                    <w:jc w:val="center"/>
                    <w:rPr>
                      <w:rFonts w:eastAsia="宋体" w:cs="Times New Roman"/>
                      <w:sz w:val="21"/>
                      <w:szCs w:val="21"/>
                    </w:rPr>
                  </w:pPr>
                  <w:r>
                    <w:rPr>
                      <w:rFonts w:eastAsia="宋体" w:cs="Times New Roman"/>
                      <w:sz w:val="21"/>
                      <w:szCs w:val="21"/>
                    </w:rPr>
                    <w:t>西安市人民政府关于印发西安市空气质量达标规划（2023—2030年）的通知（市政发〔2023〕10号）</w:t>
                  </w: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加快推进产业结构调整。加快建设先进制造业强市，优化各园区产业定位，促进产业集聚和绿色发展转型，统筹推进产业布局与大气环境质量改善需求相适应，严格落实国家和我省产业规划、产业政策、“三线一单”、规划环评等要求，新改扩建化工、石化、建材、有色等项目的环境影响评价应满足区域和规划环评要求。</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位于周至县渭河工业区，符合《西安市人民政府关于印发“三线一单”生态环境分区管控方案的通知》（市政发〔2021〕22号；项目在采取有效的环保措施后，污染物排放量小，对环境影响较小，符合重点管控单元要求，环评要求项目建成后按照要求办理排污许可手续。</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加强堆场料场管理。加强灰场、煤场和渣场等易扬尘堆场料场管理，开展全封闭改造，无法完成封闭改造的，必须覆盖高密目防风抑尘网；在堆场进出口设置车辆冲洗设施，对运输车辆实施密闭或全覆盖，建立工业堆场视频监控全覆盖，实现堆场扬尘动态管理。</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本项目骨料堆场、传送带均设置在封闭的工业厂房内，水泥等粉状物料均存放在筒仓内。采取以上措施可有效控制物料堆场扬尘的排放。</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加强运输过程扬尘监管，所有散装物料车辆必须全部苫盖，杜绝遗撒。从严从细规范化管理渣土车，加大对运输沙石、渣土及散装水泥等车辆规范化执法检查力度和频次。通过视频监控、车牌号识别、卫星定位跟踪等手段，实行道路扬尘全过程监督。</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color w:val="auto"/>
                    </w:rPr>
                    <w:t>环评要求，本项目内部使用的非道路移动机械，更换为国四及以上排放标准的发动机。环评要求企业严格按照《重污染天气重点行业应急减排措施制定技术指南》要求，建立门禁系统。</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pct"/>
                  <w:vMerge w:val="restart"/>
                  <w:tcBorders>
                    <w:left w:val="nil"/>
                    <w:right w:val="single" w:color="auto" w:sz="4" w:space="0"/>
                  </w:tcBorders>
                  <w:vAlign w:val="center"/>
                </w:tcPr>
                <w:p>
                  <w:pPr>
                    <w:pStyle w:val="23"/>
                    <w:rPr>
                      <w:color w:val="auto"/>
                    </w:rPr>
                  </w:pPr>
                  <w:r>
                    <w:rPr>
                      <w:rFonts w:hint="eastAsia"/>
                      <w:color w:val="auto"/>
                    </w:rPr>
                    <w:t>西安市生态环境局关于加强挥发性有机物活性炭吸附处理设施运行管理工作的通知（市环发〔2022〕65号）</w:t>
                  </w:r>
                </w:p>
              </w:tc>
              <w:tc>
                <w:tcPr>
                  <w:tcW w:w="2077" w:type="pct"/>
                  <w:tcBorders>
                    <w:top w:val="single" w:color="auto" w:sz="4" w:space="0"/>
                    <w:left w:val="single" w:color="auto" w:sz="4" w:space="0"/>
                    <w:bottom w:val="single" w:color="auto" w:sz="4" w:space="0"/>
                    <w:right w:val="single" w:color="auto" w:sz="4" w:space="0"/>
                  </w:tcBorders>
                  <w:vAlign w:val="center"/>
                </w:tcPr>
                <w:p>
                  <w:pPr>
                    <w:spacing w:line="240" w:lineRule="auto"/>
                    <w:rPr>
                      <w:rFonts w:eastAsia="宋体" w:cs="Times New Roman"/>
                      <w:sz w:val="21"/>
                      <w:szCs w:val="21"/>
                    </w:rPr>
                  </w:pPr>
                  <w:r>
                    <w:rPr>
                      <w:rFonts w:hint="eastAsia" w:eastAsia="宋体" w:cs="Times New Roman"/>
                      <w:sz w:val="21"/>
                      <w:szCs w:val="21"/>
                    </w:rPr>
                    <w:t>（一）规范治理技术。涉气企业根据当前有关VOCs治理的法律法规、技术规范、政策文件等要求，选择合理的治理工艺。除恶臭异味治理外，淘汰单一使用低温等离子、光催化氧化、活性炭吸附棉、水喷淋等低效处理工艺或其组合工艺。原料VOCs浓度高、排放总量较大的生产工艺原则上采用RTO、RCO等高效处理技术。</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经过现场调查，项目现有工程沥青烟治理设施采用“气旋喷淋+电捕焦油+活性炭吸附”的组合处理工艺对沥青烟气进行处理。满足现行环保要求。</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spacing w:line="240" w:lineRule="auto"/>
                    <w:rPr>
                      <w:rFonts w:eastAsia="宋体" w:cs="Times New Roman"/>
                      <w:sz w:val="21"/>
                      <w:szCs w:val="21"/>
                    </w:rPr>
                  </w:pPr>
                  <w:r>
                    <w:rPr>
                      <w:rFonts w:hint="eastAsia" w:eastAsia="宋体" w:cs="Times New Roman"/>
                      <w:sz w:val="21"/>
                      <w:szCs w:val="21"/>
                    </w:rPr>
                    <w:t>（二）保证活性炭质量。企业购置活性炭必须提供活性炭检测报告，技术指标至少应包括水分含量、耐磨强度（颗粒活性炭）、抗压强度（蜂窝活性炭）、碘吸附值、四氯化碳吸附率、着火点等。活性炭技术指标应符合《工业有机废气净化用活性炭技术指标及试验方法》（LY/T3284）规定的优级活性炭指标要求。</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经过现场调查，项目现有工程沥青烟治理设施中活性炭吸附箱使用的活性炭碘值为825mg/g（见附件），符合政策要求。</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spacing w:line="240" w:lineRule="auto"/>
                    <w:rPr>
                      <w:rFonts w:eastAsia="宋体" w:cs="Times New Roman"/>
                      <w:sz w:val="21"/>
                      <w:szCs w:val="21"/>
                    </w:rPr>
                  </w:pPr>
                  <w:r>
                    <w:rPr>
                      <w:rFonts w:hint="eastAsia" w:eastAsia="宋体" w:cs="Times New Roman"/>
                      <w:sz w:val="21"/>
                      <w:szCs w:val="21"/>
                    </w:rPr>
                    <w:t>（六）严格危废管理。产生活性炭的企业，必须与有许可证的危废经营单位签订危废处置协议。</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经过现场调查，现有工程产生的废活性炭暂存于危废贮存库内，且已与有许可证的危废经营单位（陕西明瑞资源再生有限公司）签订了危险废物处置协议。</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4" w:type="pct"/>
                  <w:vMerge w:val="continue"/>
                  <w:tcBorders>
                    <w:left w:val="nil"/>
                    <w:right w:val="single" w:color="auto" w:sz="4" w:space="0"/>
                  </w:tcBorders>
                  <w:vAlign w:val="center"/>
                </w:tcPr>
                <w:p>
                  <w:pPr>
                    <w:pStyle w:val="23"/>
                    <w:rPr>
                      <w:color w:val="auto"/>
                    </w:rPr>
                  </w:pPr>
                </w:p>
              </w:tc>
              <w:tc>
                <w:tcPr>
                  <w:tcW w:w="2077" w:type="pct"/>
                  <w:tcBorders>
                    <w:top w:val="single" w:color="auto" w:sz="4" w:space="0"/>
                    <w:left w:val="single" w:color="auto" w:sz="4" w:space="0"/>
                    <w:bottom w:val="single" w:color="auto" w:sz="4" w:space="0"/>
                    <w:right w:val="single" w:color="auto" w:sz="4" w:space="0"/>
                  </w:tcBorders>
                  <w:vAlign w:val="center"/>
                </w:tcPr>
                <w:p>
                  <w:pPr>
                    <w:spacing w:line="240" w:lineRule="auto"/>
                    <w:rPr>
                      <w:rFonts w:eastAsia="宋体" w:cs="Times New Roman"/>
                      <w:sz w:val="21"/>
                      <w:szCs w:val="21"/>
                    </w:rPr>
                  </w:pPr>
                  <w:r>
                    <w:rPr>
                      <w:rFonts w:hint="eastAsia" w:eastAsia="宋体" w:cs="Times New Roman"/>
                      <w:sz w:val="21"/>
                      <w:szCs w:val="21"/>
                    </w:rPr>
                    <w:t>（九）完善台账记录。企业应按要求做好活性炭吸附日常运行维护台账记录，台账内容应包括开启时间、关停时间、更换时间\更换照片、装填数量、设计参数、风量等，以及活性炭主要技术指标检测合格材料。环境管理台账记录保存期限不得少于5年。</w:t>
                  </w:r>
                </w:p>
              </w:tc>
              <w:tc>
                <w:tcPr>
                  <w:tcW w:w="1623" w:type="pct"/>
                  <w:tcBorders>
                    <w:top w:val="single" w:color="auto" w:sz="4" w:space="0"/>
                    <w:left w:val="single" w:color="auto" w:sz="4" w:space="0"/>
                    <w:bottom w:val="single" w:color="auto" w:sz="4" w:space="0"/>
                    <w:right w:val="single" w:color="auto" w:sz="4" w:space="0"/>
                  </w:tcBorders>
                  <w:vAlign w:val="center"/>
                </w:tcPr>
                <w:p>
                  <w:pPr>
                    <w:pStyle w:val="23"/>
                    <w:rPr>
                      <w:color w:val="auto"/>
                    </w:rPr>
                  </w:pPr>
                  <w:r>
                    <w:rPr>
                      <w:rFonts w:hint="eastAsia"/>
                      <w:color w:val="auto"/>
                    </w:rPr>
                    <w:t>经过现场调查，企业已建立了环保设施的日常运行维护台账记录。并确保环境管理台账记录保存期限不少于5年。</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84" w:type="pct"/>
                  <w:vMerge w:val="restart"/>
                  <w:tcBorders>
                    <w:top w:val="single" w:color="auto" w:sz="4" w:space="0"/>
                    <w:left w:val="nil"/>
                    <w:right w:val="single" w:color="auto" w:sz="4" w:space="0"/>
                  </w:tcBorders>
                  <w:vAlign w:val="center"/>
                </w:tcPr>
                <w:p>
                  <w:pPr>
                    <w:adjustRightInd w:val="0"/>
                    <w:snapToGrid w:val="0"/>
                    <w:spacing w:line="240" w:lineRule="auto"/>
                    <w:jc w:val="center"/>
                    <w:rPr>
                      <w:rFonts w:eastAsia="宋体" w:cs="Times New Roman"/>
                      <w:sz w:val="21"/>
                      <w:szCs w:val="21"/>
                    </w:rPr>
                  </w:pPr>
                  <w:r>
                    <w:rPr>
                      <w:rFonts w:eastAsia="宋体" w:cs="Times New Roman"/>
                      <w:sz w:val="21"/>
                      <w:szCs w:val="21"/>
                    </w:rPr>
                    <w:t>陕西省生态环境厅关于进一步加强关中地区涉气重点行业项目环评管理的通知（陕环环评函〔2023〕76号）</w:t>
                  </w:r>
                </w:p>
              </w:tc>
              <w:tc>
                <w:tcPr>
                  <w:tcW w:w="20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eastAsia="宋体" w:cs="Times New Roman"/>
                      <w:sz w:val="21"/>
                      <w:szCs w:val="21"/>
                    </w:rPr>
                    <w:t>关中地区涉气重点行业项目范围为生态环境部确定的39个重点行业的新改扩建项目，涉及关中各市（区）辖区及开发区范围内的应达到环保绩效A级、绩效引领性水平要求，西安市、咸阳市、渭南市的其他区域应达到环保绩效B级及以上要求。</w:t>
                  </w:r>
                </w:p>
              </w:tc>
              <w:tc>
                <w:tcPr>
                  <w:tcW w:w="16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eastAsia="宋体" w:cs="Times New Roman"/>
                      <w:sz w:val="21"/>
                      <w:szCs w:val="21"/>
                    </w:rPr>
                    <w:t>本项目位于西安市周至县，为水泥稳定</w:t>
                  </w:r>
                  <w:r>
                    <w:rPr>
                      <w:rFonts w:hint="eastAsia" w:eastAsia="宋体" w:cs="Times New Roman"/>
                      <w:sz w:val="21"/>
                      <w:szCs w:val="21"/>
                    </w:rPr>
                    <w:t>材料</w:t>
                  </w:r>
                  <w:r>
                    <w:rPr>
                      <w:rFonts w:eastAsia="宋体" w:cs="Times New Roman"/>
                      <w:sz w:val="21"/>
                      <w:szCs w:val="21"/>
                    </w:rPr>
                    <w:t>制造行业。不属于关中地区市辖区及开发区范围内涉气的重点行业企业。</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84" w:type="pct"/>
                  <w:vMerge w:val="continue"/>
                  <w:tcBorders>
                    <w:left w:val="nil"/>
                    <w:right w:val="single" w:color="auto" w:sz="4" w:space="0"/>
                  </w:tcBorders>
                  <w:vAlign w:val="center"/>
                </w:tcPr>
                <w:p>
                  <w:pPr>
                    <w:adjustRightInd w:val="0"/>
                    <w:snapToGrid w:val="0"/>
                    <w:spacing w:line="240" w:lineRule="auto"/>
                    <w:jc w:val="center"/>
                    <w:rPr>
                      <w:rFonts w:eastAsia="宋体" w:cs="Times New Roman"/>
                      <w:sz w:val="21"/>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eastAsia="宋体" w:cs="Times New Roman"/>
                      <w:sz w:val="21"/>
                      <w:szCs w:val="21"/>
                    </w:rPr>
                    <w:t>关中地区涉气重点行业新、改、扩建项目环境影响报告书（表）应编制环保绩效管理篇章，按照环办大气函[2020]340号文件从建设项目的装备水平（生产工艺）、污染治理技术、排放限值、无组织管控要求、监测监控水平、环境管理水平、运输方式和管控要求等方面，专项分析拟建和已建项目建设内容、生态环境保护措施与对应环保绩效分级、绩效引领性水平的相符性。</w:t>
                  </w:r>
                </w:p>
              </w:tc>
              <w:tc>
                <w:tcPr>
                  <w:tcW w:w="16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eastAsia="宋体" w:cs="Times New Roman"/>
                      <w:sz w:val="21"/>
                      <w:szCs w:val="21"/>
                    </w:rPr>
                    <w:t>本项目位于西安市周至县属于关中地区市辖区，类别为水泥制品制造，属于《重污染天气重点行业应急减排措施制定技术指南（2020年修订版）》中的39类行业之一，应达到水泥制品绩效引领性指标。</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84" w:type="pct"/>
                  <w:vMerge w:val="continue"/>
                  <w:tcBorders>
                    <w:left w:val="nil"/>
                    <w:bottom w:val="single" w:color="auto" w:sz="4" w:space="0"/>
                    <w:right w:val="single" w:color="auto" w:sz="4" w:space="0"/>
                  </w:tcBorders>
                  <w:vAlign w:val="center"/>
                </w:tcPr>
                <w:p>
                  <w:pPr>
                    <w:adjustRightInd w:val="0"/>
                    <w:snapToGrid w:val="0"/>
                    <w:spacing w:line="240" w:lineRule="auto"/>
                    <w:jc w:val="center"/>
                    <w:rPr>
                      <w:rFonts w:eastAsia="宋体" w:cs="Times New Roman"/>
                      <w:sz w:val="21"/>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eastAsia="宋体" w:cs="Times New Roman"/>
                      <w:sz w:val="21"/>
                      <w:szCs w:val="21"/>
                    </w:rPr>
                    <w:t>涉及改、扩建项目的企业应出具环保绩效达级承诺书，原则上应在拟建项目建成时且在专项行动方案或市级生态环境部门规定时限内完成环保绩效达级。承诺书与项目环评文件一并报送环评审批部门，并纳入竣工验收管理。</w:t>
                  </w:r>
                </w:p>
              </w:tc>
              <w:tc>
                <w:tcPr>
                  <w:tcW w:w="16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eastAsia="宋体" w:cs="Times New Roman"/>
                      <w:sz w:val="21"/>
                      <w:szCs w:val="21"/>
                    </w:rPr>
                  </w:pPr>
                  <w:r>
                    <w:rPr>
                      <w:rFonts w:eastAsia="宋体" w:cs="Times New Roman"/>
                      <w:sz w:val="21"/>
                      <w:szCs w:val="21"/>
                    </w:rPr>
                    <w:t>企业已出具环保绩效达级承诺书，详见</w:t>
                  </w:r>
                  <w:r>
                    <w:rPr>
                      <w:rFonts w:hint="eastAsia" w:eastAsia="宋体" w:cs="Times New Roman"/>
                      <w:sz w:val="21"/>
                      <w:szCs w:val="21"/>
                    </w:rPr>
                    <w:t>环保绩效篇章</w:t>
                  </w:r>
                  <w:r>
                    <w:rPr>
                      <w:rFonts w:eastAsia="宋体" w:cs="Times New Roman"/>
                      <w:sz w:val="21"/>
                      <w:szCs w:val="21"/>
                    </w:rPr>
                    <w:t>。</w:t>
                  </w:r>
                </w:p>
              </w:tc>
              <w:tc>
                <w:tcPr>
                  <w:tcW w:w="416" w:type="pct"/>
                  <w:tcBorders>
                    <w:top w:val="single" w:color="auto" w:sz="4" w:space="0"/>
                    <w:left w:val="single" w:color="auto" w:sz="4" w:space="0"/>
                    <w:bottom w:val="single" w:color="auto" w:sz="4" w:space="0"/>
                    <w:right w:val="nil"/>
                  </w:tcBorders>
                  <w:vAlign w:val="center"/>
                </w:tcPr>
                <w:p>
                  <w:pPr>
                    <w:adjustRightInd w:val="0"/>
                    <w:snapToGrid w:val="0"/>
                    <w:jc w:val="center"/>
                    <w:rPr>
                      <w:rFonts w:eastAsia="宋体" w:cs="Times New Roman"/>
                      <w:sz w:val="21"/>
                      <w:szCs w:val="21"/>
                    </w:rPr>
                  </w:pPr>
                  <w:r>
                    <w:rPr>
                      <w:rFonts w:eastAsia="宋体" w:cs="Times New Roman"/>
                      <w:sz w:val="21"/>
                      <w:szCs w:val="21"/>
                    </w:rPr>
                    <w:t>符合</w:t>
                  </w:r>
                </w:p>
              </w:tc>
            </w:tr>
          </w:tbl>
          <w:p>
            <w:pPr>
              <w:pStyle w:val="23"/>
              <w:rPr>
                <w:color w:val="auto"/>
              </w:rPr>
            </w:pPr>
          </w:p>
        </w:tc>
      </w:tr>
    </w:tbl>
    <w:p>
      <w:pPr>
        <w:rPr>
          <w:rFonts w:cs="Times New Roman"/>
          <w:b/>
          <w:bCs/>
          <w:sz w:val="28"/>
          <w:szCs w:val="24"/>
        </w:rPr>
      </w:pPr>
      <w:r>
        <w:rPr>
          <w:rFonts w:cs="Times New Roman"/>
        </w:rPr>
        <w:br w:type="page"/>
      </w:r>
      <w:r>
        <w:rPr>
          <w:rFonts w:cs="Times New Roman"/>
          <w:b/>
          <w:bCs/>
          <w:sz w:val="28"/>
          <w:szCs w:val="24"/>
        </w:rPr>
        <w:t>二、建设项目工程分析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adjustRightInd w:val="0"/>
              <w:snapToGrid w:val="0"/>
              <w:spacing w:line="240" w:lineRule="auto"/>
              <w:jc w:val="center"/>
              <w:rPr>
                <w:rFonts w:cs="Times New Roman"/>
              </w:rPr>
            </w:pPr>
            <w:r>
              <w:rPr>
                <w:rFonts w:cs="Times New Roman"/>
              </w:rPr>
              <w:t>建设内容</w:t>
            </w:r>
          </w:p>
        </w:tc>
        <w:tc>
          <w:tcPr>
            <w:tcW w:w="9497" w:type="dxa"/>
          </w:tcPr>
          <w:p>
            <w:pPr>
              <w:ind w:firstLine="482" w:firstLineChars="200"/>
              <w:rPr>
                <w:rFonts w:cs="Times New Roman"/>
                <w:b/>
                <w:bCs/>
              </w:rPr>
            </w:pPr>
            <w:r>
              <w:rPr>
                <w:rFonts w:cs="Times New Roman"/>
                <w:b/>
                <w:bCs/>
              </w:rPr>
              <w:t>1、项目由来</w:t>
            </w:r>
          </w:p>
          <w:p>
            <w:pPr>
              <w:ind w:firstLine="480" w:firstLineChars="200"/>
              <w:rPr>
                <w:rFonts w:cs="Times New Roman"/>
              </w:rPr>
            </w:pPr>
            <w:r>
              <w:rPr>
                <w:rFonts w:cs="Times New Roman"/>
              </w:rPr>
              <w:t>周至科达路面建设材料有限公司成立于2017年02月28日，位于周至县渭河工业区周普路3号。</w:t>
            </w:r>
            <w:r>
              <w:rPr>
                <w:rFonts w:eastAsia="宋体" w:cs="Times New Roman"/>
                <w:szCs w:val="24"/>
              </w:rPr>
              <w:t>为满足市场需求及自身可持续发展，</w:t>
            </w:r>
            <w:r>
              <w:rPr>
                <w:rFonts w:cs="Times New Roman"/>
              </w:rPr>
              <w:t>2023年9月周至科达路面建设材料有限公司在现有厂区</w:t>
            </w:r>
            <w:r>
              <w:rPr>
                <w:rFonts w:hint="eastAsia" w:cs="Times New Roman"/>
              </w:rPr>
              <w:t>的</w:t>
            </w:r>
            <w:r>
              <w:rPr>
                <w:rFonts w:cs="Times New Roman"/>
              </w:rPr>
              <w:t>南侧</w:t>
            </w:r>
            <w:r>
              <w:rPr>
                <w:rFonts w:hint="eastAsia" w:cs="Times New Roman"/>
              </w:rPr>
              <w:t>新</w:t>
            </w:r>
            <w:r>
              <w:rPr>
                <w:rFonts w:cs="Times New Roman"/>
              </w:rPr>
              <w:t>租用18亩工业用地</w:t>
            </w:r>
            <w:r>
              <w:rPr>
                <w:rFonts w:hint="eastAsia" w:cs="Times New Roman"/>
              </w:rPr>
              <w:t>（现状为空地）</w:t>
            </w:r>
            <w:r>
              <w:rPr>
                <w:rFonts w:cs="Times New Roman"/>
              </w:rPr>
              <w:t>，拟投资建设路面建设材料扩建项目，新增水泥稳定材料生产线1条，建成后预计年生产水泥稳定材料20万吨/年。在原厂区内增加1座容积为450立方米的立式沥青储罐，沥青最大储存能力增加360立方米，原沥青混合料生产线生产规模不变。</w:t>
            </w:r>
          </w:p>
          <w:p>
            <w:pPr>
              <w:ind w:firstLine="480" w:firstLineChars="200"/>
              <w:rPr>
                <w:rFonts w:cs="Times New Roman"/>
              </w:rPr>
            </w:pPr>
            <w:r>
              <w:rPr>
                <w:rFonts w:cs="Times New Roman"/>
              </w:rPr>
              <w:t>根据《国民经济行业分类》（GB/T 4754-2017），本项目行业类别为C3029其他水泥类似制品制造；依据《建设项目环境影响评价分类管理名录》（2021版），本项目属于“二十七：非金属矿物制品业30–石膏、水泥制品及类似制品制造302”中的“水泥制品制造”，应当编制环境影响报告表。</w:t>
            </w:r>
          </w:p>
          <w:p>
            <w:pPr>
              <w:ind w:firstLine="482" w:firstLineChars="200"/>
              <w:rPr>
                <w:rFonts w:cs="Times New Roman"/>
                <w:b/>
                <w:bCs/>
              </w:rPr>
            </w:pPr>
            <w:r>
              <w:rPr>
                <w:rFonts w:cs="Times New Roman"/>
                <w:b/>
                <w:bCs/>
              </w:rPr>
              <w:t>2、项目组成及建设内容</w:t>
            </w:r>
          </w:p>
          <w:p>
            <w:pPr>
              <w:ind w:firstLine="480" w:firstLineChars="200"/>
              <w:rPr>
                <w:rFonts w:cs="Times New Roman"/>
              </w:rPr>
            </w:pPr>
            <w:r>
              <w:rPr>
                <w:rFonts w:cs="Times New Roman"/>
              </w:rPr>
              <w:t>本项目新增占地18亩，对厂区总体平面布局进行优化调整，建设标准化工业厂房约10000平方米。拟购置水泥筒仓、搅拌缸、装载机、传送带等生产设备及辅助设施，在工业厂房内新增水泥稳定材料生产线1条，在原厂区内增加1座容积为450立方米的立式沥青储罐，沥青最大储存能力增加360立方米，原沥青混合料生产线生产规模不变。</w:t>
            </w:r>
          </w:p>
          <w:p>
            <w:pPr>
              <w:ind w:firstLine="480" w:firstLineChars="200"/>
              <w:rPr>
                <w:rFonts w:cs="Times New Roman"/>
              </w:rPr>
            </w:pPr>
            <w:r>
              <w:rPr>
                <w:rFonts w:cs="Times New Roman"/>
              </w:rPr>
              <w:t>本项目扩建由主体工程、储运工程、辅助工程、公用工程、环保工程和依托工程组成，详见表2-1。</w:t>
            </w:r>
          </w:p>
          <w:p>
            <w:pPr>
              <w:pStyle w:val="24"/>
              <w:adjustRightInd w:val="0"/>
              <w:snapToGrid w:val="0"/>
              <w:rPr>
                <w:rFonts w:cs="Times New Roman"/>
                <w:szCs w:val="21"/>
              </w:rPr>
            </w:pPr>
            <w:r>
              <w:rPr>
                <w:rFonts w:cs="Times New Roman"/>
                <w:szCs w:val="21"/>
              </w:rPr>
              <w:t>表2-1 扩建项目组成一览表</w:t>
            </w:r>
          </w:p>
          <w:tbl>
            <w:tblPr>
              <w:tblStyle w:val="19"/>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1246"/>
              <w:gridCol w:w="1193"/>
              <w:gridCol w:w="4913"/>
              <w:gridCol w:w="123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2" w:type="pct"/>
                  <w:gridSpan w:val="2"/>
                  <w:tcBorders>
                    <w:tl2br w:val="nil"/>
                    <w:tr2bl w:val="nil"/>
                  </w:tcBorders>
                  <w:vAlign w:val="center"/>
                </w:tcPr>
                <w:p>
                  <w:pPr>
                    <w:pStyle w:val="23"/>
                    <w:rPr>
                      <w:color w:val="auto"/>
                    </w:rPr>
                  </w:pPr>
                  <w:r>
                    <w:rPr>
                      <w:color w:val="auto"/>
                    </w:rPr>
                    <w:t>项目组成</w:t>
                  </w:r>
                </w:p>
              </w:tc>
              <w:tc>
                <w:tcPr>
                  <w:tcW w:w="3292" w:type="pct"/>
                  <w:gridSpan w:val="2"/>
                  <w:tcBorders>
                    <w:tl2br w:val="nil"/>
                    <w:tr2bl w:val="nil"/>
                  </w:tcBorders>
                  <w:vAlign w:val="center"/>
                </w:tcPr>
                <w:p>
                  <w:pPr>
                    <w:pStyle w:val="23"/>
                    <w:rPr>
                      <w:color w:val="auto"/>
                    </w:rPr>
                  </w:pPr>
                  <w:r>
                    <w:rPr>
                      <w:color w:val="auto"/>
                    </w:rPr>
                    <w:t>建设内容</w:t>
                  </w:r>
                </w:p>
              </w:tc>
              <w:tc>
                <w:tcPr>
                  <w:tcW w:w="666" w:type="pct"/>
                  <w:tcBorders>
                    <w:tl2br w:val="nil"/>
                    <w:tr2bl w:val="nil"/>
                  </w:tcBorders>
                  <w:vAlign w:val="center"/>
                </w:tcPr>
                <w:p>
                  <w:pPr>
                    <w:pStyle w:val="23"/>
                    <w:rPr>
                      <w:color w:val="auto"/>
                    </w:rPr>
                  </w:pPr>
                  <w:r>
                    <w:rPr>
                      <w:color w:val="auto"/>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tcBorders>
                    <w:tl2br w:val="nil"/>
                    <w:tr2bl w:val="nil"/>
                  </w:tcBorders>
                  <w:vAlign w:val="center"/>
                </w:tcPr>
                <w:p>
                  <w:pPr>
                    <w:pStyle w:val="23"/>
                    <w:rPr>
                      <w:color w:val="auto"/>
                    </w:rPr>
                  </w:pPr>
                  <w:r>
                    <w:rPr>
                      <w:color w:val="auto"/>
                    </w:rPr>
                    <w:t>主体工程</w:t>
                  </w:r>
                </w:p>
              </w:tc>
              <w:tc>
                <w:tcPr>
                  <w:tcW w:w="672" w:type="pct"/>
                  <w:tcBorders>
                    <w:tl2br w:val="nil"/>
                    <w:tr2bl w:val="nil"/>
                  </w:tcBorders>
                  <w:vAlign w:val="center"/>
                </w:tcPr>
                <w:p>
                  <w:pPr>
                    <w:pStyle w:val="23"/>
                    <w:rPr>
                      <w:color w:val="auto"/>
                    </w:rPr>
                  </w:pPr>
                  <w:r>
                    <w:rPr>
                      <w:color w:val="auto"/>
                    </w:rPr>
                    <w:t>标准化工业厂房</w:t>
                  </w:r>
                </w:p>
              </w:tc>
              <w:tc>
                <w:tcPr>
                  <w:tcW w:w="3292" w:type="pct"/>
                  <w:gridSpan w:val="2"/>
                  <w:tcBorders>
                    <w:tl2br w:val="nil"/>
                    <w:tr2bl w:val="nil"/>
                  </w:tcBorders>
                  <w:vAlign w:val="center"/>
                </w:tcPr>
                <w:p>
                  <w:pPr>
                    <w:pStyle w:val="23"/>
                    <w:rPr>
                      <w:color w:val="auto"/>
                    </w:rPr>
                  </w:pPr>
                  <w:r>
                    <w:rPr>
                      <w:color w:val="auto"/>
                    </w:rPr>
                    <w:t>新建标准化工业厂房10000m</w:t>
                  </w:r>
                  <w:r>
                    <w:rPr>
                      <w:color w:val="auto"/>
                      <w:vertAlign w:val="superscript"/>
                    </w:rPr>
                    <w:t>2</w:t>
                  </w:r>
                  <w:r>
                    <w:rPr>
                      <w:color w:val="auto"/>
                    </w:rPr>
                    <w:t>，购置水泥筒仓、搅拌缸、装载机、传送带等生产设备及辅助设施，在工业厂房内建设水泥稳定材料生产线1条</w:t>
                  </w:r>
                </w:p>
              </w:tc>
              <w:tc>
                <w:tcPr>
                  <w:tcW w:w="666" w:type="pct"/>
                  <w:tcBorders>
                    <w:tl2br w:val="nil"/>
                    <w:tr2bl w:val="nil"/>
                  </w:tcBorders>
                  <w:vAlign w:val="center"/>
                </w:tcPr>
                <w:p>
                  <w:pPr>
                    <w:pStyle w:val="23"/>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restart"/>
                  <w:tcBorders>
                    <w:tl2br w:val="nil"/>
                    <w:tr2bl w:val="nil"/>
                  </w:tcBorders>
                  <w:vAlign w:val="center"/>
                </w:tcPr>
                <w:p>
                  <w:pPr>
                    <w:pStyle w:val="23"/>
                    <w:rPr>
                      <w:color w:val="auto"/>
                    </w:rPr>
                  </w:pPr>
                  <w:r>
                    <w:rPr>
                      <w:color w:val="auto"/>
                    </w:rPr>
                    <w:t>储运工程</w:t>
                  </w:r>
                </w:p>
              </w:tc>
              <w:tc>
                <w:tcPr>
                  <w:tcW w:w="672" w:type="pct"/>
                  <w:tcBorders>
                    <w:tl2br w:val="nil"/>
                    <w:tr2bl w:val="nil"/>
                  </w:tcBorders>
                  <w:vAlign w:val="center"/>
                </w:tcPr>
                <w:p>
                  <w:pPr>
                    <w:pStyle w:val="23"/>
                    <w:rPr>
                      <w:color w:val="auto"/>
                    </w:rPr>
                  </w:pPr>
                  <w:r>
                    <w:rPr>
                      <w:color w:val="auto"/>
                    </w:rPr>
                    <w:t>原料堆场</w:t>
                  </w:r>
                </w:p>
              </w:tc>
              <w:tc>
                <w:tcPr>
                  <w:tcW w:w="3292" w:type="pct"/>
                  <w:gridSpan w:val="2"/>
                  <w:tcBorders>
                    <w:tl2br w:val="nil"/>
                    <w:tr2bl w:val="nil"/>
                  </w:tcBorders>
                  <w:vAlign w:val="center"/>
                </w:tcPr>
                <w:p>
                  <w:pPr>
                    <w:pStyle w:val="23"/>
                    <w:rPr>
                      <w:color w:val="auto"/>
                    </w:rPr>
                  </w:pPr>
                  <w:r>
                    <w:rPr>
                      <w:color w:val="auto"/>
                    </w:rPr>
                    <w:t>新建的标准化厂房，建筑面积约5000m</w:t>
                  </w:r>
                  <w:r>
                    <w:rPr>
                      <w:color w:val="auto"/>
                      <w:vertAlign w:val="superscript"/>
                    </w:rPr>
                    <w:t>2</w:t>
                  </w:r>
                  <w:r>
                    <w:rPr>
                      <w:color w:val="auto"/>
                    </w:rPr>
                    <w:t>，用于存放砂子、石子等骨料。</w:t>
                  </w:r>
                </w:p>
              </w:tc>
              <w:tc>
                <w:tcPr>
                  <w:tcW w:w="666" w:type="pct"/>
                  <w:tcBorders>
                    <w:tl2br w:val="nil"/>
                    <w:tr2bl w:val="nil"/>
                  </w:tcBorders>
                  <w:vAlign w:val="center"/>
                </w:tcPr>
                <w:p>
                  <w:pPr>
                    <w:pStyle w:val="23"/>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水泥筒仓</w:t>
                  </w:r>
                </w:p>
              </w:tc>
              <w:tc>
                <w:tcPr>
                  <w:tcW w:w="3292" w:type="pct"/>
                  <w:gridSpan w:val="2"/>
                  <w:tcBorders>
                    <w:tl2br w:val="nil"/>
                    <w:tr2bl w:val="nil"/>
                  </w:tcBorders>
                  <w:vAlign w:val="center"/>
                </w:tcPr>
                <w:p>
                  <w:pPr>
                    <w:pStyle w:val="23"/>
                    <w:rPr>
                      <w:color w:val="auto"/>
                    </w:rPr>
                  </w:pPr>
                  <w:r>
                    <w:rPr>
                      <w:color w:val="auto"/>
                    </w:rPr>
                    <w:t>位于新建的标准化厂房内，设置2座水泥筒仓，每个筒仓均为100t。</w:t>
                  </w:r>
                </w:p>
              </w:tc>
              <w:tc>
                <w:tcPr>
                  <w:tcW w:w="666" w:type="pct"/>
                  <w:tcBorders>
                    <w:tl2br w:val="nil"/>
                    <w:tr2bl w:val="nil"/>
                  </w:tcBorders>
                  <w:vAlign w:val="center"/>
                </w:tcPr>
                <w:p>
                  <w:pPr>
                    <w:pStyle w:val="23"/>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地埋式雨水储存罐</w:t>
                  </w:r>
                </w:p>
              </w:tc>
              <w:tc>
                <w:tcPr>
                  <w:tcW w:w="3292" w:type="pct"/>
                  <w:gridSpan w:val="2"/>
                  <w:tcBorders>
                    <w:tl2br w:val="nil"/>
                    <w:tr2bl w:val="nil"/>
                  </w:tcBorders>
                  <w:vAlign w:val="center"/>
                </w:tcPr>
                <w:p>
                  <w:pPr>
                    <w:pStyle w:val="23"/>
                    <w:rPr>
                      <w:color w:val="auto"/>
                    </w:rPr>
                  </w:pPr>
                  <w:r>
                    <w:rPr>
                      <w:color w:val="auto"/>
                    </w:rPr>
                    <w:t>3个地埋地埋式雨水储存罐，位于新建的标准化厂房南侧，每个储罐有效容积约为100m</w:t>
                  </w:r>
                  <w:r>
                    <w:rPr>
                      <w:color w:val="auto"/>
                      <w:vertAlign w:val="superscript"/>
                    </w:rPr>
                    <w:t>3</w:t>
                  </w:r>
                  <w:r>
                    <w:rPr>
                      <w:color w:val="auto"/>
                    </w:rPr>
                    <w:t>，主要用于储存收集的雨水。</w:t>
                  </w:r>
                </w:p>
              </w:tc>
              <w:tc>
                <w:tcPr>
                  <w:tcW w:w="666" w:type="pct"/>
                  <w:tcBorders>
                    <w:tl2br w:val="nil"/>
                    <w:tr2bl w:val="nil"/>
                  </w:tcBorders>
                  <w:vAlign w:val="center"/>
                </w:tcPr>
                <w:p>
                  <w:pPr>
                    <w:pStyle w:val="23"/>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沥青储罐</w:t>
                  </w:r>
                </w:p>
              </w:tc>
              <w:tc>
                <w:tcPr>
                  <w:tcW w:w="3292" w:type="pct"/>
                  <w:gridSpan w:val="2"/>
                  <w:tcBorders>
                    <w:tl2br w:val="nil"/>
                    <w:tr2bl w:val="nil"/>
                  </w:tcBorders>
                  <w:vAlign w:val="center"/>
                </w:tcPr>
                <w:p>
                  <w:pPr>
                    <w:pStyle w:val="23"/>
                    <w:rPr>
                      <w:color w:val="auto"/>
                    </w:rPr>
                  </w:pPr>
                  <w:r>
                    <w:rPr>
                      <w:color w:val="auto"/>
                    </w:rPr>
                    <w:t>在现有工程占地范围内扩建1座450立方米的立式沥青储罐。</w:t>
                  </w:r>
                </w:p>
              </w:tc>
              <w:tc>
                <w:tcPr>
                  <w:tcW w:w="666" w:type="pct"/>
                  <w:tcBorders>
                    <w:tl2br w:val="nil"/>
                    <w:tr2bl w:val="nil"/>
                  </w:tcBorders>
                  <w:vAlign w:val="center"/>
                </w:tcPr>
                <w:p>
                  <w:pPr>
                    <w:pStyle w:val="23"/>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成品运输</w:t>
                  </w:r>
                </w:p>
              </w:tc>
              <w:tc>
                <w:tcPr>
                  <w:tcW w:w="3292" w:type="pct"/>
                  <w:gridSpan w:val="2"/>
                  <w:tcBorders>
                    <w:tl2br w:val="nil"/>
                    <w:tr2bl w:val="nil"/>
                  </w:tcBorders>
                  <w:vAlign w:val="center"/>
                </w:tcPr>
                <w:p>
                  <w:pPr>
                    <w:pStyle w:val="23"/>
                    <w:rPr>
                      <w:color w:val="auto"/>
                    </w:rPr>
                  </w:pPr>
                  <w:r>
                    <w:rPr>
                      <w:color w:val="auto"/>
                    </w:rPr>
                    <w:t>水泥稳定</w:t>
                  </w:r>
                  <w:r>
                    <w:rPr>
                      <w:rFonts w:hint="eastAsia"/>
                      <w:color w:val="auto"/>
                    </w:rPr>
                    <w:t>材料</w:t>
                  </w:r>
                  <w:r>
                    <w:rPr>
                      <w:color w:val="auto"/>
                    </w:rPr>
                    <w:t>成品通过装卸台由外部运输车辆运输至建筑工地，项目地不设成品区。</w:t>
                  </w:r>
                </w:p>
              </w:tc>
              <w:tc>
                <w:tcPr>
                  <w:tcW w:w="666" w:type="pct"/>
                  <w:tcBorders>
                    <w:tl2br w:val="nil"/>
                    <w:tr2bl w:val="nil"/>
                  </w:tcBorders>
                  <w:vAlign w:val="center"/>
                </w:tcPr>
                <w:p>
                  <w:pPr>
                    <w:pStyle w:val="23"/>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restart"/>
                  <w:tcBorders>
                    <w:tl2br w:val="nil"/>
                    <w:tr2bl w:val="nil"/>
                  </w:tcBorders>
                  <w:vAlign w:val="center"/>
                </w:tcPr>
                <w:p>
                  <w:pPr>
                    <w:pStyle w:val="23"/>
                    <w:rPr>
                      <w:color w:val="auto"/>
                    </w:rPr>
                  </w:pPr>
                  <w:r>
                    <w:rPr>
                      <w:color w:val="auto"/>
                    </w:rPr>
                    <w:t>辅助工程</w:t>
                  </w:r>
                </w:p>
              </w:tc>
              <w:tc>
                <w:tcPr>
                  <w:tcW w:w="672" w:type="pct"/>
                  <w:tcBorders>
                    <w:tl2br w:val="nil"/>
                    <w:tr2bl w:val="nil"/>
                  </w:tcBorders>
                  <w:vAlign w:val="center"/>
                </w:tcPr>
                <w:p>
                  <w:pPr>
                    <w:pStyle w:val="23"/>
                    <w:rPr>
                      <w:color w:val="auto"/>
                    </w:rPr>
                  </w:pPr>
                  <w:r>
                    <w:rPr>
                      <w:color w:val="auto"/>
                    </w:rPr>
                    <w:t>办公区</w:t>
                  </w:r>
                </w:p>
              </w:tc>
              <w:tc>
                <w:tcPr>
                  <w:tcW w:w="3292" w:type="pct"/>
                  <w:gridSpan w:val="2"/>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拟拆除现有工程办公楼，拆除后职工办公依托</w:t>
                  </w:r>
                  <w:r>
                    <w:rPr>
                      <w:rFonts w:eastAsia="宋体" w:cs="Times New Roman"/>
                      <w:sz w:val="21"/>
                      <w:szCs w:val="21"/>
                    </w:rPr>
                    <w:t>位于</w:t>
                  </w:r>
                  <w:r>
                    <w:rPr>
                      <w:rFonts w:hint="eastAsia" w:eastAsia="宋体" w:cs="Times New Roman"/>
                      <w:sz w:val="21"/>
                      <w:szCs w:val="21"/>
                    </w:rPr>
                    <w:t>新租用地块东</w:t>
                  </w:r>
                  <w:r>
                    <w:rPr>
                      <w:rFonts w:eastAsia="宋体" w:cs="Times New Roman"/>
                      <w:sz w:val="21"/>
                      <w:szCs w:val="21"/>
                    </w:rPr>
                    <w:t>北侧</w:t>
                  </w:r>
                  <w:r>
                    <w:rPr>
                      <w:rFonts w:hint="eastAsia" w:eastAsia="宋体" w:cs="Times New Roman"/>
                      <w:sz w:val="21"/>
                      <w:szCs w:val="21"/>
                    </w:rPr>
                    <w:t>的现有的</w:t>
                  </w:r>
                  <w:r>
                    <w:rPr>
                      <w:rFonts w:eastAsia="宋体" w:cs="Times New Roman"/>
                      <w:sz w:val="21"/>
                      <w:szCs w:val="21"/>
                    </w:rPr>
                    <w:t>办公区</w:t>
                  </w:r>
                  <w:r>
                    <w:rPr>
                      <w:rFonts w:hint="eastAsia" w:eastAsia="宋体" w:cs="Times New Roman"/>
                      <w:sz w:val="21"/>
                      <w:szCs w:val="21"/>
                    </w:rPr>
                    <w:t>及生活辅助设施，</w:t>
                  </w:r>
                  <w:r>
                    <w:rPr>
                      <w:rFonts w:eastAsia="宋体" w:cs="Times New Roman"/>
                      <w:sz w:val="21"/>
                      <w:szCs w:val="21"/>
                    </w:rPr>
                    <w:t>建筑面积</w:t>
                  </w:r>
                  <w:r>
                    <w:rPr>
                      <w:rFonts w:hint="eastAsia" w:eastAsia="宋体" w:cs="Times New Roman"/>
                      <w:sz w:val="21"/>
                      <w:szCs w:val="21"/>
                    </w:rPr>
                    <w:t>约</w:t>
                  </w:r>
                  <w:r>
                    <w:rPr>
                      <w:rFonts w:eastAsia="宋体" w:cs="Times New Roman"/>
                      <w:sz w:val="21"/>
                      <w:szCs w:val="21"/>
                    </w:rPr>
                    <w:t>441m</w:t>
                  </w:r>
                  <w:r>
                    <w:rPr>
                      <w:rFonts w:eastAsia="宋体" w:cs="Times New Roman"/>
                      <w:sz w:val="21"/>
                      <w:szCs w:val="21"/>
                      <w:vertAlign w:val="superscript"/>
                    </w:rPr>
                    <w:t>2</w:t>
                  </w:r>
                  <w:r>
                    <w:rPr>
                      <w:rFonts w:eastAsia="宋体" w:cs="Times New Roman"/>
                      <w:sz w:val="21"/>
                      <w:szCs w:val="21"/>
                    </w:rPr>
                    <w:t>，为员工提供办公环境。</w:t>
                  </w:r>
                </w:p>
              </w:tc>
              <w:tc>
                <w:tcPr>
                  <w:tcW w:w="666" w:type="pct"/>
                  <w:tcBorders>
                    <w:tl2br w:val="nil"/>
                    <w:tr2bl w:val="nil"/>
                  </w:tcBorders>
                  <w:vAlign w:val="center"/>
                </w:tcPr>
                <w:p>
                  <w:pPr>
                    <w:pStyle w:val="23"/>
                    <w:rPr>
                      <w:color w:val="auto"/>
                    </w:rPr>
                  </w:pPr>
                  <w:r>
                    <w:rPr>
                      <w:rFonts w:hint="eastAsia"/>
                      <w:color w:val="auto"/>
                    </w:rPr>
                    <w:t>拆除现有工程办公楼。依托现有办公楼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生活区</w:t>
                  </w:r>
                </w:p>
              </w:tc>
              <w:tc>
                <w:tcPr>
                  <w:tcW w:w="3292" w:type="pct"/>
                  <w:gridSpan w:val="2"/>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依托</w:t>
                  </w:r>
                  <w:r>
                    <w:rPr>
                      <w:rFonts w:eastAsia="宋体" w:cs="Times New Roman"/>
                      <w:sz w:val="21"/>
                      <w:szCs w:val="21"/>
                    </w:rPr>
                    <w:t>现有的生活休息区</w:t>
                  </w:r>
                  <w:r>
                    <w:rPr>
                      <w:rFonts w:hint="eastAsia" w:eastAsia="宋体" w:cs="Times New Roman"/>
                      <w:sz w:val="21"/>
                      <w:szCs w:val="21"/>
                    </w:rPr>
                    <w:t>及生活辅助设施</w:t>
                  </w:r>
                  <w:r>
                    <w:rPr>
                      <w:rFonts w:eastAsia="宋体" w:cs="Times New Roman"/>
                      <w:sz w:val="21"/>
                      <w:szCs w:val="21"/>
                    </w:rPr>
                    <w:t>，</w:t>
                  </w:r>
                  <w:r>
                    <w:rPr>
                      <w:rFonts w:hint="eastAsia" w:eastAsia="宋体" w:cs="Times New Roman"/>
                      <w:sz w:val="21"/>
                      <w:szCs w:val="21"/>
                    </w:rPr>
                    <w:t>占地</w:t>
                  </w:r>
                  <w:r>
                    <w:rPr>
                      <w:rFonts w:eastAsia="宋体" w:cs="Times New Roman"/>
                      <w:sz w:val="21"/>
                      <w:szCs w:val="21"/>
                    </w:rPr>
                    <w:t>面积约2100m</w:t>
                  </w:r>
                  <w:r>
                    <w:rPr>
                      <w:rFonts w:eastAsia="宋体" w:cs="Times New Roman"/>
                      <w:sz w:val="21"/>
                      <w:szCs w:val="21"/>
                      <w:vertAlign w:val="superscript"/>
                    </w:rPr>
                    <w:t>2</w:t>
                  </w:r>
                  <w:r>
                    <w:rPr>
                      <w:rFonts w:eastAsia="宋体" w:cs="Times New Roman"/>
                      <w:sz w:val="21"/>
                      <w:szCs w:val="21"/>
                    </w:rPr>
                    <w:t>，砖混结构。</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依托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洗车台</w:t>
                  </w:r>
                </w:p>
              </w:tc>
              <w:tc>
                <w:tcPr>
                  <w:tcW w:w="3292" w:type="pct"/>
                  <w:gridSpan w:val="2"/>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依托现有洗车台，位于厂区东侧，并配置全自动洗车设备，对车辆车轮及车身进行全方位清洗。</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依托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rFonts w:hint="eastAsia"/>
                      <w:color w:val="auto"/>
                    </w:rPr>
                    <w:t>机械设备维护区</w:t>
                  </w:r>
                </w:p>
              </w:tc>
              <w:tc>
                <w:tcPr>
                  <w:tcW w:w="3292" w:type="pct"/>
                  <w:gridSpan w:val="2"/>
                  <w:tcBorders>
                    <w:tl2br w:val="nil"/>
                    <w:tr2bl w:val="nil"/>
                  </w:tcBorders>
                  <w:vAlign w:val="center"/>
                </w:tcPr>
                <w:p>
                  <w:pPr>
                    <w:pStyle w:val="23"/>
                    <w:rPr>
                      <w:color w:val="auto"/>
                    </w:rPr>
                  </w:pPr>
                  <w:r>
                    <w:rPr>
                      <w:color w:val="auto"/>
                    </w:rPr>
                    <w:t>新建彩钢结构厂房</w:t>
                  </w:r>
                  <w:r>
                    <w:rPr>
                      <w:rFonts w:hint="eastAsia"/>
                      <w:color w:val="auto"/>
                    </w:rPr>
                    <w:t>面积约</w:t>
                  </w:r>
                  <w:r>
                    <w:rPr>
                      <w:color w:val="auto"/>
                    </w:rPr>
                    <w:t>1000m</w:t>
                  </w:r>
                  <w:r>
                    <w:rPr>
                      <w:color w:val="auto"/>
                      <w:vertAlign w:val="superscript"/>
                    </w:rPr>
                    <w:t>2</w:t>
                  </w:r>
                  <w:r>
                    <w:rPr>
                      <w:color w:val="auto"/>
                    </w:rPr>
                    <w:t>，位于厂区东南角，用于对场内各设备的例行检修及维护</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restart"/>
                  <w:tcBorders>
                    <w:tl2br w:val="nil"/>
                    <w:tr2bl w:val="nil"/>
                  </w:tcBorders>
                  <w:vAlign w:val="center"/>
                </w:tcPr>
                <w:p>
                  <w:pPr>
                    <w:pStyle w:val="23"/>
                    <w:rPr>
                      <w:color w:val="auto"/>
                    </w:rPr>
                  </w:pPr>
                  <w:r>
                    <w:rPr>
                      <w:color w:val="auto"/>
                    </w:rPr>
                    <w:t>公用工程</w:t>
                  </w:r>
                </w:p>
              </w:tc>
              <w:tc>
                <w:tcPr>
                  <w:tcW w:w="672" w:type="pct"/>
                  <w:tcBorders>
                    <w:tl2br w:val="nil"/>
                    <w:tr2bl w:val="nil"/>
                  </w:tcBorders>
                  <w:vAlign w:val="center"/>
                </w:tcPr>
                <w:p>
                  <w:pPr>
                    <w:pStyle w:val="23"/>
                    <w:rPr>
                      <w:color w:val="auto"/>
                    </w:rPr>
                  </w:pPr>
                  <w:r>
                    <w:rPr>
                      <w:color w:val="auto"/>
                      <w:lang w:val="en-GB"/>
                    </w:rPr>
                    <w:t>给排水</w:t>
                  </w:r>
                </w:p>
              </w:tc>
              <w:tc>
                <w:tcPr>
                  <w:tcW w:w="3292" w:type="pct"/>
                  <w:gridSpan w:val="2"/>
                  <w:tcBorders>
                    <w:tl2br w:val="nil"/>
                    <w:tr2bl w:val="nil"/>
                  </w:tcBorders>
                  <w:vAlign w:val="center"/>
                </w:tcPr>
                <w:p>
                  <w:pPr>
                    <w:pStyle w:val="23"/>
                    <w:rPr>
                      <w:color w:val="auto"/>
                    </w:rPr>
                  </w:pPr>
                  <w:r>
                    <w:rPr>
                      <w:color w:val="auto"/>
                    </w:rPr>
                    <w:t>厂区用水拟采用厂区自备水井，项目无生产废水，厂区地面及车辆冲洗废水经沉淀池沉淀后重复利用不外排，生活污水经化粪池处理后定期清掏。</w:t>
                  </w:r>
                </w:p>
              </w:tc>
              <w:tc>
                <w:tcPr>
                  <w:tcW w:w="666" w:type="pct"/>
                  <w:tcBorders>
                    <w:tl2br w:val="nil"/>
                    <w:tr2bl w:val="nil"/>
                  </w:tcBorders>
                  <w:vAlign w:val="center"/>
                </w:tcPr>
                <w:p>
                  <w:pPr>
                    <w:pStyle w:val="23"/>
                    <w:rPr>
                      <w:color w:val="auto"/>
                    </w:rPr>
                  </w:pPr>
                  <w:r>
                    <w:rPr>
                      <w:color w:val="auto"/>
                    </w:rPr>
                    <w:t>依托现有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lang w:val="en-GB"/>
                    </w:rPr>
                  </w:pPr>
                  <w:r>
                    <w:rPr>
                      <w:color w:val="auto"/>
                    </w:rPr>
                    <w:t>供电</w:t>
                  </w:r>
                </w:p>
              </w:tc>
              <w:tc>
                <w:tcPr>
                  <w:tcW w:w="3292" w:type="pct"/>
                  <w:gridSpan w:val="2"/>
                  <w:tcBorders>
                    <w:tl2br w:val="nil"/>
                    <w:tr2bl w:val="nil"/>
                  </w:tcBorders>
                  <w:vAlign w:val="center"/>
                </w:tcPr>
                <w:p>
                  <w:pPr>
                    <w:pStyle w:val="23"/>
                    <w:rPr>
                      <w:color w:val="auto"/>
                    </w:rPr>
                  </w:pPr>
                  <w:r>
                    <w:rPr>
                      <w:color w:val="auto"/>
                    </w:rPr>
                    <w:t>厂区建设配电室一座，电源引自市政10KVA供电专线供电。</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依托现有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lang w:val="en-GB"/>
                    </w:rPr>
                  </w:pPr>
                  <w:r>
                    <w:rPr>
                      <w:color w:val="auto"/>
                    </w:rPr>
                    <w:t>采暖及制冷</w:t>
                  </w:r>
                </w:p>
              </w:tc>
              <w:tc>
                <w:tcPr>
                  <w:tcW w:w="3292" w:type="pct"/>
                  <w:gridSpan w:val="2"/>
                  <w:tcBorders>
                    <w:tl2br w:val="nil"/>
                    <w:tr2bl w:val="nil"/>
                  </w:tcBorders>
                  <w:vAlign w:val="center"/>
                </w:tcPr>
                <w:p>
                  <w:pPr>
                    <w:pStyle w:val="23"/>
                    <w:rPr>
                      <w:color w:val="auto"/>
                    </w:rPr>
                  </w:pPr>
                  <w:r>
                    <w:rPr>
                      <w:color w:val="auto"/>
                    </w:rPr>
                    <w:t>办公区采暖及制冷均采用分体空调制冷与供热。</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依托现有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restart"/>
                  <w:tcBorders>
                    <w:tl2br w:val="nil"/>
                    <w:tr2bl w:val="nil"/>
                  </w:tcBorders>
                  <w:vAlign w:val="center"/>
                </w:tcPr>
                <w:p>
                  <w:pPr>
                    <w:pStyle w:val="23"/>
                    <w:rPr>
                      <w:color w:val="auto"/>
                    </w:rPr>
                  </w:pPr>
                  <w:r>
                    <w:rPr>
                      <w:color w:val="auto"/>
                    </w:rPr>
                    <w:t>环保工程</w:t>
                  </w:r>
                </w:p>
              </w:tc>
              <w:tc>
                <w:tcPr>
                  <w:tcW w:w="672" w:type="pct"/>
                  <w:vMerge w:val="restart"/>
                  <w:tcBorders>
                    <w:tl2br w:val="nil"/>
                    <w:tr2bl w:val="nil"/>
                  </w:tcBorders>
                  <w:vAlign w:val="center"/>
                </w:tcPr>
                <w:p>
                  <w:pPr>
                    <w:pStyle w:val="23"/>
                    <w:rPr>
                      <w:color w:val="auto"/>
                    </w:rPr>
                  </w:pPr>
                  <w:r>
                    <w:rPr>
                      <w:color w:val="auto"/>
                    </w:rPr>
                    <w:t>废气</w:t>
                  </w:r>
                </w:p>
              </w:tc>
              <w:tc>
                <w:tcPr>
                  <w:tcW w:w="643" w:type="pct"/>
                  <w:tcBorders>
                    <w:tl2br w:val="nil"/>
                    <w:tr2bl w:val="nil"/>
                  </w:tcBorders>
                  <w:vAlign w:val="center"/>
                </w:tcPr>
                <w:p>
                  <w:pPr>
                    <w:pStyle w:val="23"/>
                    <w:rPr>
                      <w:color w:val="auto"/>
                    </w:rPr>
                  </w:pPr>
                  <w:r>
                    <w:rPr>
                      <w:color w:val="auto"/>
                    </w:rPr>
                    <w:t>装卸、堆存粉尘</w:t>
                  </w:r>
                </w:p>
              </w:tc>
              <w:tc>
                <w:tcPr>
                  <w:tcW w:w="2649" w:type="pct"/>
                  <w:tcBorders>
                    <w:tl2br w:val="nil"/>
                    <w:tr2bl w:val="nil"/>
                  </w:tcBorders>
                  <w:vAlign w:val="center"/>
                </w:tcPr>
                <w:p>
                  <w:pPr>
                    <w:pStyle w:val="23"/>
                    <w:rPr>
                      <w:color w:val="auto"/>
                    </w:rPr>
                  </w:pPr>
                  <w:r>
                    <w:rPr>
                      <w:color w:val="auto"/>
                    </w:rPr>
                    <w:t>厂区地面硬化，物料的装卸和堆放在密闭厂房内进行，厂房顶部加装有雾状喷淋装置抑尘。</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vMerge w:val="continue"/>
                  <w:tcBorders>
                    <w:tl2br w:val="nil"/>
                    <w:tr2bl w:val="nil"/>
                  </w:tcBorders>
                  <w:vAlign w:val="center"/>
                </w:tcPr>
                <w:p>
                  <w:pPr>
                    <w:pStyle w:val="23"/>
                    <w:rPr>
                      <w:color w:val="auto"/>
                    </w:rPr>
                  </w:pPr>
                </w:p>
              </w:tc>
              <w:tc>
                <w:tcPr>
                  <w:tcW w:w="643" w:type="pct"/>
                  <w:tcBorders>
                    <w:tl2br w:val="nil"/>
                    <w:tr2bl w:val="nil"/>
                  </w:tcBorders>
                  <w:vAlign w:val="center"/>
                </w:tcPr>
                <w:p>
                  <w:pPr>
                    <w:pStyle w:val="23"/>
                    <w:rPr>
                      <w:color w:val="auto"/>
                    </w:rPr>
                  </w:pPr>
                  <w:r>
                    <w:rPr>
                      <w:color w:val="auto"/>
                    </w:rPr>
                    <w:t>物料输送搅拌粉尘</w:t>
                  </w:r>
                </w:p>
              </w:tc>
              <w:tc>
                <w:tcPr>
                  <w:tcW w:w="2649" w:type="pct"/>
                  <w:tcBorders>
                    <w:tl2br w:val="nil"/>
                    <w:tr2bl w:val="nil"/>
                  </w:tcBorders>
                  <w:vAlign w:val="center"/>
                </w:tcPr>
                <w:p>
                  <w:pPr>
                    <w:pStyle w:val="23"/>
                    <w:rPr>
                      <w:color w:val="auto"/>
                    </w:rPr>
                  </w:pPr>
                  <w:r>
                    <w:rPr>
                      <w:color w:val="auto"/>
                    </w:rPr>
                    <w:t>石子、砂子等输送采用铲车输送至料仓后通过封闭式传送带运至拌合设备；水泥采用螺旋输送机输送至拌合设备，在物料下料口和搅拌机处设置集尘罩收集至一套袋式除尘器处理后在车间内无组织排放；车间顶部设置有雾状喷淋装置。</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vMerge w:val="continue"/>
                  <w:tcBorders>
                    <w:tl2br w:val="nil"/>
                    <w:tr2bl w:val="nil"/>
                  </w:tcBorders>
                  <w:vAlign w:val="center"/>
                </w:tcPr>
                <w:p>
                  <w:pPr>
                    <w:pStyle w:val="23"/>
                    <w:rPr>
                      <w:color w:val="auto"/>
                    </w:rPr>
                  </w:pPr>
                </w:p>
              </w:tc>
              <w:tc>
                <w:tcPr>
                  <w:tcW w:w="643" w:type="pct"/>
                  <w:tcBorders>
                    <w:tl2br w:val="nil"/>
                    <w:tr2bl w:val="nil"/>
                  </w:tcBorders>
                  <w:vAlign w:val="center"/>
                </w:tcPr>
                <w:p>
                  <w:pPr>
                    <w:pStyle w:val="23"/>
                    <w:rPr>
                      <w:color w:val="auto"/>
                    </w:rPr>
                  </w:pPr>
                  <w:r>
                    <w:rPr>
                      <w:color w:val="auto"/>
                    </w:rPr>
                    <w:t>筒仓呼吸粉尘</w:t>
                  </w:r>
                </w:p>
              </w:tc>
              <w:tc>
                <w:tcPr>
                  <w:tcW w:w="2649" w:type="pct"/>
                  <w:tcBorders>
                    <w:tl2br w:val="nil"/>
                    <w:tr2bl w:val="nil"/>
                  </w:tcBorders>
                  <w:vAlign w:val="center"/>
                </w:tcPr>
                <w:p>
                  <w:pPr>
                    <w:pStyle w:val="23"/>
                    <w:rPr>
                      <w:color w:val="auto"/>
                    </w:rPr>
                  </w:pPr>
                  <w:r>
                    <w:rPr>
                      <w:color w:val="auto"/>
                    </w:rPr>
                    <w:t>水泥筒仓粉尘经顶部自带的脉冲式布袋除尘器处理后在车间内无组织排放，车间顶部设置有雾状喷淋装置。</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vMerge w:val="continue"/>
                  <w:tcBorders>
                    <w:tl2br w:val="nil"/>
                    <w:tr2bl w:val="nil"/>
                  </w:tcBorders>
                  <w:vAlign w:val="center"/>
                </w:tcPr>
                <w:p>
                  <w:pPr>
                    <w:pStyle w:val="23"/>
                    <w:rPr>
                      <w:color w:val="auto"/>
                    </w:rPr>
                  </w:pPr>
                </w:p>
              </w:tc>
              <w:tc>
                <w:tcPr>
                  <w:tcW w:w="643" w:type="pct"/>
                  <w:tcBorders>
                    <w:tl2br w:val="nil"/>
                    <w:tr2bl w:val="nil"/>
                  </w:tcBorders>
                  <w:vAlign w:val="center"/>
                </w:tcPr>
                <w:p>
                  <w:pPr>
                    <w:pStyle w:val="23"/>
                    <w:rPr>
                      <w:color w:val="auto"/>
                    </w:rPr>
                  </w:pPr>
                  <w:r>
                    <w:rPr>
                      <w:color w:val="auto"/>
                    </w:rPr>
                    <w:t>车辆运输扬尘</w:t>
                  </w:r>
                </w:p>
              </w:tc>
              <w:tc>
                <w:tcPr>
                  <w:tcW w:w="2649" w:type="pct"/>
                  <w:tcBorders>
                    <w:tl2br w:val="nil"/>
                    <w:tr2bl w:val="nil"/>
                  </w:tcBorders>
                  <w:vAlign w:val="center"/>
                </w:tcPr>
                <w:p>
                  <w:pPr>
                    <w:pStyle w:val="23"/>
                    <w:rPr>
                      <w:color w:val="auto"/>
                    </w:rPr>
                  </w:pPr>
                  <w:r>
                    <w:rPr>
                      <w:color w:val="auto"/>
                    </w:rPr>
                    <w:t>原料运输过程中覆盖篷布，厂区定期洒水抑尘，并设洗车台，清洗车辆。</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vMerge w:val="continue"/>
                  <w:tcBorders>
                    <w:tl2br w:val="nil"/>
                    <w:tr2bl w:val="nil"/>
                  </w:tcBorders>
                  <w:vAlign w:val="center"/>
                </w:tcPr>
                <w:p>
                  <w:pPr>
                    <w:pStyle w:val="23"/>
                    <w:rPr>
                      <w:color w:val="auto"/>
                    </w:rPr>
                  </w:pPr>
                </w:p>
              </w:tc>
              <w:tc>
                <w:tcPr>
                  <w:tcW w:w="643" w:type="pct"/>
                  <w:tcBorders>
                    <w:tl2br w:val="nil"/>
                    <w:tr2bl w:val="nil"/>
                  </w:tcBorders>
                  <w:vAlign w:val="center"/>
                </w:tcPr>
                <w:p>
                  <w:pPr>
                    <w:pStyle w:val="23"/>
                    <w:rPr>
                      <w:color w:val="auto"/>
                    </w:rPr>
                  </w:pPr>
                  <w:r>
                    <w:rPr>
                      <w:rFonts w:hint="eastAsia"/>
                      <w:color w:val="auto"/>
                    </w:rPr>
                    <w:t>储罐呼吸废气</w:t>
                  </w:r>
                </w:p>
              </w:tc>
              <w:tc>
                <w:tcPr>
                  <w:tcW w:w="2649" w:type="pct"/>
                  <w:tcBorders>
                    <w:tl2br w:val="nil"/>
                    <w:tr2bl w:val="nil"/>
                  </w:tcBorders>
                  <w:vAlign w:val="center"/>
                </w:tcPr>
                <w:p>
                  <w:pPr>
                    <w:pStyle w:val="23"/>
                    <w:rPr>
                      <w:color w:val="auto"/>
                    </w:rPr>
                  </w:pPr>
                  <w:r>
                    <w:rPr>
                      <w:rFonts w:hint="eastAsia"/>
                      <w:color w:val="auto"/>
                    </w:rPr>
                    <w:t>储罐呼吸废气利用现有沥青烟收集处理系统处理后于1</w:t>
                  </w:r>
                  <w:r>
                    <w:rPr>
                      <w:color w:val="auto"/>
                    </w:rPr>
                    <w:t>5.3m</w:t>
                  </w:r>
                  <w:r>
                    <w:rPr>
                      <w:rFonts w:hint="eastAsia"/>
                      <w:color w:val="auto"/>
                    </w:rPr>
                    <w:t>排气筒排放。</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hint="eastAsia" w:cs="Times New Roman"/>
                      <w:sz w:val="21"/>
                      <w:szCs w:val="21"/>
                    </w:rPr>
                    <w:t>依托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废水</w:t>
                  </w:r>
                </w:p>
              </w:tc>
              <w:tc>
                <w:tcPr>
                  <w:tcW w:w="643" w:type="pct"/>
                  <w:tcBorders>
                    <w:tl2br w:val="nil"/>
                    <w:tr2bl w:val="nil"/>
                  </w:tcBorders>
                  <w:vAlign w:val="center"/>
                </w:tcPr>
                <w:p>
                  <w:pPr>
                    <w:pStyle w:val="23"/>
                    <w:rPr>
                      <w:color w:val="auto"/>
                    </w:rPr>
                  </w:pPr>
                  <w:r>
                    <w:rPr>
                      <w:color w:val="auto"/>
                    </w:rPr>
                    <w:t>生产废水</w:t>
                  </w:r>
                </w:p>
              </w:tc>
              <w:tc>
                <w:tcPr>
                  <w:tcW w:w="2649" w:type="pct"/>
                  <w:tcBorders>
                    <w:tl2br w:val="nil"/>
                    <w:tr2bl w:val="nil"/>
                  </w:tcBorders>
                  <w:vAlign w:val="center"/>
                </w:tcPr>
                <w:p>
                  <w:pPr>
                    <w:pStyle w:val="23"/>
                    <w:rPr>
                      <w:color w:val="auto"/>
                    </w:rPr>
                  </w:pPr>
                  <w:r>
                    <w:rPr>
                      <w:color w:val="auto"/>
                    </w:rPr>
                    <w:t>生产过程无生产废水排放；场地冲洗废水及进出车辆冲洗废水经沉淀池沉淀后回用不外排。</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依托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vMerge w:val="restart"/>
                  <w:tcBorders>
                    <w:tl2br w:val="nil"/>
                    <w:tr2bl w:val="nil"/>
                  </w:tcBorders>
                  <w:vAlign w:val="center"/>
                </w:tcPr>
                <w:p>
                  <w:pPr>
                    <w:pStyle w:val="23"/>
                    <w:rPr>
                      <w:color w:val="auto"/>
                    </w:rPr>
                  </w:pPr>
                  <w:r>
                    <w:rPr>
                      <w:color w:val="auto"/>
                    </w:rPr>
                    <w:t>固体废物</w:t>
                  </w:r>
                </w:p>
              </w:tc>
              <w:tc>
                <w:tcPr>
                  <w:tcW w:w="643" w:type="pct"/>
                  <w:tcBorders>
                    <w:tl2br w:val="nil"/>
                    <w:tr2bl w:val="nil"/>
                  </w:tcBorders>
                  <w:vAlign w:val="center"/>
                </w:tcPr>
                <w:p>
                  <w:pPr>
                    <w:pStyle w:val="23"/>
                    <w:rPr>
                      <w:color w:val="auto"/>
                    </w:rPr>
                  </w:pPr>
                  <w:r>
                    <w:rPr>
                      <w:color w:val="auto"/>
                    </w:rPr>
                    <w:t>一般固体废物</w:t>
                  </w:r>
                </w:p>
              </w:tc>
              <w:tc>
                <w:tcPr>
                  <w:tcW w:w="2649" w:type="pct"/>
                  <w:tcBorders>
                    <w:tl2br w:val="nil"/>
                    <w:tr2bl w:val="nil"/>
                  </w:tcBorders>
                  <w:vAlign w:val="center"/>
                </w:tcPr>
                <w:p>
                  <w:pPr>
                    <w:pStyle w:val="23"/>
                    <w:rPr>
                      <w:color w:val="auto"/>
                    </w:rPr>
                  </w:pPr>
                  <w:r>
                    <w:rPr>
                      <w:color w:val="auto"/>
                    </w:rPr>
                    <w:t>一般固废分类收集综合利用；</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vMerge w:val="continue"/>
                  <w:tcBorders>
                    <w:tl2br w:val="nil"/>
                    <w:tr2bl w:val="nil"/>
                  </w:tcBorders>
                  <w:vAlign w:val="center"/>
                </w:tcPr>
                <w:p>
                  <w:pPr>
                    <w:pStyle w:val="23"/>
                    <w:rPr>
                      <w:color w:val="auto"/>
                    </w:rPr>
                  </w:pPr>
                </w:p>
              </w:tc>
              <w:tc>
                <w:tcPr>
                  <w:tcW w:w="643" w:type="pct"/>
                  <w:tcBorders>
                    <w:tl2br w:val="nil"/>
                    <w:tr2bl w:val="nil"/>
                  </w:tcBorders>
                  <w:vAlign w:val="center"/>
                </w:tcPr>
                <w:p>
                  <w:pPr>
                    <w:pStyle w:val="23"/>
                    <w:rPr>
                      <w:color w:val="auto"/>
                    </w:rPr>
                  </w:pPr>
                  <w:r>
                    <w:rPr>
                      <w:color w:val="auto"/>
                    </w:rPr>
                    <w:t>危险废物</w:t>
                  </w:r>
                </w:p>
              </w:tc>
              <w:tc>
                <w:tcPr>
                  <w:tcW w:w="2649" w:type="pct"/>
                  <w:tcBorders>
                    <w:tl2br w:val="nil"/>
                    <w:tr2bl w:val="nil"/>
                  </w:tcBorders>
                  <w:vAlign w:val="center"/>
                </w:tcPr>
                <w:p>
                  <w:pPr>
                    <w:pStyle w:val="23"/>
                    <w:rPr>
                      <w:color w:val="auto"/>
                    </w:rPr>
                  </w:pPr>
                  <w:r>
                    <w:rPr>
                      <w:color w:val="auto"/>
                    </w:rPr>
                    <w:t>危险废物贮存于厂区东北角危废间中危废间为一层彩钢结构，定期交有资质单位处理。</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依托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tcBorders>
                    <w:tl2br w:val="nil"/>
                    <w:tr2bl w:val="nil"/>
                  </w:tcBorders>
                  <w:vAlign w:val="center"/>
                </w:tcPr>
                <w:p>
                  <w:pPr>
                    <w:pStyle w:val="23"/>
                    <w:rPr>
                      <w:color w:val="auto"/>
                    </w:rPr>
                  </w:pPr>
                </w:p>
              </w:tc>
              <w:tc>
                <w:tcPr>
                  <w:tcW w:w="672" w:type="pct"/>
                  <w:tcBorders>
                    <w:tl2br w:val="nil"/>
                    <w:tr2bl w:val="nil"/>
                  </w:tcBorders>
                  <w:vAlign w:val="center"/>
                </w:tcPr>
                <w:p>
                  <w:pPr>
                    <w:pStyle w:val="23"/>
                    <w:rPr>
                      <w:color w:val="auto"/>
                    </w:rPr>
                  </w:pPr>
                  <w:r>
                    <w:rPr>
                      <w:color w:val="auto"/>
                    </w:rPr>
                    <w:t>噪声</w:t>
                  </w:r>
                </w:p>
              </w:tc>
              <w:tc>
                <w:tcPr>
                  <w:tcW w:w="3292" w:type="pct"/>
                  <w:gridSpan w:val="2"/>
                  <w:tcBorders>
                    <w:tl2br w:val="nil"/>
                    <w:tr2bl w:val="nil"/>
                  </w:tcBorders>
                  <w:vAlign w:val="center"/>
                </w:tcPr>
                <w:p>
                  <w:pPr>
                    <w:pStyle w:val="23"/>
                    <w:rPr>
                      <w:color w:val="auto"/>
                    </w:rPr>
                  </w:pPr>
                  <w:r>
                    <w:rPr>
                      <w:color w:val="auto"/>
                    </w:rPr>
                    <w:t>设备运行过程产生噪声，通过设置减振基座、厂房隔声等措施降低噪声影响。</w:t>
                  </w:r>
                </w:p>
              </w:tc>
              <w:tc>
                <w:tcPr>
                  <w:tcW w:w="666"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tcBorders>
                    <w:tl2br w:val="nil"/>
                    <w:tr2bl w:val="nil"/>
                  </w:tcBorders>
                  <w:vAlign w:val="center"/>
                </w:tcPr>
                <w:p>
                  <w:pPr>
                    <w:pStyle w:val="23"/>
                    <w:rPr>
                      <w:color w:val="auto"/>
                    </w:rPr>
                  </w:pPr>
                  <w:r>
                    <w:rPr>
                      <w:color w:val="auto"/>
                    </w:rPr>
                    <w:t>依托工程</w:t>
                  </w:r>
                </w:p>
              </w:tc>
              <w:tc>
                <w:tcPr>
                  <w:tcW w:w="4630" w:type="pct"/>
                  <w:gridSpan w:val="4"/>
                  <w:tcBorders>
                    <w:tl2br w:val="nil"/>
                    <w:tr2bl w:val="nil"/>
                  </w:tcBorders>
                  <w:vAlign w:val="center"/>
                </w:tcPr>
                <w:p>
                  <w:pPr>
                    <w:adjustRightInd w:val="0"/>
                    <w:snapToGrid w:val="0"/>
                    <w:spacing w:line="240" w:lineRule="auto"/>
                    <w:jc w:val="both"/>
                    <w:rPr>
                      <w:rFonts w:cs="Times New Roman"/>
                      <w:sz w:val="21"/>
                      <w:szCs w:val="21"/>
                    </w:rPr>
                  </w:pPr>
                  <w:r>
                    <w:rPr>
                      <w:rFonts w:cs="Times New Roman"/>
                      <w:bCs/>
                      <w:sz w:val="21"/>
                      <w:szCs w:val="21"/>
                    </w:rPr>
                    <w:t>本项目公用工程、环保工程（一般固废暂存间和危废暂存间）等设施依托现有。周至科达路面建设材料有限公司各项基础、辅助设施已配套齐全，水、电供应等设施已配备完善，取得环评批复并通过了竣工环保验收，并</w:t>
                  </w:r>
                  <w:r>
                    <w:rPr>
                      <w:rFonts w:hint="eastAsia" w:cs="Times New Roman"/>
                      <w:bCs/>
                      <w:sz w:val="21"/>
                      <w:szCs w:val="21"/>
                    </w:rPr>
                    <w:t>申领</w:t>
                  </w:r>
                  <w:r>
                    <w:rPr>
                      <w:rFonts w:cs="Times New Roman"/>
                      <w:bCs/>
                      <w:sz w:val="21"/>
                      <w:szCs w:val="21"/>
                    </w:rPr>
                    <w:t>了排污许可。</w:t>
                  </w:r>
                </w:p>
              </w:tc>
            </w:tr>
          </w:tbl>
          <w:p>
            <w:pPr>
              <w:tabs>
                <w:tab w:val="left" w:pos="2130"/>
              </w:tabs>
              <w:ind w:firstLine="482" w:firstLineChars="200"/>
              <w:rPr>
                <w:rFonts w:cs="Times New Roman"/>
              </w:rPr>
            </w:pPr>
            <w:r>
              <w:rPr>
                <w:rFonts w:cs="Times New Roman"/>
                <w:b/>
              </w:rPr>
              <w:t>3、扩建项目产品方案</w:t>
            </w:r>
          </w:p>
          <w:p>
            <w:pPr>
              <w:ind w:firstLine="480" w:firstLineChars="200"/>
              <w:rPr>
                <w:rFonts w:cs="Times New Roman"/>
              </w:rPr>
            </w:pPr>
            <w:r>
              <w:rPr>
                <w:rFonts w:cs="Times New Roman"/>
              </w:rPr>
              <w:t>本项目建成后年产20万吨水泥稳定材料。</w:t>
            </w:r>
          </w:p>
          <w:p>
            <w:pPr>
              <w:autoSpaceDE w:val="0"/>
              <w:autoSpaceDN w:val="0"/>
              <w:adjustRightInd w:val="0"/>
              <w:snapToGrid w:val="0"/>
              <w:spacing w:line="240" w:lineRule="auto"/>
              <w:jc w:val="center"/>
              <w:rPr>
                <w:rFonts w:eastAsia="宋体" w:cs="Times New Roman"/>
                <w:b/>
                <w:sz w:val="21"/>
                <w:szCs w:val="21"/>
                <w:lang w:val="zh-CN" w:bidi="zh-CN"/>
              </w:rPr>
            </w:pPr>
            <w:r>
              <w:rPr>
                <w:rFonts w:eastAsia="宋体" w:cs="Times New Roman"/>
                <w:b/>
                <w:sz w:val="21"/>
                <w:szCs w:val="21"/>
                <w:lang w:val="zh-CN" w:bidi="zh-CN"/>
              </w:rPr>
              <w:t>表2-2 扩建项目生产规模一览表</w:t>
            </w:r>
          </w:p>
          <w:tbl>
            <w:tblPr>
              <w:tblStyle w:val="18"/>
              <w:tblW w:w="4997"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443"/>
              <w:gridCol w:w="2687"/>
              <w:gridCol w:w="314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6" w:type="pct"/>
                  <w:tcBorders>
                    <w:tl2br w:val="nil"/>
                    <w:tr2bl w:val="nil"/>
                  </w:tcBorders>
                  <w:vAlign w:val="center"/>
                </w:tcPr>
                <w:p>
                  <w:pPr>
                    <w:adjustRightInd w:val="0"/>
                    <w:snapToGrid w:val="0"/>
                    <w:spacing w:line="240" w:lineRule="auto"/>
                    <w:jc w:val="center"/>
                    <w:rPr>
                      <w:rFonts w:cs="Times New Roman"/>
                      <w:b/>
                      <w:sz w:val="21"/>
                      <w:szCs w:val="21"/>
                    </w:rPr>
                  </w:pPr>
                  <w:r>
                    <w:rPr>
                      <w:rFonts w:cs="Times New Roman"/>
                      <w:b/>
                      <w:sz w:val="21"/>
                      <w:szCs w:val="21"/>
                    </w:rPr>
                    <w:t>产品名称</w:t>
                  </w:r>
                </w:p>
              </w:tc>
              <w:tc>
                <w:tcPr>
                  <w:tcW w:w="1448" w:type="pct"/>
                  <w:tcBorders>
                    <w:tl2br w:val="nil"/>
                    <w:tr2bl w:val="nil"/>
                  </w:tcBorders>
                  <w:vAlign w:val="center"/>
                </w:tcPr>
                <w:p>
                  <w:pPr>
                    <w:adjustRightInd w:val="0"/>
                    <w:snapToGrid w:val="0"/>
                    <w:spacing w:line="240" w:lineRule="auto"/>
                    <w:jc w:val="center"/>
                    <w:rPr>
                      <w:rFonts w:cs="Times New Roman"/>
                      <w:b/>
                      <w:sz w:val="21"/>
                      <w:szCs w:val="21"/>
                    </w:rPr>
                  </w:pPr>
                  <w:r>
                    <w:rPr>
                      <w:rFonts w:cs="Times New Roman"/>
                      <w:b/>
                      <w:sz w:val="21"/>
                      <w:szCs w:val="21"/>
                    </w:rPr>
                    <w:t>年产量</w:t>
                  </w:r>
                </w:p>
              </w:tc>
              <w:tc>
                <w:tcPr>
                  <w:tcW w:w="1695" w:type="pct"/>
                  <w:tcBorders>
                    <w:tl2br w:val="nil"/>
                    <w:tr2bl w:val="nil"/>
                  </w:tcBorders>
                  <w:vAlign w:val="center"/>
                </w:tcPr>
                <w:p>
                  <w:pPr>
                    <w:adjustRightInd w:val="0"/>
                    <w:snapToGrid w:val="0"/>
                    <w:spacing w:line="240" w:lineRule="auto"/>
                    <w:jc w:val="center"/>
                    <w:rPr>
                      <w:rFonts w:cs="Times New Roman"/>
                      <w:b/>
                      <w:sz w:val="21"/>
                      <w:szCs w:val="21"/>
                    </w:rPr>
                  </w:pPr>
                  <w:r>
                    <w:rPr>
                      <w:rFonts w:cs="Times New Roman"/>
                      <w:b/>
                      <w:sz w:val="21"/>
                      <w:szCs w:val="21"/>
                    </w:rPr>
                    <w:t>用途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6" w:type="pct"/>
                  <w:tcBorders>
                    <w:tl2br w:val="nil"/>
                    <w:tr2bl w:val="nil"/>
                  </w:tcBorders>
                  <w:vAlign w:val="center"/>
                </w:tcPr>
                <w:p>
                  <w:pPr>
                    <w:adjustRightInd w:val="0"/>
                    <w:snapToGrid w:val="0"/>
                    <w:spacing w:line="240" w:lineRule="auto"/>
                    <w:jc w:val="center"/>
                    <w:rPr>
                      <w:rFonts w:cs="Times New Roman"/>
                      <w:bCs/>
                      <w:sz w:val="21"/>
                      <w:szCs w:val="21"/>
                    </w:rPr>
                  </w:pPr>
                  <w:r>
                    <w:rPr>
                      <w:rFonts w:cs="Times New Roman"/>
                      <w:bCs/>
                      <w:sz w:val="21"/>
                      <w:szCs w:val="21"/>
                    </w:rPr>
                    <w:t>水泥稳定材料</w:t>
                  </w:r>
                </w:p>
              </w:tc>
              <w:tc>
                <w:tcPr>
                  <w:tcW w:w="1448" w:type="pct"/>
                  <w:tcBorders>
                    <w:tl2br w:val="nil"/>
                    <w:tr2bl w:val="nil"/>
                  </w:tcBorders>
                  <w:vAlign w:val="center"/>
                </w:tcPr>
                <w:p>
                  <w:pPr>
                    <w:adjustRightInd w:val="0"/>
                    <w:snapToGrid w:val="0"/>
                    <w:spacing w:line="240" w:lineRule="auto"/>
                    <w:jc w:val="center"/>
                    <w:rPr>
                      <w:rFonts w:cs="Times New Roman"/>
                      <w:bCs/>
                      <w:sz w:val="21"/>
                      <w:szCs w:val="21"/>
                    </w:rPr>
                  </w:pPr>
                  <w:r>
                    <w:rPr>
                      <w:rFonts w:cs="Times New Roman"/>
                      <w:bCs/>
                      <w:sz w:val="21"/>
                      <w:szCs w:val="21"/>
                    </w:rPr>
                    <w:t>20万吨</w:t>
                  </w:r>
                </w:p>
              </w:tc>
              <w:tc>
                <w:tcPr>
                  <w:tcW w:w="1695" w:type="pct"/>
                  <w:tcBorders>
                    <w:tl2br w:val="nil"/>
                    <w:tr2bl w:val="nil"/>
                  </w:tcBorders>
                  <w:vAlign w:val="center"/>
                </w:tcPr>
                <w:p>
                  <w:pPr>
                    <w:adjustRightInd w:val="0"/>
                    <w:snapToGrid w:val="0"/>
                    <w:spacing w:line="240" w:lineRule="auto"/>
                    <w:jc w:val="center"/>
                    <w:rPr>
                      <w:rFonts w:cs="Times New Roman"/>
                      <w:bCs/>
                      <w:sz w:val="21"/>
                      <w:szCs w:val="21"/>
                    </w:rPr>
                  </w:pPr>
                  <w:r>
                    <w:rPr>
                      <w:rFonts w:cs="Times New Roman"/>
                      <w:bCs/>
                      <w:sz w:val="21"/>
                      <w:szCs w:val="21"/>
                    </w:rPr>
                    <w:t>用于公路的基层和底基层</w:t>
                  </w:r>
                </w:p>
              </w:tc>
            </w:tr>
          </w:tbl>
          <w:p>
            <w:pPr>
              <w:ind w:firstLine="482" w:firstLineChars="200"/>
              <w:rPr>
                <w:rFonts w:cs="Times New Roman"/>
                <w:b/>
                <w:bCs/>
              </w:rPr>
            </w:pPr>
            <w:r>
              <w:rPr>
                <w:rFonts w:cs="Times New Roman"/>
                <w:b/>
              </w:rPr>
              <w:t>4、主要原辅材</w:t>
            </w:r>
            <w:r>
              <w:rPr>
                <w:rFonts w:cs="Times New Roman"/>
                <w:b/>
                <w:bCs/>
              </w:rPr>
              <w:t>料</w:t>
            </w:r>
          </w:p>
          <w:p>
            <w:pPr>
              <w:ind w:firstLine="480" w:firstLineChars="200"/>
              <w:rPr>
                <w:rFonts w:eastAsia="宋体" w:cs="Times New Roman"/>
              </w:rPr>
            </w:pPr>
            <w:r>
              <w:rPr>
                <w:rFonts w:cs="Times New Roman"/>
              </w:rPr>
              <w:t>（1）原辅材料用量</w:t>
            </w:r>
          </w:p>
          <w:p>
            <w:pPr>
              <w:ind w:firstLine="480" w:firstLineChars="200"/>
              <w:rPr>
                <w:rFonts w:cs="Times New Roman"/>
                <w:bCs/>
              </w:rPr>
            </w:pPr>
            <w:r>
              <w:rPr>
                <w:rFonts w:cs="Times New Roman"/>
              </w:rPr>
              <w:t>根据建设单位提供资料，</w:t>
            </w:r>
            <w:r>
              <w:rPr>
                <w:rFonts w:cs="Times New Roman"/>
                <w:bCs/>
              </w:rPr>
              <w:t>本</w:t>
            </w:r>
            <w:r>
              <w:rPr>
                <w:rFonts w:cs="Times New Roman"/>
              </w:rPr>
              <w:t>项目能耗和主要原辅材料情况</w:t>
            </w:r>
            <w:r>
              <w:rPr>
                <w:rFonts w:cs="Times New Roman"/>
                <w:bCs/>
              </w:rPr>
              <w:t>见下表。</w:t>
            </w:r>
          </w:p>
          <w:p>
            <w:pPr>
              <w:autoSpaceDE w:val="0"/>
              <w:autoSpaceDN w:val="0"/>
              <w:spacing w:line="240" w:lineRule="auto"/>
              <w:jc w:val="center"/>
              <w:rPr>
                <w:rFonts w:eastAsia="宋体" w:cs="Times New Roman"/>
                <w:b/>
                <w:sz w:val="21"/>
                <w:szCs w:val="21"/>
                <w:lang w:val="zh-CN" w:bidi="zh-CN"/>
              </w:rPr>
            </w:pPr>
            <w:r>
              <w:rPr>
                <w:rFonts w:eastAsia="宋体" w:cs="Times New Roman"/>
                <w:b/>
                <w:sz w:val="21"/>
                <w:szCs w:val="21"/>
                <w:lang w:val="zh-CN" w:bidi="zh-CN"/>
              </w:rPr>
              <w:t>表2-3 主要原辅材料一览表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108" w:type="dxa"/>
                <w:bottom w:w="0" w:type="dxa"/>
                <w:right w:w="108" w:type="dxa"/>
              </w:tblCellMar>
            </w:tblPr>
            <w:tblGrid>
              <w:gridCol w:w="559"/>
              <w:gridCol w:w="859"/>
              <w:gridCol w:w="1242"/>
              <w:gridCol w:w="1559"/>
              <w:gridCol w:w="1275"/>
              <w:gridCol w:w="1702"/>
              <w:gridCol w:w="2085"/>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spacing w:line="240" w:lineRule="auto"/>
                    <w:jc w:val="center"/>
                    <w:rPr>
                      <w:rFonts w:cs="Times New Roman"/>
                      <w:b/>
                      <w:bCs/>
                      <w:sz w:val="21"/>
                      <w:szCs w:val="21"/>
                    </w:rPr>
                  </w:pPr>
                  <w:r>
                    <w:rPr>
                      <w:rFonts w:cs="Times New Roman"/>
                      <w:b/>
                      <w:bCs/>
                      <w:sz w:val="21"/>
                      <w:szCs w:val="21"/>
                    </w:rPr>
                    <w:t>序号</w:t>
                  </w:r>
                </w:p>
              </w:tc>
              <w:tc>
                <w:tcPr>
                  <w:tcW w:w="1132" w:type="pct"/>
                  <w:gridSpan w:val="2"/>
                  <w:vAlign w:val="center"/>
                </w:tcPr>
                <w:p>
                  <w:pPr>
                    <w:spacing w:line="240" w:lineRule="auto"/>
                    <w:jc w:val="center"/>
                    <w:rPr>
                      <w:rFonts w:cs="Times New Roman"/>
                      <w:b/>
                      <w:bCs/>
                      <w:sz w:val="21"/>
                      <w:szCs w:val="21"/>
                    </w:rPr>
                  </w:pPr>
                  <w:r>
                    <w:rPr>
                      <w:rFonts w:cs="Times New Roman"/>
                      <w:b/>
                      <w:bCs/>
                      <w:sz w:val="21"/>
                      <w:szCs w:val="21"/>
                    </w:rPr>
                    <w:t>名   称</w:t>
                  </w:r>
                </w:p>
              </w:tc>
              <w:tc>
                <w:tcPr>
                  <w:tcW w:w="840" w:type="pct"/>
                  <w:vAlign w:val="center"/>
                </w:tcPr>
                <w:p>
                  <w:pPr>
                    <w:spacing w:line="240" w:lineRule="auto"/>
                    <w:jc w:val="center"/>
                    <w:rPr>
                      <w:rFonts w:cs="Times New Roman"/>
                      <w:b/>
                      <w:bCs/>
                      <w:sz w:val="21"/>
                      <w:szCs w:val="21"/>
                    </w:rPr>
                  </w:pPr>
                  <w:r>
                    <w:rPr>
                      <w:rFonts w:cs="Times New Roman"/>
                      <w:b/>
                      <w:bCs/>
                      <w:sz w:val="21"/>
                      <w:szCs w:val="21"/>
                    </w:rPr>
                    <w:t>单位</w:t>
                  </w:r>
                </w:p>
              </w:tc>
              <w:tc>
                <w:tcPr>
                  <w:tcW w:w="687" w:type="pct"/>
                  <w:vAlign w:val="center"/>
                </w:tcPr>
                <w:p>
                  <w:pPr>
                    <w:spacing w:line="240" w:lineRule="auto"/>
                    <w:jc w:val="center"/>
                    <w:rPr>
                      <w:rFonts w:eastAsia="宋体" w:cs="Times New Roman"/>
                      <w:b/>
                      <w:bCs/>
                      <w:sz w:val="21"/>
                      <w:szCs w:val="21"/>
                    </w:rPr>
                  </w:pPr>
                  <w:r>
                    <w:rPr>
                      <w:rFonts w:cs="Times New Roman"/>
                      <w:b/>
                      <w:bCs/>
                      <w:sz w:val="21"/>
                      <w:szCs w:val="21"/>
                    </w:rPr>
                    <w:t>年用量</w:t>
                  </w:r>
                </w:p>
              </w:tc>
              <w:tc>
                <w:tcPr>
                  <w:tcW w:w="917" w:type="pct"/>
                  <w:vAlign w:val="center"/>
                </w:tcPr>
                <w:p>
                  <w:pPr>
                    <w:spacing w:line="240" w:lineRule="auto"/>
                    <w:jc w:val="center"/>
                    <w:rPr>
                      <w:rFonts w:cs="Times New Roman"/>
                      <w:b/>
                      <w:bCs/>
                      <w:sz w:val="21"/>
                      <w:szCs w:val="21"/>
                    </w:rPr>
                  </w:pPr>
                  <w:r>
                    <w:rPr>
                      <w:rFonts w:hint="eastAsia" w:cs="Times New Roman"/>
                      <w:b/>
                      <w:bCs/>
                      <w:sz w:val="21"/>
                      <w:szCs w:val="21"/>
                    </w:rPr>
                    <w:t>最大储存量</w:t>
                  </w:r>
                </w:p>
              </w:tc>
              <w:tc>
                <w:tcPr>
                  <w:tcW w:w="1123" w:type="pct"/>
                  <w:vAlign w:val="center"/>
                </w:tcPr>
                <w:p>
                  <w:pPr>
                    <w:spacing w:line="240" w:lineRule="auto"/>
                    <w:jc w:val="center"/>
                    <w:rPr>
                      <w:rFonts w:cs="Times New Roman"/>
                      <w:b/>
                      <w:bCs/>
                      <w:sz w:val="21"/>
                      <w:szCs w:val="21"/>
                    </w:rPr>
                  </w:pPr>
                  <w:r>
                    <w:rPr>
                      <w:rFonts w:cs="Times New Roman"/>
                      <w:b/>
                      <w:bCs/>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widowControl/>
                    <w:spacing w:line="240" w:lineRule="auto"/>
                    <w:jc w:val="center"/>
                    <w:rPr>
                      <w:rFonts w:cs="Times New Roman"/>
                      <w:sz w:val="21"/>
                      <w:szCs w:val="21"/>
                    </w:rPr>
                  </w:pPr>
                  <w:r>
                    <w:rPr>
                      <w:rFonts w:cs="Times New Roman"/>
                      <w:sz w:val="21"/>
                      <w:szCs w:val="21"/>
                    </w:rPr>
                    <w:t>1</w:t>
                  </w:r>
                </w:p>
              </w:tc>
              <w:tc>
                <w:tcPr>
                  <w:tcW w:w="1132" w:type="pct"/>
                  <w:gridSpan w:val="2"/>
                  <w:vAlign w:val="center"/>
                </w:tcPr>
                <w:p>
                  <w:pPr>
                    <w:spacing w:line="240" w:lineRule="auto"/>
                    <w:jc w:val="center"/>
                    <w:rPr>
                      <w:rFonts w:cs="Times New Roman"/>
                      <w:sz w:val="21"/>
                      <w:szCs w:val="21"/>
                    </w:rPr>
                  </w:pPr>
                  <w:r>
                    <w:rPr>
                      <w:rFonts w:cs="Times New Roman"/>
                      <w:sz w:val="21"/>
                      <w:szCs w:val="21"/>
                    </w:rPr>
                    <w:t>水泥</w:t>
                  </w:r>
                </w:p>
              </w:tc>
              <w:tc>
                <w:tcPr>
                  <w:tcW w:w="840" w:type="pct"/>
                  <w:vAlign w:val="center"/>
                </w:tcPr>
                <w:p>
                  <w:pPr>
                    <w:widowControl/>
                    <w:spacing w:line="240" w:lineRule="auto"/>
                    <w:jc w:val="center"/>
                    <w:rPr>
                      <w:rFonts w:eastAsia="宋体" w:cs="Times New Roman"/>
                      <w:kern w:val="0"/>
                      <w:sz w:val="21"/>
                      <w:szCs w:val="21"/>
                      <w:lang w:bidi="ar"/>
                    </w:rPr>
                  </w:pPr>
                  <w:r>
                    <w:rPr>
                      <w:rFonts w:cs="Times New Roman"/>
                      <w:kern w:val="0"/>
                      <w:sz w:val="21"/>
                      <w:szCs w:val="21"/>
                      <w:lang w:bidi="ar"/>
                    </w:rPr>
                    <w:t>吨</w:t>
                  </w:r>
                </w:p>
              </w:tc>
              <w:tc>
                <w:tcPr>
                  <w:tcW w:w="687" w:type="pct"/>
                  <w:vAlign w:val="center"/>
                </w:tcPr>
                <w:p>
                  <w:pPr>
                    <w:widowControl/>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8000</w:t>
                  </w:r>
                </w:p>
              </w:tc>
              <w:tc>
                <w:tcPr>
                  <w:tcW w:w="917" w:type="pct"/>
                  <w:vAlign w:val="center"/>
                </w:tcPr>
                <w:p>
                  <w:pPr>
                    <w:spacing w:line="240" w:lineRule="auto"/>
                    <w:jc w:val="center"/>
                    <w:rPr>
                      <w:rFonts w:cs="Times New Roman"/>
                      <w:sz w:val="21"/>
                      <w:szCs w:val="21"/>
                    </w:rPr>
                  </w:pPr>
                  <w:r>
                    <w:rPr>
                      <w:rFonts w:hint="eastAsia" w:cs="Times New Roman"/>
                      <w:sz w:val="21"/>
                      <w:szCs w:val="21"/>
                    </w:rPr>
                    <w:t>2</w:t>
                  </w:r>
                  <w:r>
                    <w:rPr>
                      <w:rFonts w:cs="Times New Roman"/>
                      <w:sz w:val="21"/>
                      <w:szCs w:val="21"/>
                    </w:rPr>
                    <w:t>00</w:t>
                  </w:r>
                </w:p>
              </w:tc>
              <w:tc>
                <w:tcPr>
                  <w:tcW w:w="1123" w:type="pct"/>
                  <w:vAlign w:val="center"/>
                </w:tcPr>
                <w:p>
                  <w:pPr>
                    <w:spacing w:line="240" w:lineRule="auto"/>
                    <w:jc w:val="center"/>
                    <w:rPr>
                      <w:rFonts w:cs="Times New Roman"/>
                      <w:sz w:val="21"/>
                      <w:szCs w:val="21"/>
                    </w:rPr>
                  </w:pPr>
                  <w:r>
                    <w:rPr>
                      <w:rFonts w:cs="Times New Roman"/>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widowControl/>
                    <w:spacing w:line="240" w:lineRule="auto"/>
                    <w:jc w:val="center"/>
                    <w:rPr>
                      <w:rFonts w:cs="Times New Roman"/>
                      <w:sz w:val="21"/>
                      <w:szCs w:val="21"/>
                    </w:rPr>
                  </w:pPr>
                  <w:r>
                    <w:rPr>
                      <w:rFonts w:cs="Times New Roman"/>
                      <w:sz w:val="21"/>
                      <w:szCs w:val="21"/>
                    </w:rPr>
                    <w:t>2</w:t>
                  </w:r>
                </w:p>
              </w:tc>
              <w:tc>
                <w:tcPr>
                  <w:tcW w:w="1132" w:type="pct"/>
                  <w:gridSpan w:val="2"/>
                  <w:vAlign w:val="center"/>
                </w:tcPr>
                <w:p>
                  <w:pPr>
                    <w:spacing w:line="240" w:lineRule="auto"/>
                    <w:jc w:val="center"/>
                    <w:rPr>
                      <w:rFonts w:cs="Times New Roman"/>
                      <w:sz w:val="21"/>
                      <w:szCs w:val="21"/>
                    </w:rPr>
                  </w:pPr>
                  <w:r>
                    <w:rPr>
                      <w:rFonts w:cs="Times New Roman"/>
                      <w:sz w:val="21"/>
                      <w:szCs w:val="21"/>
                    </w:rPr>
                    <w:t>石子</w:t>
                  </w:r>
                </w:p>
              </w:tc>
              <w:tc>
                <w:tcPr>
                  <w:tcW w:w="840" w:type="pct"/>
                  <w:vAlign w:val="center"/>
                </w:tcPr>
                <w:p>
                  <w:pPr>
                    <w:widowControl/>
                    <w:spacing w:line="240" w:lineRule="auto"/>
                    <w:jc w:val="center"/>
                    <w:rPr>
                      <w:rFonts w:eastAsia="宋体" w:cs="Times New Roman"/>
                      <w:kern w:val="0"/>
                      <w:sz w:val="21"/>
                      <w:szCs w:val="21"/>
                      <w:lang w:bidi="ar"/>
                    </w:rPr>
                  </w:pPr>
                  <w:r>
                    <w:rPr>
                      <w:rFonts w:cs="Times New Roman"/>
                      <w:kern w:val="0"/>
                      <w:sz w:val="21"/>
                      <w:szCs w:val="21"/>
                      <w:lang w:bidi="ar"/>
                    </w:rPr>
                    <w:t>吨</w:t>
                  </w:r>
                </w:p>
              </w:tc>
              <w:tc>
                <w:tcPr>
                  <w:tcW w:w="687" w:type="pct"/>
                  <w:vAlign w:val="center"/>
                </w:tcPr>
                <w:p>
                  <w:pPr>
                    <w:widowControl/>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60000</w:t>
                  </w:r>
                </w:p>
              </w:tc>
              <w:tc>
                <w:tcPr>
                  <w:tcW w:w="917" w:type="pct"/>
                  <w:vAlign w:val="center"/>
                </w:tcPr>
                <w:p>
                  <w:pPr>
                    <w:spacing w:line="240" w:lineRule="auto"/>
                    <w:jc w:val="center"/>
                    <w:rPr>
                      <w:rFonts w:cs="Times New Roman"/>
                      <w:sz w:val="21"/>
                      <w:szCs w:val="21"/>
                    </w:rPr>
                  </w:pPr>
                  <w:r>
                    <w:rPr>
                      <w:rFonts w:hint="eastAsia" w:cs="Times New Roman"/>
                      <w:sz w:val="21"/>
                      <w:szCs w:val="21"/>
                    </w:rPr>
                    <w:t>5</w:t>
                  </w:r>
                  <w:r>
                    <w:rPr>
                      <w:rFonts w:cs="Times New Roman"/>
                      <w:sz w:val="21"/>
                      <w:szCs w:val="21"/>
                    </w:rPr>
                    <w:t>000</w:t>
                  </w:r>
                </w:p>
              </w:tc>
              <w:tc>
                <w:tcPr>
                  <w:tcW w:w="1123" w:type="pct"/>
                  <w:vAlign w:val="center"/>
                </w:tcPr>
                <w:p>
                  <w:pPr>
                    <w:spacing w:line="240" w:lineRule="auto"/>
                    <w:jc w:val="center"/>
                    <w:rPr>
                      <w:rFonts w:cs="Times New Roman"/>
                      <w:sz w:val="21"/>
                      <w:szCs w:val="21"/>
                    </w:rPr>
                  </w:pPr>
                  <w:r>
                    <w:rPr>
                      <w:rFonts w:cs="Times New Roman"/>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widowControl/>
                    <w:spacing w:line="240" w:lineRule="auto"/>
                    <w:jc w:val="center"/>
                    <w:rPr>
                      <w:rFonts w:cs="Times New Roman"/>
                      <w:sz w:val="21"/>
                      <w:szCs w:val="21"/>
                    </w:rPr>
                  </w:pPr>
                  <w:r>
                    <w:rPr>
                      <w:rFonts w:cs="Times New Roman"/>
                      <w:sz w:val="21"/>
                      <w:szCs w:val="21"/>
                    </w:rPr>
                    <w:t>3</w:t>
                  </w:r>
                </w:p>
              </w:tc>
              <w:tc>
                <w:tcPr>
                  <w:tcW w:w="1132" w:type="pct"/>
                  <w:gridSpan w:val="2"/>
                  <w:vAlign w:val="center"/>
                </w:tcPr>
                <w:p>
                  <w:pPr>
                    <w:spacing w:line="240" w:lineRule="auto"/>
                    <w:jc w:val="center"/>
                    <w:rPr>
                      <w:rFonts w:cs="Times New Roman"/>
                      <w:sz w:val="21"/>
                      <w:szCs w:val="21"/>
                    </w:rPr>
                  </w:pPr>
                  <w:r>
                    <w:rPr>
                      <w:rFonts w:cs="Times New Roman"/>
                      <w:sz w:val="21"/>
                      <w:szCs w:val="21"/>
                    </w:rPr>
                    <w:t>砂子</w:t>
                  </w:r>
                </w:p>
              </w:tc>
              <w:tc>
                <w:tcPr>
                  <w:tcW w:w="840" w:type="pct"/>
                  <w:vAlign w:val="center"/>
                </w:tcPr>
                <w:p>
                  <w:pPr>
                    <w:widowControl/>
                    <w:spacing w:line="240" w:lineRule="auto"/>
                    <w:jc w:val="center"/>
                    <w:rPr>
                      <w:rFonts w:eastAsia="宋体" w:cs="Times New Roman"/>
                      <w:kern w:val="0"/>
                      <w:sz w:val="21"/>
                      <w:szCs w:val="21"/>
                      <w:lang w:bidi="ar"/>
                    </w:rPr>
                  </w:pPr>
                  <w:r>
                    <w:rPr>
                      <w:rFonts w:cs="Times New Roman"/>
                      <w:kern w:val="0"/>
                      <w:sz w:val="21"/>
                      <w:szCs w:val="21"/>
                      <w:lang w:bidi="ar"/>
                    </w:rPr>
                    <w:t>吨</w:t>
                  </w:r>
                </w:p>
              </w:tc>
              <w:tc>
                <w:tcPr>
                  <w:tcW w:w="687" w:type="pct"/>
                  <w:vAlign w:val="center"/>
                </w:tcPr>
                <w:p>
                  <w:pPr>
                    <w:widowControl/>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130000</w:t>
                  </w:r>
                </w:p>
              </w:tc>
              <w:tc>
                <w:tcPr>
                  <w:tcW w:w="917" w:type="pct"/>
                  <w:vAlign w:val="center"/>
                </w:tcPr>
                <w:p>
                  <w:pPr>
                    <w:spacing w:line="240" w:lineRule="auto"/>
                    <w:jc w:val="center"/>
                    <w:rPr>
                      <w:rFonts w:cs="Times New Roman"/>
                      <w:sz w:val="21"/>
                      <w:szCs w:val="21"/>
                    </w:rPr>
                  </w:pPr>
                  <w:r>
                    <w:rPr>
                      <w:rFonts w:hint="eastAsia" w:cs="Times New Roman"/>
                      <w:sz w:val="21"/>
                      <w:szCs w:val="21"/>
                    </w:rPr>
                    <w:t>3</w:t>
                  </w:r>
                  <w:r>
                    <w:rPr>
                      <w:rFonts w:cs="Times New Roman"/>
                      <w:sz w:val="21"/>
                      <w:szCs w:val="21"/>
                    </w:rPr>
                    <w:t>0000</w:t>
                  </w:r>
                </w:p>
              </w:tc>
              <w:tc>
                <w:tcPr>
                  <w:tcW w:w="1123" w:type="pct"/>
                  <w:vAlign w:val="center"/>
                </w:tcPr>
                <w:p>
                  <w:pPr>
                    <w:spacing w:line="240" w:lineRule="auto"/>
                    <w:jc w:val="center"/>
                    <w:rPr>
                      <w:rFonts w:cs="Times New Roman"/>
                      <w:sz w:val="21"/>
                      <w:szCs w:val="21"/>
                    </w:rPr>
                  </w:pPr>
                  <w:r>
                    <w:rPr>
                      <w:rFonts w:cs="Times New Roman"/>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widowControl/>
                    <w:spacing w:line="240" w:lineRule="auto"/>
                    <w:jc w:val="center"/>
                    <w:rPr>
                      <w:rFonts w:cs="Times New Roman"/>
                      <w:sz w:val="21"/>
                      <w:szCs w:val="21"/>
                    </w:rPr>
                  </w:pPr>
                  <w:r>
                    <w:rPr>
                      <w:rFonts w:hint="eastAsia" w:cs="Times New Roman"/>
                      <w:sz w:val="21"/>
                      <w:szCs w:val="21"/>
                    </w:rPr>
                    <w:t>4</w:t>
                  </w:r>
                </w:p>
              </w:tc>
              <w:tc>
                <w:tcPr>
                  <w:tcW w:w="1132" w:type="pct"/>
                  <w:gridSpan w:val="2"/>
                  <w:vAlign w:val="center"/>
                </w:tcPr>
                <w:p>
                  <w:pPr>
                    <w:spacing w:line="240" w:lineRule="auto"/>
                    <w:jc w:val="center"/>
                    <w:rPr>
                      <w:rFonts w:cs="Times New Roman"/>
                      <w:sz w:val="21"/>
                      <w:szCs w:val="21"/>
                    </w:rPr>
                  </w:pPr>
                  <w:r>
                    <w:rPr>
                      <w:rFonts w:hint="eastAsia" w:cs="Times New Roman"/>
                      <w:sz w:val="21"/>
                      <w:szCs w:val="21"/>
                    </w:rPr>
                    <w:t>沥青</w:t>
                  </w:r>
                </w:p>
              </w:tc>
              <w:tc>
                <w:tcPr>
                  <w:tcW w:w="840" w:type="pct"/>
                  <w:vAlign w:val="center"/>
                </w:tcPr>
                <w:p>
                  <w:pPr>
                    <w:widowControl/>
                    <w:spacing w:line="240" w:lineRule="auto"/>
                    <w:jc w:val="center"/>
                    <w:rPr>
                      <w:rFonts w:cs="Times New Roman"/>
                      <w:kern w:val="0"/>
                      <w:sz w:val="21"/>
                      <w:szCs w:val="21"/>
                      <w:lang w:bidi="ar"/>
                    </w:rPr>
                  </w:pPr>
                  <w:r>
                    <w:rPr>
                      <w:rFonts w:cs="Times New Roman"/>
                      <w:kern w:val="0"/>
                      <w:sz w:val="21"/>
                      <w:szCs w:val="21"/>
                      <w:lang w:bidi="ar"/>
                    </w:rPr>
                    <w:t>吨</w:t>
                  </w:r>
                </w:p>
              </w:tc>
              <w:tc>
                <w:tcPr>
                  <w:tcW w:w="687" w:type="pct"/>
                  <w:vAlign w:val="center"/>
                </w:tcPr>
                <w:p>
                  <w:pPr>
                    <w:widowControl/>
                    <w:spacing w:line="240" w:lineRule="auto"/>
                    <w:jc w:val="center"/>
                    <w:textAlignment w:val="center"/>
                    <w:rPr>
                      <w:rFonts w:eastAsia="宋体" w:cs="Times New Roman"/>
                      <w:kern w:val="0"/>
                      <w:sz w:val="21"/>
                      <w:szCs w:val="21"/>
                      <w:lang w:bidi="ar"/>
                    </w:rPr>
                  </w:pPr>
                  <w:r>
                    <w:rPr>
                      <w:rFonts w:hint="eastAsia" w:eastAsia="宋体" w:cs="Times New Roman"/>
                      <w:kern w:val="0"/>
                      <w:sz w:val="21"/>
                      <w:szCs w:val="21"/>
                      <w:lang w:bidi="ar"/>
                    </w:rPr>
                    <w:t>0</w:t>
                  </w:r>
                </w:p>
              </w:tc>
              <w:tc>
                <w:tcPr>
                  <w:tcW w:w="917" w:type="pct"/>
                  <w:vAlign w:val="center"/>
                </w:tcPr>
                <w:p>
                  <w:pPr>
                    <w:spacing w:line="240" w:lineRule="auto"/>
                    <w:jc w:val="center"/>
                    <w:rPr>
                      <w:rFonts w:cs="Times New Roman"/>
                      <w:sz w:val="21"/>
                      <w:szCs w:val="21"/>
                    </w:rPr>
                  </w:pPr>
                  <w:r>
                    <w:rPr>
                      <w:rFonts w:hint="eastAsia" w:cs="Times New Roman"/>
                      <w:sz w:val="21"/>
                      <w:szCs w:val="21"/>
                    </w:rPr>
                    <w:t>3</w:t>
                  </w:r>
                  <w:r>
                    <w:rPr>
                      <w:rFonts w:cs="Times New Roman"/>
                      <w:sz w:val="21"/>
                      <w:szCs w:val="21"/>
                    </w:rPr>
                    <w:t>60</w:t>
                  </w:r>
                </w:p>
              </w:tc>
              <w:tc>
                <w:tcPr>
                  <w:tcW w:w="1123" w:type="pct"/>
                  <w:vAlign w:val="center"/>
                </w:tcPr>
                <w:p>
                  <w:pPr>
                    <w:spacing w:line="240" w:lineRule="auto"/>
                    <w:jc w:val="center"/>
                    <w:rPr>
                      <w:rFonts w:cs="Times New Roman"/>
                      <w:sz w:val="21"/>
                      <w:szCs w:val="21"/>
                    </w:rPr>
                  </w:pPr>
                  <w:r>
                    <w:rPr>
                      <w:rFonts w:hint="eastAsia" w:cs="Times New Roman"/>
                      <w:sz w:val="21"/>
                      <w:szCs w:val="21"/>
                    </w:rPr>
                    <w:t>沥青用量不增加，仅增加储存能力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widowControl/>
                    <w:spacing w:line="240" w:lineRule="auto"/>
                    <w:jc w:val="center"/>
                    <w:rPr>
                      <w:rFonts w:cs="Times New Roman"/>
                      <w:sz w:val="21"/>
                      <w:szCs w:val="21"/>
                    </w:rPr>
                  </w:pPr>
                  <w:r>
                    <w:rPr>
                      <w:rFonts w:cs="Times New Roman"/>
                      <w:sz w:val="21"/>
                      <w:szCs w:val="21"/>
                    </w:rPr>
                    <w:t>5</w:t>
                  </w:r>
                </w:p>
              </w:tc>
              <w:tc>
                <w:tcPr>
                  <w:tcW w:w="463" w:type="pct"/>
                  <w:vAlign w:val="center"/>
                </w:tcPr>
                <w:p>
                  <w:pPr>
                    <w:spacing w:line="240" w:lineRule="auto"/>
                    <w:jc w:val="center"/>
                    <w:rPr>
                      <w:rFonts w:cs="Times New Roman"/>
                      <w:sz w:val="21"/>
                      <w:szCs w:val="21"/>
                    </w:rPr>
                  </w:pPr>
                  <w:r>
                    <w:rPr>
                      <w:rFonts w:cs="Times New Roman"/>
                      <w:sz w:val="21"/>
                      <w:szCs w:val="21"/>
                    </w:rPr>
                    <w:t>辅料</w:t>
                  </w:r>
                </w:p>
              </w:tc>
              <w:tc>
                <w:tcPr>
                  <w:tcW w:w="669" w:type="pct"/>
                  <w:vAlign w:val="center"/>
                </w:tcPr>
                <w:p>
                  <w:pPr>
                    <w:spacing w:line="240" w:lineRule="auto"/>
                    <w:jc w:val="center"/>
                    <w:rPr>
                      <w:rFonts w:cs="Times New Roman"/>
                      <w:sz w:val="21"/>
                      <w:szCs w:val="21"/>
                    </w:rPr>
                  </w:pPr>
                  <w:r>
                    <w:rPr>
                      <w:rFonts w:cs="Times New Roman"/>
                      <w:sz w:val="21"/>
                      <w:szCs w:val="21"/>
                    </w:rPr>
                    <w:t>机油</w:t>
                  </w:r>
                </w:p>
              </w:tc>
              <w:tc>
                <w:tcPr>
                  <w:tcW w:w="840" w:type="pct"/>
                  <w:vAlign w:val="center"/>
                </w:tcPr>
                <w:p>
                  <w:pPr>
                    <w:widowControl/>
                    <w:spacing w:line="240" w:lineRule="auto"/>
                    <w:jc w:val="center"/>
                    <w:rPr>
                      <w:rFonts w:cs="Times New Roman"/>
                      <w:kern w:val="0"/>
                      <w:sz w:val="21"/>
                      <w:szCs w:val="21"/>
                      <w:lang w:bidi="ar"/>
                    </w:rPr>
                  </w:pPr>
                  <w:r>
                    <w:rPr>
                      <w:rFonts w:cs="Times New Roman"/>
                      <w:kern w:val="0"/>
                      <w:sz w:val="21"/>
                      <w:szCs w:val="21"/>
                      <w:lang w:bidi="ar"/>
                    </w:rPr>
                    <w:t>吨</w:t>
                  </w:r>
                </w:p>
              </w:tc>
              <w:tc>
                <w:tcPr>
                  <w:tcW w:w="687" w:type="pct"/>
                  <w:vAlign w:val="center"/>
                </w:tcPr>
                <w:p>
                  <w:pPr>
                    <w:widowControl/>
                    <w:spacing w:line="240" w:lineRule="auto"/>
                    <w:jc w:val="center"/>
                    <w:rPr>
                      <w:rFonts w:cs="Times New Roman"/>
                      <w:kern w:val="0"/>
                      <w:sz w:val="21"/>
                      <w:szCs w:val="21"/>
                      <w:lang w:bidi="ar"/>
                    </w:rPr>
                  </w:pPr>
                  <w:r>
                    <w:rPr>
                      <w:rFonts w:cs="Times New Roman"/>
                      <w:kern w:val="0"/>
                      <w:sz w:val="21"/>
                      <w:szCs w:val="21"/>
                      <w:lang w:bidi="ar"/>
                    </w:rPr>
                    <w:t>0.4</w:t>
                  </w:r>
                </w:p>
              </w:tc>
              <w:tc>
                <w:tcPr>
                  <w:tcW w:w="917" w:type="pct"/>
                  <w:vAlign w:val="center"/>
                </w:tcPr>
                <w:p>
                  <w:pPr>
                    <w:spacing w:line="240" w:lineRule="auto"/>
                    <w:jc w:val="center"/>
                    <w:rPr>
                      <w:rFonts w:eastAsia="宋体" w:cs="Times New Roman"/>
                      <w:sz w:val="21"/>
                      <w:szCs w:val="21"/>
                    </w:rPr>
                  </w:pPr>
                  <w:r>
                    <w:rPr>
                      <w:rFonts w:hint="eastAsia" w:eastAsia="宋体" w:cs="Times New Roman"/>
                      <w:sz w:val="21"/>
                      <w:szCs w:val="21"/>
                    </w:rPr>
                    <w:t>0</w:t>
                  </w:r>
                  <w:r>
                    <w:rPr>
                      <w:rFonts w:eastAsia="宋体" w:cs="Times New Roman"/>
                      <w:sz w:val="21"/>
                      <w:szCs w:val="21"/>
                    </w:rPr>
                    <w:t>.4</w:t>
                  </w:r>
                </w:p>
              </w:tc>
              <w:tc>
                <w:tcPr>
                  <w:tcW w:w="1123" w:type="pct"/>
                  <w:vAlign w:val="center"/>
                </w:tcPr>
                <w:p>
                  <w:pPr>
                    <w:spacing w:line="240" w:lineRule="auto"/>
                    <w:jc w:val="center"/>
                    <w:rPr>
                      <w:rFonts w:eastAsia="宋体" w:cs="Times New Roman"/>
                      <w:sz w:val="21"/>
                      <w:szCs w:val="21"/>
                    </w:rPr>
                  </w:pPr>
                  <w:r>
                    <w:rPr>
                      <w:rFonts w:eastAsia="宋体" w:cs="Times New Roman"/>
                      <w:sz w:val="21"/>
                      <w:szCs w:val="21"/>
                    </w:rPr>
                    <w:t>外购</w:t>
                  </w:r>
                  <w:r>
                    <w:rPr>
                      <w:rFonts w:cs="Times New Roman"/>
                      <w:sz w:val="21"/>
                      <w:szCs w:val="21"/>
                    </w:rPr>
                    <w:t>，桶装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301" w:type="pct"/>
                  <w:vAlign w:val="center"/>
                </w:tcPr>
                <w:p>
                  <w:pPr>
                    <w:widowControl/>
                    <w:spacing w:line="240" w:lineRule="auto"/>
                    <w:jc w:val="center"/>
                    <w:rPr>
                      <w:rFonts w:eastAsia="宋体" w:cs="Times New Roman"/>
                      <w:sz w:val="21"/>
                      <w:szCs w:val="21"/>
                    </w:rPr>
                  </w:pPr>
                  <w:r>
                    <w:rPr>
                      <w:rFonts w:eastAsia="宋体" w:cs="Times New Roman"/>
                      <w:sz w:val="21"/>
                      <w:szCs w:val="21"/>
                    </w:rPr>
                    <w:t>6</w:t>
                  </w:r>
                </w:p>
              </w:tc>
              <w:tc>
                <w:tcPr>
                  <w:tcW w:w="463" w:type="pct"/>
                  <w:vMerge w:val="restart"/>
                  <w:vAlign w:val="center"/>
                </w:tcPr>
                <w:p>
                  <w:pPr>
                    <w:spacing w:line="240" w:lineRule="auto"/>
                    <w:jc w:val="center"/>
                    <w:rPr>
                      <w:rFonts w:cs="Times New Roman"/>
                      <w:sz w:val="21"/>
                      <w:szCs w:val="21"/>
                    </w:rPr>
                  </w:pPr>
                  <w:r>
                    <w:rPr>
                      <w:rFonts w:cs="Times New Roman"/>
                      <w:sz w:val="21"/>
                      <w:szCs w:val="21"/>
                    </w:rPr>
                    <w:t>能源</w:t>
                  </w:r>
                </w:p>
              </w:tc>
              <w:tc>
                <w:tcPr>
                  <w:tcW w:w="669" w:type="pct"/>
                  <w:vAlign w:val="center"/>
                </w:tcPr>
                <w:p>
                  <w:pPr>
                    <w:spacing w:line="240" w:lineRule="auto"/>
                    <w:jc w:val="center"/>
                    <w:rPr>
                      <w:rFonts w:eastAsia="宋体" w:cs="Times New Roman"/>
                      <w:sz w:val="21"/>
                      <w:szCs w:val="21"/>
                    </w:rPr>
                  </w:pPr>
                  <w:r>
                    <w:rPr>
                      <w:rFonts w:cs="Times New Roman"/>
                      <w:sz w:val="21"/>
                      <w:szCs w:val="21"/>
                    </w:rPr>
                    <w:t>水</w:t>
                  </w:r>
                </w:p>
              </w:tc>
              <w:tc>
                <w:tcPr>
                  <w:tcW w:w="840" w:type="pct"/>
                  <w:vAlign w:val="center"/>
                </w:tcPr>
                <w:p>
                  <w:pPr>
                    <w:widowControl/>
                    <w:spacing w:line="240" w:lineRule="auto"/>
                    <w:jc w:val="center"/>
                    <w:rPr>
                      <w:rFonts w:cs="Times New Roman"/>
                      <w:kern w:val="0"/>
                      <w:sz w:val="21"/>
                      <w:szCs w:val="21"/>
                      <w:lang w:bidi="ar"/>
                    </w:rPr>
                  </w:pPr>
                  <w:r>
                    <w:rPr>
                      <w:rFonts w:cs="Times New Roman"/>
                      <w:kern w:val="0"/>
                      <w:sz w:val="21"/>
                      <w:szCs w:val="21"/>
                      <w:lang w:bidi="ar"/>
                    </w:rPr>
                    <w:t>m</w:t>
                  </w:r>
                  <w:r>
                    <w:rPr>
                      <w:rFonts w:cs="Times New Roman"/>
                      <w:kern w:val="0"/>
                      <w:sz w:val="21"/>
                      <w:szCs w:val="21"/>
                      <w:vertAlign w:val="superscript"/>
                      <w:lang w:bidi="ar"/>
                    </w:rPr>
                    <w:t>3</w:t>
                  </w:r>
                </w:p>
              </w:tc>
              <w:tc>
                <w:tcPr>
                  <w:tcW w:w="687" w:type="pct"/>
                  <w:vAlign w:val="center"/>
                </w:tcPr>
                <w:p>
                  <w:pPr>
                    <w:widowControl/>
                    <w:spacing w:line="240" w:lineRule="auto"/>
                    <w:jc w:val="center"/>
                    <w:rPr>
                      <w:rFonts w:eastAsia="宋体" w:cs="Times New Roman"/>
                      <w:kern w:val="0"/>
                      <w:sz w:val="21"/>
                      <w:szCs w:val="21"/>
                      <w:lang w:bidi="ar"/>
                    </w:rPr>
                  </w:pPr>
                  <w:r>
                    <w:rPr>
                      <w:rFonts w:eastAsia="宋体" w:cs="Times New Roman"/>
                      <w:kern w:val="0"/>
                      <w:sz w:val="21"/>
                      <w:szCs w:val="21"/>
                      <w:lang w:bidi="ar"/>
                    </w:rPr>
                    <w:t>2730.5</w:t>
                  </w:r>
                </w:p>
              </w:tc>
              <w:tc>
                <w:tcPr>
                  <w:tcW w:w="917" w:type="pct"/>
                  <w:vAlign w:val="center"/>
                </w:tcPr>
                <w:p>
                  <w:pPr>
                    <w:spacing w:line="240" w:lineRule="auto"/>
                    <w:jc w:val="center"/>
                    <w:rPr>
                      <w:rFonts w:eastAsia="宋体" w:cs="Times New Roman"/>
                      <w:sz w:val="21"/>
                      <w:szCs w:val="21"/>
                    </w:rPr>
                  </w:pPr>
                  <w:r>
                    <w:rPr>
                      <w:rFonts w:eastAsia="宋体" w:cs="Times New Roman"/>
                      <w:sz w:val="21"/>
                      <w:szCs w:val="21"/>
                    </w:rPr>
                    <w:t>/</w:t>
                  </w:r>
                </w:p>
              </w:tc>
              <w:tc>
                <w:tcPr>
                  <w:tcW w:w="1123" w:type="pct"/>
                  <w:vAlign w:val="center"/>
                </w:tcPr>
                <w:p>
                  <w:pPr>
                    <w:spacing w:line="240" w:lineRule="auto"/>
                    <w:jc w:val="center"/>
                    <w:rPr>
                      <w:rFonts w:eastAsia="宋体" w:cs="Times New Roman"/>
                      <w:sz w:val="21"/>
                      <w:szCs w:val="21"/>
                    </w:rPr>
                  </w:pPr>
                  <w:r>
                    <w:rPr>
                      <w:rFonts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85" w:hRule="atLeast"/>
                <w:jc w:val="center"/>
              </w:trPr>
              <w:tc>
                <w:tcPr>
                  <w:tcW w:w="301" w:type="pct"/>
                  <w:vAlign w:val="center"/>
                </w:tcPr>
                <w:p>
                  <w:pPr>
                    <w:widowControl/>
                    <w:spacing w:line="240" w:lineRule="auto"/>
                    <w:jc w:val="center"/>
                    <w:rPr>
                      <w:rFonts w:eastAsia="宋体" w:cs="Times New Roman"/>
                      <w:sz w:val="21"/>
                      <w:szCs w:val="21"/>
                    </w:rPr>
                  </w:pPr>
                  <w:r>
                    <w:rPr>
                      <w:rFonts w:eastAsia="宋体" w:cs="Times New Roman"/>
                      <w:sz w:val="21"/>
                      <w:szCs w:val="21"/>
                    </w:rPr>
                    <w:t>7</w:t>
                  </w:r>
                </w:p>
              </w:tc>
              <w:tc>
                <w:tcPr>
                  <w:tcW w:w="463" w:type="pct"/>
                  <w:vMerge w:val="continue"/>
                  <w:vAlign w:val="center"/>
                </w:tcPr>
                <w:p>
                  <w:pPr>
                    <w:widowControl/>
                    <w:spacing w:line="240" w:lineRule="auto"/>
                    <w:jc w:val="center"/>
                    <w:rPr>
                      <w:rFonts w:eastAsia="宋体" w:cs="Times New Roman"/>
                      <w:kern w:val="0"/>
                      <w:sz w:val="21"/>
                      <w:szCs w:val="21"/>
                      <w:lang w:bidi="ar"/>
                    </w:rPr>
                  </w:pPr>
                </w:p>
              </w:tc>
              <w:tc>
                <w:tcPr>
                  <w:tcW w:w="669" w:type="pct"/>
                  <w:vAlign w:val="center"/>
                </w:tcPr>
                <w:p>
                  <w:pPr>
                    <w:widowControl/>
                    <w:spacing w:line="240" w:lineRule="auto"/>
                    <w:jc w:val="center"/>
                    <w:rPr>
                      <w:rFonts w:eastAsia="宋体" w:cs="Times New Roman"/>
                      <w:kern w:val="0"/>
                      <w:sz w:val="21"/>
                      <w:szCs w:val="21"/>
                      <w:lang w:bidi="ar"/>
                    </w:rPr>
                  </w:pPr>
                  <w:r>
                    <w:rPr>
                      <w:rFonts w:eastAsia="宋体" w:cs="Times New Roman"/>
                      <w:kern w:val="0"/>
                      <w:sz w:val="21"/>
                      <w:szCs w:val="21"/>
                      <w:lang w:bidi="ar"/>
                    </w:rPr>
                    <w:t>电</w:t>
                  </w:r>
                </w:p>
              </w:tc>
              <w:tc>
                <w:tcPr>
                  <w:tcW w:w="840" w:type="pct"/>
                  <w:vAlign w:val="center"/>
                </w:tcPr>
                <w:p>
                  <w:pPr>
                    <w:widowControl/>
                    <w:spacing w:line="240" w:lineRule="auto"/>
                    <w:jc w:val="center"/>
                    <w:rPr>
                      <w:rFonts w:eastAsia="宋体" w:cs="Times New Roman"/>
                      <w:kern w:val="0"/>
                      <w:sz w:val="21"/>
                      <w:szCs w:val="21"/>
                      <w:lang w:bidi="ar"/>
                    </w:rPr>
                  </w:pPr>
                  <w:r>
                    <w:rPr>
                      <w:rFonts w:eastAsia="宋体" w:cs="Times New Roman"/>
                      <w:kern w:val="0"/>
                      <w:sz w:val="21"/>
                      <w:szCs w:val="21"/>
                      <w:lang w:bidi="ar"/>
                    </w:rPr>
                    <w:t>万kw.h/a</w:t>
                  </w:r>
                </w:p>
              </w:tc>
              <w:tc>
                <w:tcPr>
                  <w:tcW w:w="687" w:type="pct"/>
                  <w:vAlign w:val="center"/>
                </w:tcPr>
                <w:p>
                  <w:pPr>
                    <w:widowControl/>
                    <w:spacing w:line="240" w:lineRule="auto"/>
                    <w:jc w:val="center"/>
                    <w:rPr>
                      <w:rFonts w:cs="Times New Roman"/>
                      <w:sz w:val="21"/>
                      <w:szCs w:val="21"/>
                    </w:rPr>
                  </w:pPr>
                  <w:r>
                    <w:rPr>
                      <w:rFonts w:cs="Times New Roman"/>
                      <w:sz w:val="21"/>
                      <w:szCs w:val="21"/>
                    </w:rPr>
                    <w:t>20</w:t>
                  </w:r>
                </w:p>
              </w:tc>
              <w:tc>
                <w:tcPr>
                  <w:tcW w:w="917" w:type="pct"/>
                  <w:vAlign w:val="center"/>
                </w:tcPr>
                <w:p>
                  <w:pPr>
                    <w:spacing w:line="240" w:lineRule="auto"/>
                    <w:jc w:val="center"/>
                    <w:rPr>
                      <w:rFonts w:cs="Times New Roman"/>
                      <w:sz w:val="21"/>
                      <w:szCs w:val="21"/>
                    </w:rPr>
                  </w:pPr>
                  <w:r>
                    <w:rPr>
                      <w:rFonts w:eastAsia="宋体" w:cs="Times New Roman"/>
                      <w:sz w:val="21"/>
                      <w:szCs w:val="21"/>
                    </w:rPr>
                    <w:t>/</w:t>
                  </w:r>
                </w:p>
              </w:tc>
              <w:tc>
                <w:tcPr>
                  <w:tcW w:w="1123" w:type="pct"/>
                  <w:vAlign w:val="center"/>
                </w:tcPr>
                <w:p>
                  <w:pPr>
                    <w:spacing w:line="240" w:lineRule="auto"/>
                    <w:jc w:val="center"/>
                    <w:rPr>
                      <w:rFonts w:cs="Times New Roman"/>
                      <w:sz w:val="21"/>
                      <w:szCs w:val="21"/>
                    </w:rPr>
                  </w:pPr>
                  <w:r>
                    <w:rPr>
                      <w:rFonts w:cs="Times New Roman"/>
                      <w:sz w:val="21"/>
                      <w:szCs w:val="21"/>
                    </w:rPr>
                    <w:t>市镇供给</w:t>
                  </w:r>
                </w:p>
              </w:tc>
            </w:tr>
          </w:tbl>
          <w:p>
            <w:pPr>
              <w:ind w:firstLine="482" w:firstLineChars="200"/>
              <w:rPr>
                <w:rFonts w:cs="Times New Roman"/>
                <w:b/>
                <w:lang w:val="zh-CN"/>
              </w:rPr>
            </w:pPr>
            <w:r>
              <w:rPr>
                <w:rFonts w:cs="Times New Roman"/>
                <w:b/>
              </w:rPr>
              <w:t>5</w:t>
            </w:r>
            <w:r>
              <w:rPr>
                <w:rFonts w:cs="Times New Roman"/>
                <w:b/>
                <w:lang w:val="zh-CN"/>
              </w:rPr>
              <w:t>、主要设备</w:t>
            </w:r>
          </w:p>
          <w:p>
            <w:pPr>
              <w:tabs>
                <w:tab w:val="left" w:pos="2130"/>
              </w:tabs>
              <w:ind w:firstLine="480" w:firstLineChars="200"/>
              <w:rPr>
                <w:rFonts w:cs="Times New Roman"/>
              </w:rPr>
            </w:pPr>
            <w:r>
              <w:rPr>
                <w:rFonts w:cs="Times New Roman"/>
              </w:rPr>
              <w:t>根据建设单位提供，本项目主要工艺设备见表2-4。</w:t>
            </w:r>
          </w:p>
          <w:p>
            <w:pPr>
              <w:autoSpaceDE w:val="0"/>
              <w:autoSpaceDN w:val="0"/>
              <w:spacing w:line="240" w:lineRule="auto"/>
              <w:jc w:val="center"/>
              <w:rPr>
                <w:rFonts w:eastAsia="宋体" w:cs="Times New Roman"/>
                <w:b/>
                <w:sz w:val="21"/>
                <w:szCs w:val="21"/>
                <w:lang w:val="zh-CN" w:bidi="zh-CN"/>
              </w:rPr>
            </w:pPr>
            <w:r>
              <w:rPr>
                <w:rFonts w:eastAsia="宋体" w:cs="Times New Roman"/>
                <w:b/>
                <w:sz w:val="21"/>
                <w:szCs w:val="21"/>
                <w:lang w:val="zh-CN" w:bidi="zh-CN"/>
              </w:rPr>
              <w:t>表2-4  项目主要设备一览表</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06"/>
              <w:gridCol w:w="2206"/>
              <w:gridCol w:w="952"/>
              <w:gridCol w:w="1378"/>
              <w:gridCol w:w="22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365" w:type="pct"/>
                  <w:gridSpan w:val="2"/>
                  <w:vAlign w:val="center"/>
                </w:tcPr>
                <w:p>
                  <w:pPr>
                    <w:widowControl/>
                    <w:spacing w:line="240" w:lineRule="auto"/>
                    <w:jc w:val="center"/>
                    <w:rPr>
                      <w:rFonts w:cs="Times New Roman"/>
                      <w:b/>
                      <w:bCs/>
                      <w:sz w:val="21"/>
                      <w:szCs w:val="21"/>
                    </w:rPr>
                  </w:pPr>
                  <w:r>
                    <w:rPr>
                      <w:rFonts w:cs="Times New Roman"/>
                      <w:b/>
                      <w:bCs/>
                      <w:sz w:val="21"/>
                      <w:szCs w:val="21"/>
                      <w:lang w:bidi="zh-CN"/>
                    </w:rPr>
                    <w:t>设备名称</w:t>
                  </w:r>
                </w:p>
              </w:tc>
              <w:tc>
                <w:tcPr>
                  <w:tcW w:w="1189" w:type="pct"/>
                  <w:vAlign w:val="center"/>
                </w:tcPr>
                <w:p>
                  <w:pPr>
                    <w:widowControl/>
                    <w:spacing w:line="240" w:lineRule="auto"/>
                    <w:jc w:val="center"/>
                    <w:rPr>
                      <w:rFonts w:cs="Times New Roman"/>
                      <w:b/>
                      <w:bCs/>
                      <w:sz w:val="21"/>
                      <w:szCs w:val="21"/>
                    </w:rPr>
                  </w:pPr>
                  <w:r>
                    <w:rPr>
                      <w:rFonts w:cs="Times New Roman"/>
                      <w:b/>
                      <w:bCs/>
                      <w:sz w:val="21"/>
                      <w:szCs w:val="21"/>
                      <w:lang w:bidi="zh-CN"/>
                    </w:rPr>
                    <w:t>数量</w:t>
                  </w:r>
                </w:p>
              </w:tc>
              <w:tc>
                <w:tcPr>
                  <w:tcW w:w="1256" w:type="pct"/>
                  <w:gridSpan w:val="2"/>
                  <w:vAlign w:val="center"/>
                </w:tcPr>
                <w:p>
                  <w:pPr>
                    <w:widowControl/>
                    <w:spacing w:line="240" w:lineRule="auto"/>
                    <w:jc w:val="center"/>
                    <w:rPr>
                      <w:rFonts w:cs="Times New Roman"/>
                      <w:b/>
                      <w:bCs/>
                      <w:sz w:val="21"/>
                      <w:szCs w:val="21"/>
                    </w:rPr>
                  </w:pPr>
                  <w:r>
                    <w:rPr>
                      <w:rFonts w:cs="Times New Roman"/>
                      <w:b/>
                      <w:bCs/>
                      <w:sz w:val="21"/>
                      <w:szCs w:val="21"/>
                      <w:lang w:bidi="zh-CN"/>
                    </w:rPr>
                    <w:t>规格型号</w:t>
                  </w:r>
                </w:p>
              </w:tc>
              <w:tc>
                <w:tcPr>
                  <w:tcW w:w="1190" w:type="pct"/>
                  <w:vAlign w:val="center"/>
                </w:tcPr>
                <w:p>
                  <w:pPr>
                    <w:widowControl/>
                    <w:spacing w:line="240" w:lineRule="auto"/>
                    <w:jc w:val="center"/>
                    <w:rPr>
                      <w:rFonts w:cs="Times New Roman"/>
                      <w:b/>
                      <w:bCs/>
                      <w:sz w:val="21"/>
                      <w:szCs w:val="21"/>
                      <w:lang w:bidi="zh-CN"/>
                    </w:rPr>
                  </w:pPr>
                  <w:r>
                    <w:rPr>
                      <w:rFonts w:cs="Times New Roman"/>
                      <w:b/>
                      <w:bCs/>
                      <w:sz w:val="21"/>
                      <w:szCs w:val="21"/>
                      <w:lang w:bidi="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eastAsia="宋体" w:cs="Times New Roman"/>
                      <w:sz w:val="21"/>
                      <w:szCs w:val="21"/>
                    </w:rPr>
                  </w:pPr>
                  <w:r>
                    <w:rPr>
                      <w:rFonts w:cs="Times New Roman"/>
                      <w:sz w:val="21"/>
                      <w:szCs w:val="21"/>
                    </w:rPr>
                    <w:t>1</w:t>
                  </w:r>
                </w:p>
              </w:tc>
              <w:tc>
                <w:tcPr>
                  <w:tcW w:w="1135" w:type="pct"/>
                  <w:vMerge w:val="restar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水泥稳定材料</w:t>
                  </w:r>
                  <w:r>
                    <w:rPr>
                      <w:rFonts w:hint="eastAsia" w:eastAsia="宋体" w:cs="Times New Roman"/>
                      <w:sz w:val="21"/>
                      <w:szCs w:val="21"/>
                      <w:lang w:bidi="ar"/>
                    </w:rPr>
                    <w:t>生产线</w:t>
                  </w:r>
                </w:p>
              </w:tc>
              <w:tc>
                <w:tcPr>
                  <w:tcW w:w="1189" w:type="pc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水泥筒仓</w:t>
                  </w:r>
                </w:p>
              </w:tc>
              <w:tc>
                <w:tcPr>
                  <w:tcW w:w="51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2</w:t>
                  </w:r>
                  <w:r>
                    <w:rPr>
                      <w:rFonts w:hint="eastAsia" w:eastAsia="宋体" w:cs="Times New Roman"/>
                      <w:sz w:val="21"/>
                      <w:szCs w:val="21"/>
                      <w:lang w:bidi="ar"/>
                    </w:rPr>
                    <w:t>座</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100吨</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用于水泥储存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eastAsia="宋体" w:cs="Times New Roman"/>
                      <w:sz w:val="21"/>
                      <w:szCs w:val="21"/>
                    </w:rPr>
                  </w:pPr>
                  <w:r>
                    <w:rPr>
                      <w:rFonts w:cs="Times New Roman"/>
                      <w:sz w:val="21"/>
                      <w:szCs w:val="21"/>
                    </w:rPr>
                    <w:t>2</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拌合设备</w:t>
                  </w:r>
                </w:p>
              </w:tc>
              <w:tc>
                <w:tcPr>
                  <w:tcW w:w="51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1</w:t>
                  </w:r>
                  <w:r>
                    <w:rPr>
                      <w:rFonts w:hint="eastAsia" w:eastAsia="宋体" w:cs="Times New Roman"/>
                      <w:sz w:val="21"/>
                      <w:szCs w:val="21"/>
                      <w:lang w:bidi="ar"/>
                    </w:rPr>
                    <w:t>套</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用于产品搅拌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eastAsia="宋体" w:cs="Times New Roman"/>
                      <w:sz w:val="21"/>
                      <w:szCs w:val="21"/>
                    </w:rPr>
                  </w:pPr>
                  <w:r>
                    <w:rPr>
                      <w:rFonts w:cs="Times New Roman"/>
                      <w:sz w:val="21"/>
                      <w:szCs w:val="21"/>
                    </w:rPr>
                    <w:t>3</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铲车</w:t>
                  </w:r>
                </w:p>
              </w:tc>
              <w:tc>
                <w:tcPr>
                  <w:tcW w:w="51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1辆</w:t>
                  </w:r>
                </w:p>
              </w:tc>
              <w:tc>
                <w:tcPr>
                  <w:tcW w:w="743"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国四</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用于厂区物料输送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eastAsia="宋体" w:cs="Times New Roman"/>
                      <w:sz w:val="21"/>
                      <w:szCs w:val="21"/>
                    </w:rPr>
                  </w:pPr>
                  <w:r>
                    <w:rPr>
                      <w:rFonts w:cs="Times New Roman"/>
                      <w:sz w:val="21"/>
                      <w:szCs w:val="21"/>
                    </w:rPr>
                    <w:t>4</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传送带</w:t>
                  </w:r>
                </w:p>
              </w:tc>
              <w:tc>
                <w:tcPr>
                  <w:tcW w:w="51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1条</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35m</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用于产品传送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cs="Times New Roman"/>
                      <w:sz w:val="21"/>
                      <w:szCs w:val="21"/>
                    </w:rPr>
                  </w:pPr>
                  <w:r>
                    <w:rPr>
                      <w:rFonts w:cs="Times New Roman"/>
                      <w:sz w:val="21"/>
                      <w:szCs w:val="21"/>
                    </w:rPr>
                    <w:t>5</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装卸台</w:t>
                  </w:r>
                </w:p>
              </w:tc>
              <w:tc>
                <w:tcPr>
                  <w:tcW w:w="51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1座</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产品装卸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eastAsia="宋体" w:cs="Times New Roman"/>
                      <w:sz w:val="21"/>
                      <w:szCs w:val="21"/>
                    </w:rPr>
                  </w:pPr>
                  <w:r>
                    <w:rPr>
                      <w:rFonts w:eastAsia="宋体" w:cs="Times New Roman"/>
                      <w:sz w:val="21"/>
                      <w:szCs w:val="21"/>
                    </w:rPr>
                    <w:t>6</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废气处理风机</w:t>
                  </w:r>
                </w:p>
              </w:tc>
              <w:tc>
                <w:tcPr>
                  <w:tcW w:w="51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1台</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风量：5000m³/h</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用于搅拌过程废气治理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eastAsia="宋体" w:cs="Times New Roman"/>
                      <w:sz w:val="21"/>
                      <w:szCs w:val="21"/>
                    </w:rPr>
                  </w:pPr>
                  <w:r>
                    <w:rPr>
                      <w:rFonts w:cs="Times New Roman"/>
                      <w:sz w:val="21"/>
                      <w:szCs w:val="21"/>
                    </w:rPr>
                    <w:t>7</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水泵</w:t>
                  </w:r>
                </w:p>
              </w:tc>
              <w:tc>
                <w:tcPr>
                  <w:tcW w:w="51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2台</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提供生产用水、喷淋设施使用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cs="Times New Roman"/>
                      <w:sz w:val="21"/>
                      <w:szCs w:val="21"/>
                    </w:rPr>
                  </w:pPr>
                  <w:r>
                    <w:rPr>
                      <w:rFonts w:hint="eastAsia" w:cs="Times New Roman"/>
                      <w:sz w:val="21"/>
                      <w:szCs w:val="21"/>
                    </w:rPr>
                    <w:t>8</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空压机</w:t>
                  </w:r>
                </w:p>
              </w:tc>
              <w:tc>
                <w:tcPr>
                  <w:tcW w:w="513"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1台</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cs="Times New Roman"/>
                      <w:sz w:val="21"/>
                      <w:szCs w:val="21"/>
                    </w:rPr>
                  </w:pPr>
                  <w:r>
                    <w:rPr>
                      <w:rFonts w:hint="eastAsia" w:cs="Times New Roman"/>
                      <w:sz w:val="21"/>
                      <w:szCs w:val="21"/>
                    </w:rPr>
                    <w:t>9</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地埋式雨水收集罐</w:t>
                  </w:r>
                </w:p>
              </w:tc>
              <w:tc>
                <w:tcPr>
                  <w:tcW w:w="513"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3个</w:t>
                  </w:r>
                </w:p>
              </w:tc>
              <w:tc>
                <w:tcPr>
                  <w:tcW w:w="743"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容积1</w:t>
                  </w:r>
                  <w:r>
                    <w:rPr>
                      <w:rFonts w:eastAsia="宋体" w:cs="Times New Roman"/>
                      <w:sz w:val="21"/>
                      <w:szCs w:val="21"/>
                      <w:lang w:bidi="ar"/>
                    </w:rPr>
                    <w:t>00m</w:t>
                  </w:r>
                  <w:r>
                    <w:rPr>
                      <w:rFonts w:eastAsia="宋体" w:cs="Times New Roman"/>
                      <w:sz w:val="21"/>
                      <w:szCs w:val="21"/>
                      <w:vertAlign w:val="superscript"/>
                      <w:lang w:bidi="ar"/>
                    </w:rPr>
                    <w:t>3</w:t>
                  </w:r>
                </w:p>
              </w:tc>
              <w:tc>
                <w:tcPr>
                  <w:tcW w:w="1190"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收集雨水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cs="Times New Roman"/>
                      <w:sz w:val="21"/>
                      <w:szCs w:val="21"/>
                    </w:rPr>
                  </w:pPr>
                  <w:r>
                    <w:rPr>
                      <w:rFonts w:hint="eastAsia" w:cs="Times New Roman"/>
                      <w:sz w:val="21"/>
                      <w:szCs w:val="21"/>
                    </w:rPr>
                    <w:t>1</w:t>
                  </w:r>
                  <w:r>
                    <w:rPr>
                      <w:rFonts w:cs="Times New Roman"/>
                      <w:sz w:val="21"/>
                      <w:szCs w:val="21"/>
                    </w:rPr>
                    <w:t>0</w:t>
                  </w:r>
                </w:p>
              </w:tc>
              <w:tc>
                <w:tcPr>
                  <w:tcW w:w="1135" w:type="pct"/>
                  <w:vMerge w:val="restart"/>
                  <w:noWrap/>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沥青混合料生产线</w:t>
                  </w:r>
                </w:p>
              </w:tc>
              <w:tc>
                <w:tcPr>
                  <w:tcW w:w="1189" w:type="pct"/>
                  <w:noWrap/>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沥青泵</w:t>
                  </w:r>
                </w:p>
              </w:tc>
              <w:tc>
                <w:tcPr>
                  <w:tcW w:w="513"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1台</w:t>
                  </w:r>
                </w:p>
              </w:tc>
              <w:tc>
                <w:tcPr>
                  <w:tcW w:w="743"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w:t>
                  </w:r>
                </w:p>
              </w:tc>
              <w:tc>
                <w:tcPr>
                  <w:tcW w:w="1190"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与沥青储罐配套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noWrap/>
                  <w:vAlign w:val="center"/>
                </w:tcPr>
                <w:p>
                  <w:pPr>
                    <w:widowControl/>
                    <w:spacing w:line="240" w:lineRule="auto"/>
                    <w:jc w:val="center"/>
                    <w:rPr>
                      <w:rFonts w:cs="Times New Roman"/>
                      <w:sz w:val="21"/>
                      <w:szCs w:val="21"/>
                    </w:rPr>
                  </w:pPr>
                  <w:r>
                    <w:rPr>
                      <w:rFonts w:hint="eastAsia" w:cs="Times New Roman"/>
                      <w:sz w:val="21"/>
                      <w:szCs w:val="21"/>
                    </w:rPr>
                    <w:t>1</w:t>
                  </w:r>
                  <w:r>
                    <w:rPr>
                      <w:rFonts w:cs="Times New Roman"/>
                      <w:sz w:val="21"/>
                      <w:szCs w:val="21"/>
                    </w:rPr>
                    <w:t>1</w:t>
                  </w:r>
                </w:p>
              </w:tc>
              <w:tc>
                <w:tcPr>
                  <w:tcW w:w="1135" w:type="pct"/>
                  <w:vMerge w:val="continue"/>
                  <w:noWrap/>
                  <w:vAlign w:val="center"/>
                </w:tcPr>
                <w:p>
                  <w:pPr>
                    <w:widowControl/>
                    <w:spacing w:line="240" w:lineRule="auto"/>
                    <w:jc w:val="center"/>
                    <w:rPr>
                      <w:rFonts w:eastAsia="宋体" w:cs="Times New Roman"/>
                      <w:sz w:val="21"/>
                      <w:szCs w:val="21"/>
                      <w:lang w:bidi="ar"/>
                    </w:rPr>
                  </w:pPr>
                </w:p>
              </w:tc>
              <w:tc>
                <w:tcPr>
                  <w:tcW w:w="1189" w:type="pct"/>
                  <w:noWrap/>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沥青储罐</w:t>
                  </w:r>
                </w:p>
              </w:tc>
              <w:tc>
                <w:tcPr>
                  <w:tcW w:w="513"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1座</w:t>
                  </w:r>
                </w:p>
              </w:tc>
              <w:tc>
                <w:tcPr>
                  <w:tcW w:w="743" w:type="pct"/>
                  <w:vAlign w:val="center"/>
                </w:tcPr>
                <w:p>
                  <w:pPr>
                    <w:widowControl/>
                    <w:spacing w:line="240" w:lineRule="auto"/>
                    <w:jc w:val="center"/>
                    <w:rPr>
                      <w:rFonts w:eastAsia="宋体" w:cs="Times New Roman"/>
                      <w:sz w:val="21"/>
                      <w:szCs w:val="21"/>
                      <w:lang w:bidi="ar"/>
                    </w:rPr>
                  </w:pPr>
                  <w:r>
                    <w:rPr>
                      <w:rFonts w:hint="eastAsia" w:eastAsia="宋体" w:cs="Times New Roman"/>
                      <w:sz w:val="21"/>
                      <w:szCs w:val="21"/>
                      <w:lang w:bidi="ar"/>
                    </w:rPr>
                    <w:t>容积</w:t>
                  </w:r>
                  <w:r>
                    <w:rPr>
                      <w:rFonts w:eastAsia="宋体" w:cs="Times New Roman"/>
                      <w:sz w:val="21"/>
                      <w:szCs w:val="21"/>
                      <w:lang w:bidi="ar"/>
                    </w:rPr>
                    <w:t>45</w:t>
                  </w:r>
                  <w:r>
                    <w:rPr>
                      <w:rFonts w:hint="eastAsia" w:eastAsia="宋体" w:cs="Times New Roman"/>
                      <w:sz w:val="21"/>
                      <w:szCs w:val="21"/>
                      <w:lang w:bidi="ar"/>
                    </w:rPr>
                    <w:t>0m</w:t>
                  </w:r>
                  <w:r>
                    <w:rPr>
                      <w:rFonts w:hint="eastAsia" w:eastAsia="宋体" w:cs="Times New Roman"/>
                      <w:sz w:val="21"/>
                      <w:szCs w:val="21"/>
                      <w:vertAlign w:val="superscript"/>
                      <w:lang w:bidi="ar"/>
                    </w:rPr>
                    <w:t>3</w:t>
                  </w:r>
                </w:p>
              </w:tc>
              <w:tc>
                <w:tcPr>
                  <w:tcW w:w="1190" w:type="pct"/>
                  <w:vAlign w:val="center"/>
                </w:tcPr>
                <w:p>
                  <w:pPr>
                    <w:widowControl/>
                    <w:spacing w:line="240" w:lineRule="auto"/>
                    <w:jc w:val="center"/>
                    <w:rPr>
                      <w:rFonts w:eastAsia="宋体" w:cs="Times New Roman"/>
                      <w:sz w:val="21"/>
                      <w:szCs w:val="21"/>
                      <w:lang w:bidi="ar"/>
                    </w:rPr>
                  </w:pPr>
                  <w:r>
                    <w:rPr>
                      <w:rFonts w:eastAsia="宋体" w:cs="Times New Roman"/>
                      <w:sz w:val="21"/>
                      <w:szCs w:val="21"/>
                      <w:lang w:bidi="ar"/>
                    </w:rPr>
                    <w:t>/</w:t>
                  </w:r>
                </w:p>
              </w:tc>
            </w:tr>
          </w:tbl>
          <w:p>
            <w:pPr>
              <w:widowControl/>
              <w:ind w:firstLine="482" w:firstLineChars="200"/>
              <w:rPr>
                <w:rFonts w:cs="Times New Roman"/>
                <w:b/>
              </w:rPr>
            </w:pPr>
            <w:r>
              <w:rPr>
                <w:rFonts w:cs="Times New Roman"/>
                <w:b/>
              </w:rPr>
              <w:t>6</w:t>
            </w:r>
            <w:r>
              <w:rPr>
                <w:rFonts w:cs="Times New Roman"/>
                <w:b/>
                <w:lang w:val="zh-CN"/>
              </w:rPr>
              <w:t>、公用工程</w:t>
            </w:r>
          </w:p>
          <w:p>
            <w:pPr>
              <w:ind w:firstLine="480" w:firstLineChars="200"/>
              <w:rPr>
                <w:rFonts w:cs="Times New Roman"/>
                <w:lang w:val="zh-CN"/>
              </w:rPr>
            </w:pPr>
            <w:r>
              <w:rPr>
                <w:rFonts w:hint="eastAsia" w:cs="Times New Roman"/>
                <w:lang w:val="zh-CN"/>
              </w:rPr>
              <w:t>（1）雨水</w:t>
            </w:r>
          </w:p>
          <w:p>
            <w:pPr>
              <w:ind w:firstLine="480" w:firstLineChars="200"/>
              <w:rPr>
                <w:rFonts w:cs="Times New Roman"/>
                <w:lang w:val="zh-CN"/>
              </w:rPr>
            </w:pPr>
            <w:r>
              <w:rPr>
                <w:rFonts w:hint="eastAsia" w:cs="Times New Roman"/>
                <w:lang w:val="zh-CN"/>
              </w:rPr>
              <w:t>参考《建筑与小区雨水控制及利用工程技术规范》（GB50400-2016）中的计算公式：雨水径流总量按下式计算：</w:t>
            </w:r>
          </w:p>
          <w:p>
            <w:pPr>
              <w:ind w:firstLine="480"/>
              <w:rPr>
                <w:rFonts w:cs="Times New Roman"/>
                <w:iCs/>
              </w:rPr>
            </w:pPr>
            <m:oMathPara>
              <m:oMath>
                <m:r>
                  <m:rPr/>
                  <w:rPr>
                    <w:rFonts w:ascii="Cambria Math" w:hAnsi="Cambria Math" w:cs="Times New Roman"/>
                  </w:rPr>
                  <m:t>W</m:t>
                </m:r>
                <m:r>
                  <m:rPr>
                    <m:sty m:val="p"/>
                  </m:rPr>
                  <w:rPr>
                    <w:rFonts w:ascii="Cambria Math" w:hAnsi="Cambria Math" w:cs="Times New Roman"/>
                  </w:rPr>
                  <m:t>=10</m:t>
                </m:r>
                <m:r>
                  <m:rPr/>
                  <w:rPr>
                    <w:rFonts w:ascii="Cambria Math" w:hAnsi="Cambria Math" w:cs="Times New Roman"/>
                  </w:rPr>
                  <m:t>ΨHF</m:t>
                </m:r>
              </m:oMath>
            </m:oMathPara>
          </w:p>
          <w:p>
            <w:pPr>
              <w:ind w:firstLine="480"/>
              <w:rPr>
                <w:rFonts w:cs="Times New Roman"/>
              </w:rPr>
            </w:pPr>
            <w:r>
              <w:rPr>
                <w:rFonts w:cs="Times New Roman"/>
              </w:rPr>
              <w:t>式中：</w:t>
            </w:r>
            <w:r>
              <w:rPr>
                <w:rFonts w:cs="Times New Roman"/>
                <w:i/>
                <w:iCs/>
              </w:rPr>
              <w:t>W</w:t>
            </w:r>
            <w:r>
              <w:rPr>
                <w:rFonts w:cs="Times New Roman"/>
              </w:rPr>
              <w:t>为雨水设计径流总量，m</w:t>
            </w:r>
            <w:r>
              <w:rPr>
                <w:rFonts w:cs="Times New Roman"/>
                <w:vertAlign w:val="superscript"/>
              </w:rPr>
              <w:t>3</w:t>
            </w:r>
            <w:r>
              <w:rPr>
                <w:rFonts w:cs="Times New Roman"/>
              </w:rPr>
              <w:t>；</w:t>
            </w:r>
          </w:p>
          <w:p>
            <w:pPr>
              <w:ind w:firstLine="1200" w:firstLineChars="500"/>
              <w:rPr>
                <w:rFonts w:cs="Times New Roman"/>
              </w:rPr>
            </w:pPr>
            <w:r>
              <w:rPr>
                <w:rFonts w:cs="Times New Roman"/>
                <w:i/>
                <w:iCs/>
              </w:rPr>
              <w:t>H</w:t>
            </w:r>
            <w:r>
              <w:rPr>
                <w:rFonts w:cs="Times New Roman"/>
              </w:rPr>
              <w:t>为设计日降雨量，采用西安市两年一遇24h降雨量mm，西安市两年一遇24h降雨量为45.5mm；</w:t>
            </w:r>
          </w:p>
          <w:p>
            <w:pPr>
              <w:ind w:firstLine="1200" w:firstLineChars="500"/>
              <w:rPr>
                <w:rFonts w:cs="Times New Roman"/>
              </w:rPr>
            </w:pPr>
            <w:r>
              <w:rPr>
                <w:rFonts w:cs="Times New Roman"/>
                <w:i/>
                <w:iCs/>
              </w:rPr>
              <w:t>F</w:t>
            </w:r>
            <w:r>
              <w:rPr>
                <w:rFonts w:cs="Times New Roman"/>
              </w:rPr>
              <w:t>为汇水面积，hm</w:t>
            </w:r>
            <w:r>
              <w:rPr>
                <w:rFonts w:cs="Times New Roman"/>
                <w:vertAlign w:val="superscript"/>
              </w:rPr>
              <w:t>2</w:t>
            </w:r>
            <w:r>
              <w:rPr>
                <w:rFonts w:cs="Times New Roman"/>
              </w:rPr>
              <w:t>；</w:t>
            </w:r>
            <w:r>
              <w:rPr>
                <w:rFonts w:hint="eastAsia" w:cs="Times New Roman"/>
              </w:rPr>
              <w:t>本项目汇水面积取1</w:t>
            </w:r>
            <w:r>
              <w:rPr>
                <w:rFonts w:cs="Times New Roman"/>
              </w:rPr>
              <w:t>.5 hm</w:t>
            </w:r>
            <w:r>
              <w:rPr>
                <w:rFonts w:cs="Times New Roman"/>
                <w:vertAlign w:val="superscript"/>
              </w:rPr>
              <w:t>2</w:t>
            </w:r>
            <w:r>
              <w:rPr>
                <w:rFonts w:cs="Times New Roman"/>
              </w:rPr>
              <w:t>；</w:t>
            </w:r>
          </w:p>
          <w:p>
            <w:pPr>
              <w:ind w:firstLine="1200" w:firstLineChars="500"/>
              <w:rPr>
                <w:rFonts w:cs="Times New Roman"/>
              </w:rPr>
            </w:pPr>
            <w:r>
              <w:rPr>
                <w:rFonts w:cs="Times New Roman"/>
                <w:i/>
                <w:iCs/>
              </w:rPr>
              <w:t>Ψ</w:t>
            </w:r>
            <w:r>
              <w:rPr>
                <w:rFonts w:cs="Times New Roman"/>
              </w:rPr>
              <w:t>为雨量径流系数；</w:t>
            </w:r>
            <w:r>
              <w:rPr>
                <w:rFonts w:hint="eastAsia" w:cs="Times New Roman"/>
              </w:rPr>
              <w:t>本项目屋顶采用硬质屋顶，路面采用混凝土和沥青路面，故雨水径流系数取0</w:t>
            </w:r>
            <w:r>
              <w:rPr>
                <w:rFonts w:cs="Times New Roman"/>
              </w:rPr>
              <w:t>.8</w:t>
            </w:r>
            <w:r>
              <w:rPr>
                <w:rFonts w:hint="eastAsia" w:cs="Times New Roman"/>
              </w:rPr>
              <w:t>。</w:t>
            </w:r>
          </w:p>
          <w:p>
            <w:pPr>
              <w:ind w:firstLine="480" w:firstLineChars="200"/>
              <w:rPr>
                <w:rFonts w:cs="Times New Roman"/>
              </w:rPr>
            </w:pPr>
            <w:r>
              <w:rPr>
                <w:rFonts w:hint="eastAsia" w:cs="Times New Roman"/>
              </w:rPr>
              <w:t>经计算，本项目占地范围内2年一遇日降雨可产生的设计降雨总量为</w:t>
            </w:r>
            <w:r>
              <w:rPr>
                <w:rFonts w:cs="Times New Roman"/>
              </w:rPr>
              <w:t>682.5</w:t>
            </w:r>
            <w:r>
              <w:rPr>
                <w:rFonts w:hint="eastAsia" w:cs="Times New Roman"/>
              </w:rPr>
              <w:t>m³/</w:t>
            </w:r>
            <w:r>
              <w:rPr>
                <w:rFonts w:cs="Times New Roman"/>
              </w:rPr>
              <w:t>a</w:t>
            </w:r>
            <w:r>
              <w:rPr>
                <w:rFonts w:hint="eastAsia" w:cs="Times New Roman"/>
              </w:rPr>
              <w:t>，其中雨水总径流量为5</w:t>
            </w:r>
            <w:r>
              <w:rPr>
                <w:rFonts w:cs="Times New Roman"/>
              </w:rPr>
              <w:t>46</w:t>
            </w:r>
            <w:r>
              <w:rPr>
                <w:rFonts w:hint="eastAsia" w:cs="Times New Roman"/>
              </w:rPr>
              <w:t>m³/</w:t>
            </w:r>
            <w:r>
              <w:rPr>
                <w:rFonts w:cs="Times New Roman"/>
              </w:rPr>
              <w:t>a</w:t>
            </w:r>
            <w:r>
              <w:rPr>
                <w:rFonts w:hint="eastAsia" w:cs="Times New Roman"/>
              </w:rPr>
              <w:t>，可收集至本项目拟建的污水收集罐内用于本项目各用水环节；剩余1</w:t>
            </w:r>
            <w:r>
              <w:rPr>
                <w:rFonts w:cs="Times New Roman"/>
              </w:rPr>
              <w:t>36.5m</w:t>
            </w:r>
            <w:r>
              <w:rPr>
                <w:rFonts w:cs="Times New Roman"/>
                <w:vertAlign w:val="superscript"/>
              </w:rPr>
              <w:t>3</w:t>
            </w:r>
            <w:r>
              <w:rPr>
                <w:rFonts w:hint="eastAsia" w:cs="Times New Roman"/>
              </w:rPr>
              <w:t>/</w:t>
            </w:r>
            <w:r>
              <w:rPr>
                <w:rFonts w:cs="Times New Roman"/>
              </w:rPr>
              <w:t>a</w:t>
            </w:r>
            <w:r>
              <w:rPr>
                <w:rFonts w:hint="eastAsia" w:cs="Times New Roman"/>
              </w:rPr>
              <w:t>的雨水通过下渗等方式损耗。</w:t>
            </w:r>
          </w:p>
          <w:p>
            <w:pPr>
              <w:ind w:firstLine="480" w:firstLineChars="200"/>
              <w:rPr>
                <w:rFonts w:cs="Times New Roman"/>
                <w:lang w:val="zh-CN"/>
              </w:rPr>
            </w:pPr>
            <w:r>
              <w:rPr>
                <w:rFonts w:cs="Times New Roman"/>
                <w:lang w:val="zh-CN"/>
              </w:rPr>
              <w:t>（</w:t>
            </w:r>
            <w:r>
              <w:rPr>
                <w:rFonts w:cs="Times New Roman"/>
              </w:rPr>
              <w:t>2）</w:t>
            </w:r>
            <w:r>
              <w:rPr>
                <w:rFonts w:cs="Times New Roman"/>
                <w:lang w:val="zh-CN"/>
              </w:rPr>
              <w:t>给水</w:t>
            </w:r>
          </w:p>
          <w:p>
            <w:pPr>
              <w:ind w:firstLine="480" w:firstLineChars="200"/>
              <w:rPr>
                <w:rFonts w:eastAsia="宋体" w:cs="Times New Roman"/>
                <w:szCs w:val="24"/>
              </w:rPr>
            </w:pPr>
            <w:r>
              <w:rPr>
                <w:rFonts w:eastAsia="宋体" w:cs="Times New Roman"/>
                <w:szCs w:val="24"/>
              </w:rPr>
              <w:t>本项目水源由自备水井供给，主要用水为生产配比用水、车辆冲洗用水、喷淋抑尘用水和产品养护用水。</w:t>
            </w:r>
          </w:p>
          <w:p>
            <w:pPr>
              <w:ind w:firstLine="480" w:firstLineChars="200"/>
              <w:rPr>
                <w:rFonts w:eastAsia="宋体" w:cs="Times New Roman"/>
                <w:szCs w:val="24"/>
              </w:rPr>
            </w:pPr>
            <w:r>
              <w:rPr>
                <w:rFonts w:hint="eastAsia" w:ascii="宋体" w:hAnsi="宋体" w:eastAsia="宋体" w:cs="宋体"/>
                <w:szCs w:val="24"/>
              </w:rPr>
              <w:t>①</w:t>
            </w:r>
            <w:r>
              <w:rPr>
                <w:rFonts w:eastAsia="宋体" w:cs="Times New Roman"/>
                <w:szCs w:val="24"/>
              </w:rPr>
              <w:t>生产配比用水</w:t>
            </w:r>
          </w:p>
          <w:p>
            <w:pPr>
              <w:ind w:firstLine="480" w:firstLineChars="200"/>
              <w:rPr>
                <w:rFonts w:eastAsia="宋体" w:cs="Times New Roman"/>
                <w:szCs w:val="24"/>
              </w:rPr>
            </w:pPr>
            <w:r>
              <w:rPr>
                <w:rFonts w:eastAsia="宋体" w:cs="Times New Roman"/>
                <w:szCs w:val="24"/>
              </w:rPr>
              <w:t>根据企业提供的资料，</w:t>
            </w:r>
            <w:r>
              <w:rPr>
                <w:rFonts w:hint="eastAsia" w:eastAsia="宋体" w:cs="Times New Roman"/>
                <w:szCs w:val="24"/>
              </w:rPr>
              <w:t>本项目水稳材料原辅材料主要为：水泥（4</w:t>
            </w:r>
            <w:r>
              <w:rPr>
                <w:rFonts w:eastAsia="宋体" w:cs="Times New Roman"/>
                <w:szCs w:val="24"/>
              </w:rPr>
              <w:t>%</w:t>
            </w:r>
            <w:r>
              <w:rPr>
                <w:rFonts w:hint="eastAsia" w:eastAsia="宋体" w:cs="Times New Roman"/>
                <w:szCs w:val="24"/>
              </w:rPr>
              <w:t>）、砂子（3</w:t>
            </w:r>
            <w:r>
              <w:rPr>
                <w:rFonts w:eastAsia="宋体" w:cs="Times New Roman"/>
                <w:szCs w:val="24"/>
              </w:rPr>
              <w:t>0%</w:t>
            </w:r>
            <w:r>
              <w:rPr>
                <w:rFonts w:hint="eastAsia" w:eastAsia="宋体" w:cs="Times New Roman"/>
                <w:szCs w:val="24"/>
              </w:rPr>
              <w:t>）、石子（6</w:t>
            </w:r>
            <w:r>
              <w:rPr>
                <w:rFonts w:eastAsia="宋体" w:cs="Times New Roman"/>
                <w:szCs w:val="24"/>
              </w:rPr>
              <w:t>5%</w:t>
            </w:r>
            <w:r>
              <w:rPr>
                <w:rFonts w:hint="eastAsia" w:eastAsia="宋体" w:cs="Times New Roman"/>
                <w:szCs w:val="24"/>
              </w:rPr>
              <w:t>）、水（1</w:t>
            </w:r>
            <w:r>
              <w:rPr>
                <w:rFonts w:eastAsia="宋体" w:cs="Times New Roman"/>
                <w:szCs w:val="24"/>
              </w:rPr>
              <w:t>%</w:t>
            </w:r>
            <w:r>
              <w:rPr>
                <w:rFonts w:hint="eastAsia" w:eastAsia="宋体" w:cs="Times New Roman"/>
                <w:szCs w:val="24"/>
              </w:rPr>
              <w:t>）。水稳材料生产线生产规模为2</w:t>
            </w:r>
            <w:r>
              <w:rPr>
                <w:rFonts w:eastAsia="宋体" w:cs="Times New Roman"/>
                <w:szCs w:val="24"/>
              </w:rPr>
              <w:t>0</w:t>
            </w:r>
            <w:r>
              <w:rPr>
                <w:rFonts w:hint="eastAsia" w:eastAsia="宋体" w:cs="Times New Roman"/>
                <w:szCs w:val="24"/>
              </w:rPr>
              <w:t>万t/a，则搅拌用水量为2</w:t>
            </w:r>
            <w:r>
              <w:rPr>
                <w:rFonts w:eastAsia="宋体" w:cs="Times New Roman"/>
                <w:szCs w:val="24"/>
              </w:rPr>
              <w:t>000t/a</w:t>
            </w:r>
            <w:r>
              <w:rPr>
                <w:rFonts w:hint="eastAsia" w:eastAsia="宋体" w:cs="Times New Roman"/>
                <w:szCs w:val="24"/>
              </w:rPr>
              <w:t>。</w:t>
            </w:r>
            <w:r>
              <w:rPr>
                <w:rFonts w:eastAsia="宋体" w:cs="Times New Roman"/>
                <w:szCs w:val="24"/>
              </w:rPr>
              <w:t>配料用水全部进入产品。</w:t>
            </w:r>
          </w:p>
          <w:p>
            <w:pPr>
              <w:ind w:firstLine="480" w:firstLineChars="200"/>
              <w:rPr>
                <w:rFonts w:eastAsia="宋体" w:cs="Times New Roman"/>
                <w:szCs w:val="24"/>
              </w:rPr>
            </w:pPr>
            <w:r>
              <w:rPr>
                <w:rFonts w:hint="eastAsia" w:ascii="宋体" w:hAnsi="宋体" w:eastAsia="宋体" w:cs="宋体"/>
                <w:szCs w:val="24"/>
              </w:rPr>
              <w:t>②</w:t>
            </w:r>
            <w:r>
              <w:rPr>
                <w:rFonts w:eastAsia="宋体" w:cs="Times New Roman"/>
                <w:szCs w:val="24"/>
              </w:rPr>
              <w:t>车辆冲洗用水</w:t>
            </w:r>
          </w:p>
          <w:p>
            <w:pPr>
              <w:ind w:firstLine="480" w:firstLineChars="200"/>
              <w:rPr>
                <w:rFonts w:eastAsia="宋体" w:cs="Times New Roman"/>
                <w:szCs w:val="24"/>
              </w:rPr>
            </w:pPr>
            <w:r>
              <w:rPr>
                <w:rFonts w:cs="Times New Roman"/>
              </w:rPr>
              <w:t>项目在原料装卸、停止运输或交接班时需要对运输车辆进行冲洗，以减少车辆运输过程中扬尘的产生，本项目运输车辆约为17辆次/d，年工作时间300天。根据《行业用水定额（修订稿）》（DB61/T943-2020），洗车用水量以55L/辆·次，则洗车用水量为280.5m</w:t>
            </w:r>
            <w:r>
              <w:rPr>
                <w:rFonts w:cs="Times New Roman"/>
                <w:vertAlign w:val="superscript"/>
              </w:rPr>
              <w:t>3</w:t>
            </w:r>
            <w:r>
              <w:rPr>
                <w:rFonts w:cs="Times New Roman"/>
              </w:rPr>
              <w:t>/a（0.935m</w:t>
            </w:r>
            <w:r>
              <w:rPr>
                <w:rFonts w:cs="Times New Roman"/>
                <w:vertAlign w:val="superscript"/>
              </w:rPr>
              <w:t>3</w:t>
            </w:r>
            <w:r>
              <w:rPr>
                <w:rFonts w:cs="Times New Roman"/>
              </w:rPr>
              <w:t>/d）。</w:t>
            </w:r>
          </w:p>
          <w:p>
            <w:pPr>
              <w:ind w:firstLine="480" w:firstLineChars="200"/>
              <w:rPr>
                <w:rFonts w:eastAsia="宋体" w:cs="Times New Roman"/>
                <w:szCs w:val="24"/>
              </w:rPr>
            </w:pPr>
            <w:r>
              <w:rPr>
                <w:rFonts w:hint="eastAsia" w:ascii="宋体" w:hAnsi="宋体" w:eastAsia="宋体" w:cs="宋体"/>
                <w:szCs w:val="24"/>
              </w:rPr>
              <w:t>③</w:t>
            </w:r>
            <w:r>
              <w:rPr>
                <w:rFonts w:eastAsia="宋体" w:cs="Times New Roman"/>
                <w:szCs w:val="24"/>
              </w:rPr>
              <w:t>喷淋抑尘用水</w:t>
            </w:r>
          </w:p>
          <w:p>
            <w:pPr>
              <w:ind w:firstLine="480" w:firstLineChars="200"/>
              <w:rPr>
                <w:rFonts w:eastAsia="宋体" w:cs="Times New Roman"/>
                <w:szCs w:val="24"/>
              </w:rPr>
            </w:pPr>
            <w:r>
              <w:rPr>
                <w:rFonts w:cs="Times New Roman"/>
              </w:rPr>
              <w:t>本项目密闭车间顶部配备有喷淋抑尘设施，可有效减少无组织粉尘的排放。根据企业提供的资料，喷雾装置用水量约为10L/min，运营期每天开启6次，每次开启10min。项目年工作300天，则喷淋用水量为180m</w:t>
            </w:r>
            <w:r>
              <w:rPr>
                <w:rFonts w:cs="Times New Roman"/>
                <w:vertAlign w:val="superscript"/>
              </w:rPr>
              <w:t>3</w:t>
            </w:r>
            <w:r>
              <w:rPr>
                <w:rFonts w:cs="Times New Roman"/>
              </w:rPr>
              <w:t>/a（0.6m</w:t>
            </w:r>
            <w:r>
              <w:rPr>
                <w:rFonts w:cs="Times New Roman"/>
                <w:vertAlign w:val="superscript"/>
              </w:rPr>
              <w:t>3</w:t>
            </w:r>
            <w:r>
              <w:rPr>
                <w:rFonts w:cs="Times New Roman"/>
              </w:rPr>
              <w:t>/d）</w:t>
            </w:r>
            <w:r>
              <w:rPr>
                <w:rFonts w:eastAsia="宋体" w:cs="Times New Roman"/>
                <w:szCs w:val="24"/>
              </w:rPr>
              <w:t>。</w:t>
            </w:r>
          </w:p>
          <w:p>
            <w:pPr>
              <w:ind w:firstLine="480" w:firstLineChars="200"/>
              <w:rPr>
                <w:rFonts w:eastAsia="宋体" w:cs="Times New Roman"/>
                <w:szCs w:val="24"/>
              </w:rPr>
            </w:pPr>
            <w:r>
              <w:rPr>
                <w:rFonts w:hint="eastAsia" w:ascii="宋体" w:hAnsi="宋体" w:eastAsia="宋体" w:cs="宋体"/>
                <w:szCs w:val="24"/>
              </w:rPr>
              <w:t>④</w:t>
            </w:r>
            <w:r>
              <w:rPr>
                <w:rFonts w:hint="eastAsia" w:eastAsia="宋体" w:cs="Times New Roman"/>
                <w:szCs w:val="24"/>
              </w:rPr>
              <w:t>硬化地面</w:t>
            </w:r>
            <w:r>
              <w:rPr>
                <w:rFonts w:eastAsia="宋体" w:cs="Times New Roman"/>
                <w:szCs w:val="24"/>
              </w:rPr>
              <w:t>洒水</w:t>
            </w:r>
          </w:p>
          <w:p>
            <w:pPr>
              <w:adjustRightInd w:val="0"/>
              <w:snapToGrid w:val="0"/>
              <w:ind w:firstLine="480" w:firstLineChars="200"/>
              <w:rPr>
                <w:rFonts w:cs="Times New Roman"/>
              </w:rPr>
            </w:pPr>
            <w:r>
              <w:rPr>
                <w:rFonts w:cs="Times New Roman"/>
              </w:rPr>
              <w:t>为了进一步控制道路扬尘的产生，项目运营期约每3天对</w:t>
            </w:r>
            <w:r>
              <w:rPr>
                <w:rFonts w:hint="eastAsia" w:cs="Times New Roman"/>
              </w:rPr>
              <w:t>厂内硬化地面</w:t>
            </w:r>
            <w:r>
              <w:rPr>
                <w:rFonts w:cs="Times New Roman"/>
              </w:rPr>
              <w:t>洒水1次。根据《行业用水定额（修订稿）》（DB61/T943-2020），道路浇洒用水定额为1.5L/（m</w:t>
            </w:r>
            <w:r>
              <w:rPr>
                <w:rFonts w:cs="Times New Roman"/>
                <w:vertAlign w:val="superscript"/>
              </w:rPr>
              <w:t>2</w:t>
            </w:r>
            <w:r>
              <w:rPr>
                <w:rFonts w:cs="Times New Roman"/>
              </w:rPr>
              <w:t>·d），本项目场地新增硬化</w:t>
            </w:r>
            <w:r>
              <w:rPr>
                <w:rFonts w:hint="eastAsia" w:cs="Times New Roman"/>
              </w:rPr>
              <w:t>地面</w:t>
            </w:r>
            <w:r>
              <w:rPr>
                <w:rFonts w:cs="Times New Roman"/>
              </w:rPr>
              <w:t>面积以1500m</w:t>
            </w:r>
            <w:r>
              <w:rPr>
                <w:rFonts w:cs="Times New Roman"/>
                <w:vertAlign w:val="superscript"/>
              </w:rPr>
              <w:t>2</w:t>
            </w:r>
            <w:r>
              <w:rPr>
                <w:rFonts w:cs="Times New Roman"/>
              </w:rPr>
              <w:t>计，则每次洒水量为2.25m</w:t>
            </w:r>
            <w:r>
              <w:rPr>
                <w:rFonts w:cs="Times New Roman"/>
                <w:vertAlign w:val="superscript"/>
              </w:rPr>
              <w:t>3</w:t>
            </w:r>
            <w:r>
              <w:rPr>
                <w:rFonts w:cs="Times New Roman"/>
              </w:rPr>
              <w:t>。则本项目路面洒水量为225m</w:t>
            </w:r>
            <w:r>
              <w:rPr>
                <w:rFonts w:cs="Times New Roman"/>
                <w:vertAlign w:val="superscript"/>
              </w:rPr>
              <w:t>3</w:t>
            </w:r>
            <w:r>
              <w:rPr>
                <w:rFonts w:cs="Times New Roman"/>
              </w:rPr>
              <w:t>/a。</w:t>
            </w:r>
          </w:p>
          <w:p>
            <w:pPr>
              <w:adjustRightInd w:val="0"/>
              <w:snapToGrid w:val="0"/>
              <w:ind w:firstLine="480" w:firstLineChars="200"/>
              <w:rPr>
                <w:rFonts w:cs="Times New Roman"/>
              </w:rPr>
            </w:pPr>
            <w:r>
              <w:rPr>
                <w:rFonts w:hint="eastAsia" w:cs="Times New Roman"/>
              </w:rPr>
              <w:t>综上，本项目总用水量为2</w:t>
            </w:r>
            <w:r>
              <w:rPr>
                <w:rFonts w:cs="Times New Roman"/>
              </w:rPr>
              <w:t>461.1m</w:t>
            </w:r>
            <w:r>
              <w:rPr>
                <w:rFonts w:cs="Times New Roman"/>
                <w:vertAlign w:val="superscript"/>
              </w:rPr>
              <w:t>3</w:t>
            </w:r>
            <w:r>
              <w:rPr>
                <w:rFonts w:cs="Times New Roman"/>
              </w:rPr>
              <w:t>/a</w:t>
            </w:r>
            <w:r>
              <w:rPr>
                <w:rFonts w:hint="eastAsia" w:cs="Times New Roman"/>
              </w:rPr>
              <w:t>，蓄水池收集的雨水量为5</w:t>
            </w:r>
            <w:r>
              <w:rPr>
                <w:rFonts w:cs="Times New Roman"/>
              </w:rPr>
              <w:t>46m</w:t>
            </w:r>
            <w:r>
              <w:rPr>
                <w:rFonts w:cs="Times New Roman"/>
                <w:vertAlign w:val="superscript"/>
              </w:rPr>
              <w:t>3</w:t>
            </w:r>
            <w:r>
              <w:rPr>
                <w:rFonts w:cs="Times New Roman"/>
              </w:rPr>
              <w:t>/a</w:t>
            </w:r>
            <w:r>
              <w:rPr>
                <w:rFonts w:hint="eastAsia" w:cs="Times New Roman"/>
              </w:rPr>
              <w:t>。则项目新鲜水需求量为1</w:t>
            </w:r>
            <w:r>
              <w:rPr>
                <w:rFonts w:cs="Times New Roman"/>
              </w:rPr>
              <w:t>915.1m</w:t>
            </w:r>
            <w:r>
              <w:rPr>
                <w:rFonts w:cs="Times New Roman"/>
                <w:vertAlign w:val="superscript"/>
              </w:rPr>
              <w:t>3</w:t>
            </w:r>
            <w:r>
              <w:rPr>
                <w:rFonts w:cs="Times New Roman"/>
              </w:rPr>
              <w:t>/a</w:t>
            </w:r>
            <w:r>
              <w:rPr>
                <w:rFonts w:hint="eastAsia" w:cs="Times New Roman"/>
              </w:rPr>
              <w:t>。</w:t>
            </w:r>
          </w:p>
          <w:p>
            <w:pPr>
              <w:ind w:firstLine="480" w:firstLineChars="200"/>
              <w:rPr>
                <w:rFonts w:cs="Times New Roman"/>
                <w:szCs w:val="24"/>
              </w:rPr>
            </w:pPr>
            <w:r>
              <w:rPr>
                <w:rFonts w:cs="Times New Roman"/>
                <w:szCs w:val="24"/>
              </w:rPr>
              <w:t>（3）排水</w:t>
            </w:r>
          </w:p>
          <w:p>
            <w:pPr>
              <w:ind w:firstLine="480" w:firstLineChars="200"/>
              <w:rPr>
                <w:rFonts w:eastAsia="宋体" w:cs="Times New Roman"/>
                <w:szCs w:val="24"/>
              </w:rPr>
            </w:pPr>
            <w:r>
              <w:rPr>
                <w:rFonts w:eastAsia="宋体" w:cs="Times New Roman"/>
                <w:szCs w:val="24"/>
              </w:rPr>
              <w:t>本项目生产配比用水、喷淋抑尘用水和产品养护用水全部进入产品、地面或空气，无废水产生。</w:t>
            </w:r>
          </w:p>
          <w:p>
            <w:pPr>
              <w:ind w:firstLine="480" w:firstLineChars="200"/>
              <w:rPr>
                <w:rFonts w:eastAsia="宋体" w:cs="Times New Roman"/>
                <w:szCs w:val="24"/>
              </w:rPr>
            </w:pPr>
            <w:r>
              <w:rPr>
                <w:rFonts w:eastAsia="宋体" w:cs="Times New Roman"/>
                <w:szCs w:val="24"/>
              </w:rPr>
              <w:t>车辆冲洗废水：</w:t>
            </w:r>
            <w:r>
              <w:rPr>
                <w:rFonts w:cs="Times New Roman"/>
              </w:rPr>
              <w:t>洗车用水损耗以20%计，则洗车补充用水量为56.1m</w:t>
            </w:r>
            <w:r>
              <w:rPr>
                <w:rFonts w:cs="Times New Roman"/>
                <w:vertAlign w:val="superscript"/>
              </w:rPr>
              <w:t>3</w:t>
            </w:r>
            <w:r>
              <w:rPr>
                <w:rFonts w:cs="Times New Roman"/>
              </w:rPr>
              <w:t>/a（0.187m</w:t>
            </w:r>
            <w:r>
              <w:rPr>
                <w:rFonts w:cs="Times New Roman"/>
                <w:vertAlign w:val="superscript"/>
              </w:rPr>
              <w:t>3</w:t>
            </w:r>
            <w:r>
              <w:rPr>
                <w:rFonts w:cs="Times New Roman"/>
              </w:rPr>
              <w:t>/d）。冲洗废水产生量为224.4m</w:t>
            </w:r>
            <w:r>
              <w:rPr>
                <w:rFonts w:cs="Times New Roman"/>
                <w:vertAlign w:val="superscript"/>
              </w:rPr>
              <w:t>3</w:t>
            </w:r>
            <w:r>
              <w:rPr>
                <w:rFonts w:cs="Times New Roman"/>
              </w:rPr>
              <w:t>/a（0.748m</w:t>
            </w:r>
            <w:r>
              <w:rPr>
                <w:rFonts w:cs="Times New Roman"/>
                <w:vertAlign w:val="superscript"/>
              </w:rPr>
              <w:t>3</w:t>
            </w:r>
            <w:r>
              <w:rPr>
                <w:rFonts w:cs="Times New Roman"/>
              </w:rPr>
              <w:t>/d），洗车废水经洗车台沉淀处理后循环使用</w:t>
            </w:r>
            <w:r>
              <w:rPr>
                <w:rFonts w:eastAsia="宋体" w:cs="Times New Roman"/>
                <w:szCs w:val="24"/>
              </w:rPr>
              <w:t>。</w:t>
            </w:r>
          </w:p>
          <w:p>
            <w:pPr>
              <w:autoSpaceDE w:val="0"/>
              <w:autoSpaceDN w:val="0"/>
              <w:adjustRightInd w:val="0"/>
              <w:snapToGrid w:val="0"/>
              <w:spacing w:line="240" w:lineRule="auto"/>
              <w:jc w:val="center"/>
              <w:rPr>
                <w:rFonts w:eastAsia="宋体" w:cs="Times New Roman"/>
                <w:b/>
                <w:sz w:val="21"/>
                <w:szCs w:val="21"/>
                <w:lang w:val="zh-CN" w:bidi="zh-CN"/>
              </w:rPr>
            </w:pPr>
            <w:r>
              <w:rPr>
                <w:rFonts w:eastAsia="宋体" w:cs="Times New Roman"/>
                <w:b/>
                <w:sz w:val="21"/>
                <w:szCs w:val="21"/>
                <w:lang w:val="zh-CN" w:bidi="zh-CN"/>
              </w:rPr>
              <w:t>表2-5  本项目水平衡表（m</w:t>
            </w:r>
            <w:r>
              <w:rPr>
                <w:rFonts w:eastAsia="宋体" w:cs="Times New Roman"/>
                <w:b/>
                <w:sz w:val="21"/>
                <w:szCs w:val="21"/>
                <w:vertAlign w:val="superscript"/>
                <w:lang w:val="zh-CN" w:bidi="zh-CN"/>
              </w:rPr>
              <w:t>3</w:t>
            </w:r>
            <w:r>
              <w:rPr>
                <w:rFonts w:eastAsia="宋体" w:cs="Times New Roman"/>
                <w:b/>
                <w:sz w:val="21"/>
                <w:szCs w:val="21"/>
                <w:lang w:val="zh-CN" w:bidi="zh-CN"/>
              </w:rPr>
              <w:t>/a</w:t>
            </w:r>
            <w:r>
              <w:rPr>
                <w:rFonts w:hint="eastAsia" w:eastAsia="宋体" w:cs="Times New Roman"/>
                <w:b/>
                <w:sz w:val="21"/>
                <w:szCs w:val="21"/>
                <w:lang w:val="zh-CN" w:bidi="zh-CN"/>
              </w:rPr>
              <w:t>）</w:t>
            </w:r>
          </w:p>
          <w:tbl>
            <w:tblPr>
              <w:tblStyle w:val="18"/>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37"/>
              <w:gridCol w:w="1493"/>
              <w:gridCol w:w="866"/>
              <w:gridCol w:w="866"/>
              <w:gridCol w:w="866"/>
              <w:gridCol w:w="866"/>
              <w:gridCol w:w="866"/>
              <w:gridCol w:w="868"/>
              <w:gridCol w:w="205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序号</w:t>
                  </w:r>
                </w:p>
              </w:tc>
              <w:tc>
                <w:tcPr>
                  <w:tcW w:w="825" w:type="pct"/>
                  <w:gridSpan w:val="2"/>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用水分类</w:t>
                  </w:r>
                </w:p>
              </w:tc>
              <w:tc>
                <w:tcPr>
                  <w:tcW w:w="467"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hint="eastAsia" w:eastAsia="宋体" w:cs="Times New Roman"/>
                      <w:b/>
                      <w:kern w:val="0"/>
                      <w:sz w:val="21"/>
                      <w:szCs w:val="21"/>
                    </w:rPr>
                    <w:t>补充用水量</w:t>
                  </w:r>
                </w:p>
              </w:tc>
              <w:tc>
                <w:tcPr>
                  <w:tcW w:w="467"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回用水量</w:t>
                  </w:r>
                </w:p>
              </w:tc>
              <w:tc>
                <w:tcPr>
                  <w:tcW w:w="467"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总用水量</w:t>
                  </w:r>
                </w:p>
              </w:tc>
              <w:tc>
                <w:tcPr>
                  <w:tcW w:w="467"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损耗</w:t>
                  </w:r>
                </w:p>
              </w:tc>
              <w:tc>
                <w:tcPr>
                  <w:tcW w:w="467"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产生量</w:t>
                  </w:r>
                </w:p>
              </w:tc>
              <w:tc>
                <w:tcPr>
                  <w:tcW w:w="468"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排放</w:t>
                  </w:r>
                </w:p>
              </w:tc>
              <w:tc>
                <w:tcPr>
                  <w:tcW w:w="1105" w:type="pct"/>
                  <w:tcBorders>
                    <w:tl2br w:val="nil"/>
                    <w:tr2bl w:val="nil"/>
                  </w:tcBorders>
                  <w:vAlign w:val="center"/>
                </w:tcPr>
                <w:p>
                  <w:pPr>
                    <w:adjustRightInd w:val="0"/>
                    <w:snapToGrid w:val="0"/>
                    <w:spacing w:line="240" w:lineRule="auto"/>
                    <w:jc w:val="center"/>
                    <w:rPr>
                      <w:rFonts w:eastAsia="宋体" w:cs="Times New Roman"/>
                      <w:b/>
                      <w:kern w:val="0"/>
                      <w:sz w:val="21"/>
                      <w:szCs w:val="21"/>
                    </w:rPr>
                  </w:pPr>
                  <w:r>
                    <w:rPr>
                      <w:rFonts w:eastAsia="宋体" w:cs="Times New Roman"/>
                      <w:b/>
                      <w:kern w:val="0"/>
                      <w:sz w:val="21"/>
                      <w:szCs w:val="21"/>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1</w:t>
                  </w:r>
                </w:p>
              </w:tc>
              <w:tc>
                <w:tcPr>
                  <w:tcW w:w="825" w:type="pct"/>
                  <w:gridSpan w:val="2"/>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生产配比用水</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2000</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2000</w:t>
                  </w:r>
                </w:p>
              </w:tc>
              <w:tc>
                <w:tcPr>
                  <w:tcW w:w="467" w:type="pct"/>
                  <w:tcBorders>
                    <w:tl2br w:val="nil"/>
                    <w:tr2bl w:val="nil"/>
                  </w:tcBorders>
                  <w:vAlign w:val="center"/>
                </w:tcPr>
                <w:p>
                  <w:pPr>
                    <w:widowControl/>
                    <w:adjustRightInd w:val="0"/>
                    <w:snapToGrid w:val="0"/>
                    <w:spacing w:line="240" w:lineRule="auto"/>
                    <w:jc w:val="center"/>
                    <w:textAlignment w:val="center"/>
                    <w:rPr>
                      <w:rFonts w:cs="Times New Roman"/>
                      <w:sz w:val="21"/>
                      <w:szCs w:val="21"/>
                    </w:rPr>
                  </w:pPr>
                  <w:r>
                    <w:rPr>
                      <w:rFonts w:eastAsia="宋体" w:cs="Times New Roman"/>
                      <w:kern w:val="0"/>
                      <w:sz w:val="21"/>
                      <w:szCs w:val="21"/>
                      <w:lang w:bidi="ar"/>
                    </w:rPr>
                    <w:t>2000</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468"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1105"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全部进入产品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w:t>
                  </w:r>
                </w:p>
              </w:tc>
              <w:tc>
                <w:tcPr>
                  <w:tcW w:w="825" w:type="pct"/>
                  <w:gridSpan w:val="2"/>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车辆冲洗用水</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56.1</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224.4</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280.5</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56.1</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224.4</w:t>
                  </w:r>
                </w:p>
              </w:tc>
              <w:tc>
                <w:tcPr>
                  <w:tcW w:w="468"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1105"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沉淀池处理后回用于车辆冲洗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3</w:t>
                  </w:r>
                </w:p>
              </w:tc>
              <w:tc>
                <w:tcPr>
                  <w:tcW w:w="825" w:type="pct"/>
                  <w:gridSpan w:val="2"/>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喷淋抑尘用水</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180</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180</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180</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468"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1105" w:type="pct"/>
                  <w:vMerge w:val="restar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全部损耗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4</w:t>
                  </w:r>
                </w:p>
              </w:tc>
              <w:tc>
                <w:tcPr>
                  <w:tcW w:w="825" w:type="pct"/>
                  <w:gridSpan w:val="2"/>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路面洒水</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225</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225</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225</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468"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1105" w:type="pct"/>
                  <w:vMerge w:val="continue"/>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92" w:type="pct"/>
                  <w:gridSpan w:val="3"/>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合计</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2461.1</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224.4</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2610.5</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2386.1</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224.4</w:t>
                  </w:r>
                </w:p>
              </w:tc>
              <w:tc>
                <w:tcPr>
                  <w:tcW w:w="468"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0</w:t>
                  </w:r>
                </w:p>
              </w:tc>
              <w:tc>
                <w:tcPr>
                  <w:tcW w:w="1105"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gridSpan w:val="2"/>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hint="eastAsia" w:eastAsia="宋体" w:cs="Times New Roman"/>
                      <w:kern w:val="0"/>
                      <w:sz w:val="21"/>
                      <w:szCs w:val="21"/>
                      <w:lang w:bidi="ar"/>
                    </w:rPr>
                    <w:t>5</w:t>
                  </w:r>
                </w:p>
              </w:tc>
              <w:tc>
                <w:tcPr>
                  <w:tcW w:w="805"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hint="eastAsia" w:eastAsia="宋体" w:cs="Times New Roman"/>
                      <w:kern w:val="0"/>
                      <w:sz w:val="21"/>
                      <w:szCs w:val="21"/>
                      <w:lang w:bidi="ar"/>
                    </w:rPr>
                    <w:t>雨水收集量</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hint="eastAsia" w:eastAsia="宋体" w:cs="Times New Roman"/>
                      <w:kern w:val="0"/>
                      <w:sz w:val="21"/>
                      <w:szCs w:val="21"/>
                      <w:lang w:bidi="ar"/>
                    </w:rPr>
                    <w:t>5</w:t>
                  </w:r>
                  <w:r>
                    <w:rPr>
                      <w:rFonts w:eastAsia="宋体" w:cs="Times New Roman"/>
                      <w:kern w:val="0"/>
                      <w:sz w:val="21"/>
                      <w:szCs w:val="21"/>
                      <w:lang w:bidi="ar"/>
                    </w:rPr>
                    <w:t>46</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8"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1105"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hint="eastAsia" w:eastAsia="宋体" w:cs="Times New Roman"/>
                      <w:kern w:val="0"/>
                      <w:sz w:val="21"/>
                      <w:szCs w:val="21"/>
                      <w:lang w:bidi="ar"/>
                    </w:rPr>
                    <w:t>可用于各用水环节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92" w:type="pct"/>
                  <w:gridSpan w:val="3"/>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hint="eastAsia" w:eastAsia="宋体" w:cs="Times New Roman"/>
                      <w:kern w:val="0"/>
                      <w:sz w:val="21"/>
                      <w:szCs w:val="21"/>
                      <w:lang w:bidi="ar"/>
                    </w:rPr>
                    <w:t>新鲜水需求量</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hint="eastAsia" w:eastAsia="宋体" w:cs="Times New Roman"/>
                      <w:kern w:val="0"/>
                      <w:sz w:val="21"/>
                      <w:szCs w:val="21"/>
                      <w:lang w:bidi="ar"/>
                    </w:rPr>
                    <w:t>1</w:t>
                  </w:r>
                  <w:r>
                    <w:rPr>
                      <w:rFonts w:eastAsia="宋体" w:cs="Times New Roman"/>
                      <w:kern w:val="0"/>
                      <w:sz w:val="21"/>
                      <w:szCs w:val="21"/>
                      <w:lang w:bidi="ar"/>
                    </w:rPr>
                    <w:t>915.1</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7"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468"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r>
                    <w:rPr>
                      <w:rFonts w:eastAsia="宋体" w:cs="Times New Roman"/>
                      <w:kern w:val="0"/>
                      <w:sz w:val="21"/>
                      <w:szCs w:val="21"/>
                      <w:lang w:bidi="ar"/>
                    </w:rPr>
                    <w:t>/</w:t>
                  </w:r>
                </w:p>
              </w:tc>
              <w:tc>
                <w:tcPr>
                  <w:tcW w:w="1105" w:type="pct"/>
                  <w:tcBorders>
                    <w:tl2br w:val="nil"/>
                    <w:tr2bl w:val="nil"/>
                  </w:tcBorders>
                  <w:vAlign w:val="center"/>
                </w:tcPr>
                <w:p>
                  <w:pPr>
                    <w:widowControl/>
                    <w:adjustRightInd w:val="0"/>
                    <w:snapToGrid w:val="0"/>
                    <w:spacing w:line="240" w:lineRule="auto"/>
                    <w:jc w:val="center"/>
                    <w:textAlignment w:val="center"/>
                    <w:rPr>
                      <w:rFonts w:eastAsia="宋体" w:cs="Times New Roman"/>
                      <w:kern w:val="0"/>
                      <w:sz w:val="21"/>
                      <w:szCs w:val="21"/>
                      <w:lang w:bidi="ar"/>
                    </w:rPr>
                  </w:pPr>
                </w:p>
              </w:tc>
            </w:tr>
          </w:tbl>
          <w:p>
            <w:pPr>
              <w:autoSpaceDE w:val="0"/>
              <w:autoSpaceDN w:val="0"/>
              <w:jc w:val="center"/>
              <w:rPr>
                <w:rFonts w:eastAsia="宋体" w:cs="Times New Roman"/>
                <w:b/>
              </w:rPr>
            </w:pPr>
            <w:r>
              <w:rPr>
                <w:rFonts w:eastAsia="宋体" w:cs="Times New Roman"/>
                <w:b/>
              </w:rPr>
              <w:drawing>
                <wp:inline distT="0" distB="0" distL="0" distR="0">
                  <wp:extent cx="5280025" cy="24009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16785" cy="2417784"/>
                          </a:xfrm>
                          <a:prstGeom prst="rect">
                            <a:avLst/>
                          </a:prstGeom>
                          <a:noFill/>
                        </pic:spPr>
                      </pic:pic>
                    </a:graphicData>
                  </a:graphic>
                </wp:inline>
              </w:drawing>
            </w:r>
          </w:p>
          <w:p>
            <w:pPr>
              <w:autoSpaceDE w:val="0"/>
              <w:autoSpaceDN w:val="0"/>
              <w:jc w:val="center"/>
              <w:rPr>
                <w:rFonts w:eastAsia="宋体" w:cs="Times New Roman"/>
                <w:b/>
                <w:sz w:val="21"/>
                <w:szCs w:val="21"/>
                <w:lang w:val="zh-CN" w:bidi="zh-CN"/>
              </w:rPr>
            </w:pPr>
            <w:r>
              <w:rPr>
                <w:rFonts w:eastAsia="宋体" w:cs="Times New Roman"/>
                <w:b/>
                <w:sz w:val="21"/>
                <w:szCs w:val="21"/>
                <w:lang w:val="zh-CN" w:bidi="zh-CN"/>
              </w:rPr>
              <w:t>图</w:t>
            </w:r>
            <w:r>
              <w:rPr>
                <w:rFonts w:eastAsia="宋体" w:cs="Times New Roman"/>
                <w:b/>
                <w:sz w:val="21"/>
                <w:szCs w:val="21"/>
                <w:lang w:bidi="zh-CN"/>
              </w:rPr>
              <w:t xml:space="preserve">2-1  </w:t>
            </w:r>
            <w:r>
              <w:rPr>
                <w:rFonts w:eastAsia="宋体" w:cs="Times New Roman"/>
                <w:b/>
                <w:sz w:val="21"/>
                <w:szCs w:val="21"/>
                <w:lang w:val="zh-CN" w:bidi="zh-CN"/>
              </w:rPr>
              <w:t>项目水平衡图单位：m</w:t>
            </w:r>
            <w:r>
              <w:rPr>
                <w:rFonts w:eastAsia="宋体" w:cs="Times New Roman"/>
                <w:b/>
                <w:sz w:val="21"/>
                <w:szCs w:val="21"/>
                <w:vertAlign w:val="superscript"/>
                <w:lang w:val="zh-CN" w:bidi="zh-CN"/>
              </w:rPr>
              <w:t>3</w:t>
            </w:r>
            <w:r>
              <w:rPr>
                <w:rFonts w:eastAsia="宋体" w:cs="Times New Roman"/>
                <w:b/>
                <w:sz w:val="21"/>
                <w:szCs w:val="21"/>
                <w:lang w:val="zh-CN" w:bidi="zh-CN"/>
              </w:rPr>
              <w:t>/a</w:t>
            </w:r>
          </w:p>
          <w:p>
            <w:pPr>
              <w:ind w:firstLine="506" w:firstLineChars="200"/>
              <w:rPr>
                <w:rFonts w:cs="Times New Roman"/>
                <w:b/>
                <w:spacing w:val="6"/>
                <w:kern w:val="0"/>
              </w:rPr>
            </w:pPr>
            <w:r>
              <w:rPr>
                <w:rFonts w:cs="Times New Roman"/>
                <w:b/>
                <w:spacing w:val="6"/>
                <w:kern w:val="0"/>
              </w:rPr>
              <w:t>8、劳动定员及工作制度</w:t>
            </w:r>
          </w:p>
          <w:p>
            <w:pPr>
              <w:ind w:firstLine="480" w:firstLineChars="200"/>
              <w:rPr>
                <w:rFonts w:cs="Times New Roman"/>
              </w:rPr>
            </w:pPr>
            <w:r>
              <w:rPr>
                <w:rFonts w:cs="Times New Roman"/>
              </w:rPr>
              <w:t>本项目不新增劳动定员，在现有工程原岗位上进行工作调配。</w:t>
            </w:r>
          </w:p>
          <w:p>
            <w:pPr>
              <w:ind w:firstLine="482" w:firstLineChars="200"/>
              <w:rPr>
                <w:rFonts w:cs="Times New Roman"/>
                <w:b/>
                <w:kern w:val="0"/>
              </w:rPr>
            </w:pPr>
            <w:r>
              <w:rPr>
                <w:rFonts w:cs="Times New Roman"/>
                <w:b/>
                <w:kern w:val="0"/>
              </w:rPr>
              <w:t>9、厂区平面布置</w:t>
            </w:r>
          </w:p>
          <w:p>
            <w:pPr>
              <w:ind w:firstLine="480" w:firstLineChars="200"/>
              <w:rPr>
                <w:rFonts w:cs="Times New Roman"/>
              </w:rPr>
            </w:pPr>
            <w:r>
              <w:rPr>
                <w:rFonts w:cs="Times New Roman"/>
              </w:rPr>
              <w:t>厂址整块地形呈不规则形状，厂区采用相对集中的布置方式，</w:t>
            </w:r>
            <w:r>
              <w:rPr>
                <w:rFonts w:hint="eastAsia" w:cs="Times New Roman"/>
              </w:rPr>
              <w:t>本项目拟重新调整平面布置，拟拆除现有工程配套的生活办公楼，拆除后职工办公依托位于新租用地块东北侧的现有的办公区，职工生活依托新租用地块西南侧现有生活区；并在新租用地块东南侧设置为机械设备保养维护区。在其余空地处建设标准化密闭生产厂房并与现有工程密闭生产厂房连通，将2</w:t>
            </w:r>
            <w:r>
              <w:rPr>
                <w:rFonts w:cs="Times New Roman"/>
              </w:rPr>
              <w:t>#</w:t>
            </w:r>
            <w:r>
              <w:rPr>
                <w:rFonts w:hint="eastAsia" w:cs="Times New Roman"/>
              </w:rPr>
              <w:t>骨料堆存区设置在拟建的密闭厂房西部区域，拟</w:t>
            </w:r>
            <w:r>
              <w:rPr>
                <w:rFonts w:cs="Times New Roman"/>
              </w:rPr>
              <w:t>扩建的水泥稳定材料生产线位于</w:t>
            </w:r>
            <w:r>
              <w:rPr>
                <w:rFonts w:hint="eastAsia" w:cs="Times New Roman"/>
              </w:rPr>
              <w:t>密闭厂房南</w:t>
            </w:r>
            <w:r>
              <w:rPr>
                <w:rFonts w:cs="Times New Roman"/>
              </w:rPr>
              <w:t>部。原有危险废物贮存库</w:t>
            </w:r>
            <w:r>
              <w:rPr>
                <w:rFonts w:hint="eastAsia" w:cs="Times New Roman"/>
              </w:rPr>
              <w:t>仍</w:t>
            </w:r>
            <w:r>
              <w:rPr>
                <w:rFonts w:cs="Times New Roman"/>
              </w:rPr>
              <w:t>位于厂区北部。项目各功能区布置紧凑，分区明确，以保证各工序的有序运行。项目</w:t>
            </w:r>
            <w:r>
              <w:rPr>
                <w:rFonts w:hint="eastAsia" w:cs="Times New Roman"/>
              </w:rPr>
              <w:t>扩建后</w:t>
            </w:r>
            <w:r>
              <w:rPr>
                <w:rFonts w:cs="Times New Roman"/>
              </w:rPr>
              <w:t>厂区平面布置示意图见附图</w:t>
            </w:r>
            <w:r>
              <w:rPr>
                <w:rFonts w:hint="eastAsia" w:cs="Times New Roman"/>
              </w:rPr>
              <w:t>三</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adjustRightInd w:val="0"/>
              <w:snapToGrid w:val="0"/>
              <w:spacing w:line="240" w:lineRule="auto"/>
              <w:rPr>
                <w:rFonts w:cs="Times New Roman"/>
              </w:rPr>
            </w:pPr>
            <w:r>
              <w:rPr>
                <w:rFonts w:cs="Times New Roman"/>
                <w:kern w:val="21"/>
                <w:szCs w:val="24"/>
              </w:rPr>
              <w:t>工艺流程和产排污环节</w:t>
            </w:r>
          </w:p>
        </w:tc>
        <w:tc>
          <w:tcPr>
            <w:tcW w:w="9497" w:type="dxa"/>
          </w:tcPr>
          <w:p>
            <w:pPr>
              <w:rPr>
                <w:rFonts w:cs="Times New Roman"/>
                <w:b/>
                <w:snapToGrid w:val="0"/>
                <w:kern w:val="0"/>
                <w:szCs w:val="24"/>
              </w:rPr>
            </w:pPr>
            <w:r>
              <w:rPr>
                <w:rFonts w:eastAsia="宋体" w:cs="Times New Roman"/>
                <w:b/>
                <w:bCs/>
                <w:szCs w:val="24"/>
              </w:rPr>
              <w:t>（一）</w:t>
            </w:r>
            <w:r>
              <w:rPr>
                <w:rFonts w:eastAsia="宋体" w:cs="Times New Roman"/>
                <w:b/>
                <w:snapToGrid w:val="0"/>
                <w:kern w:val="0"/>
                <w:szCs w:val="24"/>
              </w:rPr>
              <w:t>施工期工艺流程和产污分析</w:t>
            </w:r>
          </w:p>
          <w:p>
            <w:pPr>
              <w:ind w:firstLine="480" w:firstLineChars="200"/>
              <w:outlineLvl w:val="0"/>
              <w:rPr>
                <w:rFonts w:cs="Times New Roman"/>
                <w:szCs w:val="24"/>
              </w:rPr>
            </w:pPr>
            <w:r>
              <w:rPr>
                <w:rFonts w:eastAsia="宋体" w:cs="Times New Roman"/>
                <w:bCs/>
                <w:szCs w:val="24"/>
              </w:rPr>
              <w:t>拟建项目施工过程包括基础工程、主体工程、装饰工程、安装工程等工序。根据对施工内容的分析可知，本工程施工期的污染源主要有施工现场的各类机械设备噪声和物料运输的交通噪声、施工扬尘、施工人员生活污水和施工废水。施工结束后污染也随之消失，对环境影响较小，</w:t>
            </w:r>
            <w:r>
              <w:rPr>
                <w:rFonts w:cs="Times New Roman"/>
                <w:szCs w:val="24"/>
              </w:rPr>
              <w:t>具体的工艺流程和产污环节见图2-4。</w:t>
            </w:r>
          </w:p>
          <w:p>
            <w:pPr>
              <w:jc w:val="center"/>
              <w:rPr>
                <w:rFonts w:cs="Times New Roman"/>
              </w:rPr>
            </w:pPr>
            <w:r>
              <w:rPr>
                <w:rFonts w:cs="Times New Roman"/>
              </w:rPr>
              <w:drawing>
                <wp:inline distT="0" distB="0" distL="114300" distR="114300">
                  <wp:extent cx="5172710" cy="1078865"/>
                  <wp:effectExtent l="0" t="0" r="8890" b="635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10"/>
                          <a:stretch>
                            <a:fillRect/>
                          </a:stretch>
                        </pic:blipFill>
                        <pic:spPr>
                          <a:xfrm>
                            <a:off x="0" y="0"/>
                            <a:ext cx="5172710" cy="1078865"/>
                          </a:xfrm>
                          <a:prstGeom prst="rect">
                            <a:avLst/>
                          </a:prstGeom>
                          <a:noFill/>
                          <a:ln>
                            <a:noFill/>
                          </a:ln>
                        </pic:spPr>
                      </pic:pic>
                    </a:graphicData>
                  </a:graphic>
                </wp:inline>
              </w:drawing>
            </w:r>
          </w:p>
          <w:p>
            <w:pPr>
              <w:spacing w:line="240" w:lineRule="auto"/>
              <w:jc w:val="center"/>
              <w:rPr>
                <w:rFonts w:eastAsia="宋体" w:cs="Times New Roman"/>
                <w:sz w:val="21"/>
                <w:szCs w:val="21"/>
              </w:rPr>
            </w:pPr>
            <w:r>
              <w:rPr>
                <w:rFonts w:eastAsia="宋体" w:cs="Times New Roman"/>
                <w:b/>
                <w:sz w:val="21"/>
                <w:szCs w:val="21"/>
              </w:rPr>
              <w:t>图2-2  施工期工艺流程图</w:t>
            </w:r>
          </w:p>
          <w:p>
            <w:pPr>
              <w:rPr>
                <w:rFonts w:eastAsia="宋体" w:cs="Times New Roman"/>
                <w:b/>
                <w:snapToGrid w:val="0"/>
                <w:kern w:val="0"/>
                <w:szCs w:val="24"/>
              </w:rPr>
            </w:pPr>
            <w:r>
              <w:rPr>
                <w:rFonts w:cs="Times New Roman"/>
                <w:b/>
                <w:snapToGrid w:val="0"/>
                <w:kern w:val="0"/>
                <w:szCs w:val="24"/>
              </w:rPr>
              <w:t>（二）</w:t>
            </w:r>
            <w:r>
              <w:rPr>
                <w:rFonts w:eastAsia="宋体" w:cs="Times New Roman"/>
                <w:b/>
                <w:snapToGrid w:val="0"/>
                <w:kern w:val="0"/>
                <w:szCs w:val="24"/>
              </w:rPr>
              <w:t>运营期工艺流程和产污分析</w:t>
            </w:r>
          </w:p>
          <w:p>
            <w:pPr>
              <w:pStyle w:val="36"/>
              <w:spacing w:line="360" w:lineRule="auto"/>
              <w:ind w:firstLine="480" w:firstLineChars="200"/>
              <w:rPr>
                <w:rFonts w:ascii="Times New Roman" w:cs="Times New Roman"/>
                <w:color w:val="auto"/>
              </w:rPr>
            </w:pPr>
            <w:r>
              <w:rPr>
                <w:rFonts w:hint="eastAsia" w:ascii="Times New Roman" w:cs="Times New Roman"/>
                <w:color w:val="auto"/>
              </w:rPr>
              <w:t>1、沥青储罐工艺流程和产污分析</w:t>
            </w:r>
          </w:p>
          <w:p>
            <w:pPr>
              <w:pStyle w:val="36"/>
              <w:spacing w:line="360" w:lineRule="auto"/>
              <w:jc w:val="center"/>
              <w:rPr>
                <w:rFonts w:ascii="Times New Roman" w:cs="Times New Roman"/>
                <w:color w:val="auto"/>
              </w:rPr>
            </w:pPr>
            <w:r>
              <w:rPr>
                <w:rFonts w:ascii="Times New Roman" w:cs="Times New Roman"/>
                <w:color w:val="auto"/>
              </w:rPr>
              <w:drawing>
                <wp:inline distT="0" distB="0" distL="0" distR="0">
                  <wp:extent cx="3636010" cy="965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39034" cy="992870"/>
                          </a:xfrm>
                          <a:prstGeom prst="rect">
                            <a:avLst/>
                          </a:prstGeom>
                          <a:noFill/>
                        </pic:spPr>
                      </pic:pic>
                    </a:graphicData>
                  </a:graphic>
                </wp:inline>
              </w:drawing>
            </w:r>
          </w:p>
          <w:p>
            <w:pPr>
              <w:spacing w:line="240" w:lineRule="auto"/>
              <w:jc w:val="center"/>
              <w:rPr>
                <w:rFonts w:eastAsia="宋体" w:cs="Times New Roman"/>
                <w:b/>
                <w:sz w:val="21"/>
                <w:szCs w:val="21"/>
              </w:rPr>
            </w:pPr>
            <w:r>
              <w:rPr>
                <w:rFonts w:hint="eastAsia" w:eastAsia="宋体" w:cs="Times New Roman"/>
                <w:b/>
                <w:sz w:val="21"/>
                <w:szCs w:val="21"/>
              </w:rPr>
              <w:t>图2</w:t>
            </w:r>
            <w:r>
              <w:rPr>
                <w:rFonts w:eastAsia="宋体" w:cs="Times New Roman"/>
                <w:b/>
                <w:sz w:val="21"/>
                <w:szCs w:val="21"/>
              </w:rPr>
              <w:t xml:space="preserve">.3  </w:t>
            </w:r>
            <w:r>
              <w:rPr>
                <w:rFonts w:hint="eastAsia" w:eastAsia="宋体" w:cs="Times New Roman"/>
                <w:b/>
                <w:sz w:val="21"/>
                <w:szCs w:val="21"/>
              </w:rPr>
              <w:t>沥青储罐工艺流程图</w:t>
            </w:r>
          </w:p>
          <w:p>
            <w:pPr>
              <w:pStyle w:val="36"/>
              <w:spacing w:line="360" w:lineRule="auto"/>
              <w:ind w:firstLine="480" w:firstLineChars="200"/>
              <w:rPr>
                <w:rFonts w:ascii="Times New Roman" w:cs="Times New Roman"/>
                <w:color w:val="auto"/>
              </w:rPr>
            </w:pPr>
            <w:r>
              <w:rPr>
                <w:rFonts w:hint="eastAsia" w:ascii="Times New Roman" w:cs="Times New Roman"/>
                <w:color w:val="auto"/>
              </w:rPr>
              <w:t>工艺流程简述：</w:t>
            </w:r>
          </w:p>
          <w:p>
            <w:pPr>
              <w:pStyle w:val="36"/>
              <w:spacing w:line="360" w:lineRule="auto"/>
              <w:ind w:firstLine="480" w:firstLineChars="200"/>
              <w:rPr>
                <w:rFonts w:ascii="Times New Roman" w:cs="Times New Roman"/>
                <w:color w:val="auto"/>
              </w:rPr>
            </w:pPr>
            <w:r>
              <w:rPr>
                <w:rFonts w:hint="eastAsia" w:ascii="Times New Roman" w:cs="Times New Roman"/>
                <w:color w:val="auto"/>
              </w:rPr>
              <w:t>（1）外购沥青：本项目外购的沥青利用厂家运输车辆运入厂区，通过密闭沥青管道将沥青送至本次新增的沥青储罐中储存。</w:t>
            </w:r>
          </w:p>
          <w:p>
            <w:pPr>
              <w:pStyle w:val="36"/>
              <w:spacing w:line="360" w:lineRule="auto"/>
              <w:ind w:firstLine="480" w:firstLineChars="200"/>
              <w:rPr>
                <w:rFonts w:ascii="Times New Roman" w:cs="Times New Roman"/>
                <w:color w:val="auto"/>
              </w:rPr>
            </w:pPr>
            <w:r>
              <w:rPr>
                <w:rFonts w:hint="eastAsia" w:ascii="Times New Roman" w:cs="Times New Roman"/>
                <w:color w:val="auto"/>
              </w:rPr>
              <w:t>（2）沥青储存与预处理：使用现有导热油炉将沥青加热至120-160℃，再经沥青泵输送到沥青计量器，按一定的配合比例分重量后通过专门管道送入沥青混合料生产线。本项目新增的沥青罐在储存及加热沥青时会产生少量呼吸废气。</w:t>
            </w:r>
          </w:p>
          <w:p>
            <w:pPr>
              <w:pStyle w:val="36"/>
              <w:spacing w:line="360" w:lineRule="auto"/>
              <w:ind w:firstLine="480" w:firstLineChars="200"/>
              <w:rPr>
                <w:rFonts w:ascii="Times New Roman" w:cs="Times New Roman"/>
                <w:color w:val="auto"/>
              </w:rPr>
            </w:pPr>
            <w:r>
              <w:rPr>
                <w:rFonts w:ascii="Times New Roman" w:cs="Times New Roman"/>
                <w:color w:val="auto"/>
              </w:rPr>
              <w:t>2</w:t>
            </w:r>
            <w:r>
              <w:rPr>
                <w:rFonts w:hint="eastAsia" w:ascii="Times New Roman" w:cs="Times New Roman"/>
                <w:color w:val="auto"/>
              </w:rPr>
              <w:t>、水稳材料生产线</w:t>
            </w:r>
            <w:r>
              <w:rPr>
                <w:rFonts w:ascii="Times New Roman" w:cs="Times New Roman"/>
                <w:color w:val="auto"/>
              </w:rPr>
              <w:t>生产工艺流程图见下图。</w:t>
            </w:r>
          </w:p>
          <w:p>
            <w:pPr>
              <w:pStyle w:val="36"/>
              <w:spacing w:line="360" w:lineRule="auto"/>
              <w:jc w:val="center"/>
              <w:rPr>
                <w:rFonts w:ascii="Times New Roman" w:cs="Times New Roman"/>
                <w:color w:val="auto"/>
              </w:rPr>
            </w:pPr>
            <w:r>
              <w:rPr>
                <w:rFonts w:ascii="Times New Roman" w:cs="Times New Roman"/>
                <w:color w:val="auto"/>
              </w:rPr>
              <w:drawing>
                <wp:inline distT="0" distB="0" distL="114300" distR="114300">
                  <wp:extent cx="5420995" cy="1985645"/>
                  <wp:effectExtent l="0" t="0" r="8255" b="1460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12"/>
                          <a:stretch>
                            <a:fillRect/>
                          </a:stretch>
                        </pic:blipFill>
                        <pic:spPr>
                          <a:xfrm>
                            <a:off x="0" y="0"/>
                            <a:ext cx="5420995" cy="1985645"/>
                          </a:xfrm>
                          <a:prstGeom prst="rect">
                            <a:avLst/>
                          </a:prstGeom>
                          <a:noFill/>
                          <a:ln>
                            <a:noFill/>
                          </a:ln>
                        </pic:spPr>
                      </pic:pic>
                    </a:graphicData>
                  </a:graphic>
                </wp:inline>
              </w:drawing>
            </w:r>
          </w:p>
          <w:p>
            <w:pPr>
              <w:pStyle w:val="36"/>
              <w:spacing w:line="360" w:lineRule="auto"/>
              <w:jc w:val="center"/>
              <w:rPr>
                <w:rFonts w:ascii="Times New Roman" w:cs="Times New Roman"/>
                <w:color w:val="auto"/>
                <w:sz w:val="22"/>
                <w:szCs w:val="22"/>
              </w:rPr>
            </w:pPr>
            <w:r>
              <w:rPr>
                <w:rFonts w:ascii="Times New Roman" w:cs="Times New Roman"/>
                <w:b/>
                <w:color w:val="auto"/>
                <w:sz w:val="21"/>
                <w:szCs w:val="21"/>
              </w:rPr>
              <w:t>图2-3  水泥稳定材料生产线工艺流程图</w:t>
            </w:r>
          </w:p>
          <w:p>
            <w:pPr>
              <w:pStyle w:val="36"/>
              <w:spacing w:line="360" w:lineRule="auto"/>
              <w:ind w:firstLine="480" w:firstLineChars="200"/>
              <w:rPr>
                <w:rFonts w:ascii="Times New Roman" w:cs="Times New Roman"/>
                <w:color w:val="auto"/>
              </w:rPr>
            </w:pPr>
            <w:r>
              <w:rPr>
                <w:rFonts w:ascii="Times New Roman" w:cs="Times New Roman"/>
                <w:color w:val="auto"/>
              </w:rPr>
              <w:t>工艺流程简述：</w:t>
            </w:r>
          </w:p>
          <w:p>
            <w:pPr>
              <w:pStyle w:val="36"/>
              <w:spacing w:line="360" w:lineRule="auto"/>
              <w:ind w:firstLine="480" w:firstLineChars="200"/>
              <w:rPr>
                <w:rFonts w:ascii="Times New Roman" w:cs="Times New Roman"/>
                <w:color w:val="auto"/>
              </w:rPr>
            </w:pPr>
            <w:r>
              <w:rPr>
                <w:rFonts w:ascii="Times New Roman" w:cs="Times New Roman"/>
                <w:color w:val="auto"/>
              </w:rPr>
              <w:t>（1）物料输送：本项目将外购的原料（水泥、砂子、砾石）利用运输车辆运入厂区，卸入原料区</w:t>
            </w:r>
            <w:r>
              <w:rPr>
                <w:rFonts w:hint="eastAsia" w:ascii="Times New Roman" w:cs="Times New Roman"/>
                <w:color w:val="auto"/>
              </w:rPr>
              <w:t>及</w:t>
            </w:r>
            <w:r>
              <w:rPr>
                <w:rFonts w:ascii="Times New Roman" w:cs="Times New Roman"/>
                <w:color w:val="auto"/>
              </w:rPr>
              <w:t>筒仓中进行存放。此过程会产生车辆运输废气、装卸堆存废气、筒仓呼吸废气及噪声。</w:t>
            </w:r>
          </w:p>
          <w:p>
            <w:pPr>
              <w:pStyle w:val="36"/>
              <w:spacing w:line="360" w:lineRule="auto"/>
              <w:ind w:firstLine="480" w:firstLineChars="200"/>
              <w:rPr>
                <w:rFonts w:ascii="Times New Roman" w:cs="Times New Roman"/>
                <w:color w:val="auto"/>
              </w:rPr>
            </w:pPr>
            <w:r>
              <w:rPr>
                <w:rFonts w:ascii="Times New Roman" w:cs="Times New Roman"/>
                <w:color w:val="auto"/>
              </w:rPr>
              <w:t>（2）物料计量：物料从料仓通过全密闭传送带运至拌合台；水泥采用螺旋输送机输送至拌合台。从此过程会产生物料输送粉尘和噪声。</w:t>
            </w:r>
          </w:p>
          <w:p>
            <w:pPr>
              <w:pStyle w:val="36"/>
              <w:spacing w:line="360" w:lineRule="auto"/>
              <w:ind w:firstLine="480" w:firstLineChars="200"/>
              <w:rPr>
                <w:rFonts w:ascii="Times New Roman" w:cs="Times New Roman"/>
                <w:color w:val="auto"/>
              </w:rPr>
            </w:pPr>
            <w:r>
              <w:rPr>
                <w:rFonts w:ascii="Times New Roman" w:cs="Times New Roman"/>
                <w:color w:val="auto"/>
              </w:rPr>
              <w:t>（3）搅拌：将原材料和水按照比例和顺序加入拌合台中进行搅拌，此过程会产生搅拌废气和噪声。</w:t>
            </w:r>
          </w:p>
          <w:p>
            <w:pPr>
              <w:pStyle w:val="36"/>
              <w:spacing w:line="360" w:lineRule="auto"/>
              <w:ind w:firstLine="480" w:firstLineChars="200"/>
              <w:rPr>
                <w:rFonts w:ascii="Times New Roman" w:cs="Times New Roman"/>
                <w:color w:val="auto"/>
              </w:rPr>
            </w:pPr>
            <w:r>
              <w:rPr>
                <w:rFonts w:ascii="Times New Roman" w:cs="Times New Roman"/>
                <w:color w:val="auto"/>
              </w:rPr>
              <w:t>（4）外运：搅拌合格的产品，通过传送带运输至装卸台进入运输车送至建筑工地。此过程会产生车辆运输废气和噪声。</w:t>
            </w:r>
          </w:p>
          <w:p>
            <w:pPr>
              <w:autoSpaceDE w:val="0"/>
              <w:autoSpaceDN w:val="0"/>
              <w:spacing w:line="240" w:lineRule="auto"/>
              <w:jc w:val="center"/>
              <w:rPr>
                <w:rFonts w:cs="Times New Roman"/>
                <w:b/>
                <w:sz w:val="21"/>
                <w:szCs w:val="21"/>
                <w:lang w:val="zh-CN" w:bidi="zh-CN"/>
              </w:rPr>
            </w:pPr>
            <w:r>
              <w:rPr>
                <w:rFonts w:cs="Times New Roman"/>
                <w:b/>
                <w:sz w:val="21"/>
                <w:szCs w:val="21"/>
                <w:lang w:val="zh-CN" w:bidi="zh-CN"/>
              </w:rPr>
              <w:t>表2-</w:t>
            </w:r>
            <w:r>
              <w:rPr>
                <w:rFonts w:cs="Times New Roman"/>
                <w:b/>
                <w:sz w:val="21"/>
                <w:szCs w:val="21"/>
                <w:lang w:bidi="zh-CN"/>
              </w:rPr>
              <w:t>6</w:t>
            </w:r>
            <w:r>
              <w:rPr>
                <w:rFonts w:cs="Times New Roman"/>
                <w:b/>
                <w:sz w:val="21"/>
                <w:szCs w:val="21"/>
                <w:lang w:val="zh-CN" w:bidi="zh-CN"/>
              </w:rPr>
              <w:t xml:space="preserve">  项目生产工序及产排污环节一览表</w:t>
            </w:r>
          </w:p>
          <w:tbl>
            <w:tblPr>
              <w:tblStyle w:val="18"/>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648"/>
              <w:gridCol w:w="1887"/>
              <w:gridCol w:w="392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tcBorders>
                    <w:tl2br w:val="nil"/>
                    <w:tr2bl w:val="nil"/>
                  </w:tcBorders>
                  <w:vAlign w:val="center"/>
                </w:tcPr>
                <w:p>
                  <w:pPr>
                    <w:widowControl/>
                    <w:adjustRightInd w:val="0"/>
                    <w:snapToGrid w:val="0"/>
                    <w:spacing w:line="240" w:lineRule="auto"/>
                    <w:jc w:val="center"/>
                    <w:rPr>
                      <w:rFonts w:cs="Times New Roman"/>
                      <w:b/>
                      <w:bCs/>
                      <w:kern w:val="0"/>
                      <w:sz w:val="21"/>
                      <w:szCs w:val="21"/>
                      <w:lang w:bidi="ar"/>
                    </w:rPr>
                  </w:pPr>
                  <w:r>
                    <w:rPr>
                      <w:rFonts w:cs="Times New Roman"/>
                      <w:b/>
                      <w:bCs/>
                      <w:kern w:val="0"/>
                      <w:sz w:val="21"/>
                      <w:szCs w:val="21"/>
                      <w:lang w:bidi="ar"/>
                    </w:rPr>
                    <w:t>类别</w:t>
                  </w:r>
                </w:p>
              </w:tc>
              <w:tc>
                <w:tcPr>
                  <w:tcW w:w="1427" w:type="pct"/>
                  <w:tcBorders>
                    <w:tl2br w:val="nil"/>
                    <w:tr2bl w:val="nil"/>
                  </w:tcBorders>
                  <w:vAlign w:val="center"/>
                </w:tcPr>
                <w:p>
                  <w:pPr>
                    <w:widowControl/>
                    <w:adjustRightInd w:val="0"/>
                    <w:snapToGrid w:val="0"/>
                    <w:spacing w:line="240" w:lineRule="auto"/>
                    <w:jc w:val="center"/>
                    <w:rPr>
                      <w:rFonts w:cs="Times New Roman"/>
                      <w:b/>
                      <w:bCs/>
                      <w:kern w:val="0"/>
                      <w:sz w:val="21"/>
                      <w:szCs w:val="21"/>
                      <w:lang w:bidi="ar"/>
                    </w:rPr>
                  </w:pPr>
                  <w:r>
                    <w:rPr>
                      <w:rFonts w:cs="Times New Roman"/>
                      <w:b/>
                      <w:bCs/>
                      <w:kern w:val="0"/>
                      <w:sz w:val="21"/>
                      <w:szCs w:val="21"/>
                      <w:lang w:bidi="ar"/>
                    </w:rPr>
                    <w:t>产污环节</w:t>
                  </w:r>
                </w:p>
              </w:tc>
              <w:tc>
                <w:tcPr>
                  <w:tcW w:w="1017" w:type="pct"/>
                  <w:tcBorders>
                    <w:tl2br w:val="nil"/>
                    <w:tr2bl w:val="nil"/>
                  </w:tcBorders>
                  <w:vAlign w:val="center"/>
                </w:tcPr>
                <w:p>
                  <w:pPr>
                    <w:widowControl/>
                    <w:adjustRightInd w:val="0"/>
                    <w:snapToGrid w:val="0"/>
                    <w:spacing w:line="240" w:lineRule="auto"/>
                    <w:jc w:val="center"/>
                    <w:rPr>
                      <w:rFonts w:cs="Times New Roman"/>
                      <w:b/>
                      <w:bCs/>
                      <w:kern w:val="0"/>
                      <w:sz w:val="21"/>
                      <w:szCs w:val="21"/>
                      <w:lang w:bidi="ar"/>
                    </w:rPr>
                  </w:pPr>
                  <w:r>
                    <w:rPr>
                      <w:rFonts w:cs="Times New Roman"/>
                      <w:b/>
                      <w:bCs/>
                      <w:kern w:val="0"/>
                      <w:sz w:val="21"/>
                      <w:szCs w:val="21"/>
                      <w:lang w:bidi="ar"/>
                    </w:rPr>
                    <w:t>污染物类型</w:t>
                  </w:r>
                </w:p>
              </w:tc>
              <w:tc>
                <w:tcPr>
                  <w:tcW w:w="2115" w:type="pct"/>
                  <w:tcBorders>
                    <w:tl2br w:val="nil"/>
                    <w:tr2bl w:val="nil"/>
                  </w:tcBorders>
                  <w:vAlign w:val="center"/>
                </w:tcPr>
                <w:p>
                  <w:pPr>
                    <w:widowControl/>
                    <w:adjustRightInd w:val="0"/>
                    <w:snapToGrid w:val="0"/>
                    <w:spacing w:line="240" w:lineRule="auto"/>
                    <w:jc w:val="center"/>
                    <w:rPr>
                      <w:rFonts w:cs="Times New Roman"/>
                      <w:b/>
                      <w:bCs/>
                      <w:kern w:val="0"/>
                      <w:sz w:val="21"/>
                      <w:szCs w:val="21"/>
                      <w:lang w:bidi="ar"/>
                    </w:rPr>
                  </w:pPr>
                  <w:r>
                    <w:rPr>
                      <w:rFonts w:cs="Times New Roman"/>
                      <w:b/>
                      <w:bCs/>
                      <w:kern w:val="0"/>
                      <w:sz w:val="21"/>
                      <w:szCs w:val="21"/>
                      <w:lang w:bidi="ar"/>
                    </w:rPr>
                    <w:t>污染因子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restar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废气</w:t>
                  </w:r>
                </w:p>
              </w:tc>
              <w:tc>
                <w:tcPr>
                  <w:tcW w:w="142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车辆运输</w:t>
                  </w:r>
                </w:p>
              </w:tc>
              <w:tc>
                <w:tcPr>
                  <w:tcW w:w="101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粉尘</w:t>
                  </w:r>
                </w:p>
              </w:tc>
              <w:tc>
                <w:tcPr>
                  <w:tcW w:w="2115"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continue"/>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p>
              </w:tc>
              <w:tc>
                <w:tcPr>
                  <w:tcW w:w="142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物料堆存和装卸</w:t>
                  </w:r>
                </w:p>
              </w:tc>
              <w:tc>
                <w:tcPr>
                  <w:tcW w:w="101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粉尘</w:t>
                  </w:r>
                </w:p>
              </w:tc>
              <w:tc>
                <w:tcPr>
                  <w:tcW w:w="2115"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continue"/>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p>
              </w:tc>
              <w:tc>
                <w:tcPr>
                  <w:tcW w:w="142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筒仓呼吸</w:t>
                  </w:r>
                </w:p>
              </w:tc>
              <w:tc>
                <w:tcPr>
                  <w:tcW w:w="101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粉尘</w:t>
                  </w:r>
                </w:p>
              </w:tc>
              <w:tc>
                <w:tcPr>
                  <w:tcW w:w="2115"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continue"/>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p>
              </w:tc>
              <w:tc>
                <w:tcPr>
                  <w:tcW w:w="142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eastAsia="宋体" w:cs="Times New Roman"/>
                      <w:kern w:val="0"/>
                      <w:sz w:val="21"/>
                      <w:szCs w:val="21"/>
                      <w:lang w:bidi="ar"/>
                    </w:rPr>
                    <w:t>物料输送</w:t>
                  </w:r>
                </w:p>
              </w:tc>
              <w:tc>
                <w:tcPr>
                  <w:tcW w:w="101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粉尘</w:t>
                  </w:r>
                </w:p>
              </w:tc>
              <w:tc>
                <w:tcPr>
                  <w:tcW w:w="2115"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continue"/>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p>
              </w:tc>
              <w:tc>
                <w:tcPr>
                  <w:tcW w:w="142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eastAsia="宋体" w:cs="Times New Roman"/>
                      <w:kern w:val="0"/>
                      <w:sz w:val="21"/>
                      <w:szCs w:val="21"/>
                      <w:lang w:bidi="ar"/>
                    </w:rPr>
                    <w:t>物料搅拌</w:t>
                  </w:r>
                </w:p>
              </w:tc>
              <w:tc>
                <w:tcPr>
                  <w:tcW w:w="101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粉尘</w:t>
                  </w:r>
                </w:p>
              </w:tc>
              <w:tc>
                <w:tcPr>
                  <w:tcW w:w="2115"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continue"/>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p>
              </w:tc>
              <w:tc>
                <w:tcPr>
                  <w:tcW w:w="142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eastAsia="宋体" w:cs="Times New Roman"/>
                      <w:kern w:val="0"/>
                      <w:sz w:val="21"/>
                      <w:szCs w:val="21"/>
                      <w:lang w:bidi="ar"/>
                    </w:rPr>
                    <w:t>沥青储存</w:t>
                  </w:r>
                  <w:r>
                    <w:rPr>
                      <w:rFonts w:hint="eastAsia" w:eastAsia="宋体" w:cs="Times New Roman"/>
                      <w:kern w:val="0"/>
                      <w:sz w:val="21"/>
                      <w:szCs w:val="21"/>
                      <w:lang w:bidi="ar"/>
                    </w:rPr>
                    <w:t>与加热</w:t>
                  </w:r>
                </w:p>
              </w:tc>
              <w:tc>
                <w:tcPr>
                  <w:tcW w:w="101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沥青废气</w:t>
                  </w:r>
                </w:p>
              </w:tc>
              <w:tc>
                <w:tcPr>
                  <w:tcW w:w="2115"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沥青烟、苯并[a]芘</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废水</w:t>
                  </w:r>
                </w:p>
              </w:tc>
              <w:tc>
                <w:tcPr>
                  <w:tcW w:w="142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车辆冲洗</w:t>
                  </w:r>
                </w:p>
              </w:tc>
              <w:tc>
                <w:tcPr>
                  <w:tcW w:w="101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车辆冲洗废水</w:t>
                  </w:r>
                </w:p>
              </w:tc>
              <w:tc>
                <w:tcPr>
                  <w:tcW w:w="2115"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eastAsia="宋体" w:cs="Times New Roman"/>
                      <w:kern w:val="0"/>
                      <w:sz w:val="21"/>
                      <w:szCs w:val="21"/>
                      <w:lang w:bidi="ar"/>
                    </w:rPr>
                    <w:t>SS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噪声</w:t>
                  </w:r>
                </w:p>
              </w:tc>
              <w:tc>
                <w:tcPr>
                  <w:tcW w:w="142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拌合设备、废气治理风机等</w:t>
                  </w:r>
                </w:p>
              </w:tc>
              <w:tc>
                <w:tcPr>
                  <w:tcW w:w="101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设备噪声</w:t>
                  </w:r>
                </w:p>
              </w:tc>
              <w:tc>
                <w:tcPr>
                  <w:tcW w:w="2115"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restar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固体废物</w:t>
                  </w:r>
                </w:p>
              </w:tc>
              <w:tc>
                <w:tcPr>
                  <w:tcW w:w="1427" w:type="pct"/>
                  <w:vMerge w:val="restar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eastAsia="宋体" w:cs="Times New Roman"/>
                      <w:kern w:val="0"/>
                      <w:sz w:val="21"/>
                      <w:szCs w:val="21"/>
                      <w:lang w:bidi="ar"/>
                    </w:rPr>
                    <w:t>生产过程</w:t>
                  </w:r>
                </w:p>
              </w:tc>
              <w:tc>
                <w:tcPr>
                  <w:tcW w:w="1017"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一般固体废物</w:t>
                  </w:r>
                </w:p>
              </w:tc>
              <w:tc>
                <w:tcPr>
                  <w:tcW w:w="2115" w:type="pct"/>
                  <w:tcBorders>
                    <w:tl2br w:val="nil"/>
                    <w:tr2bl w:val="nil"/>
                  </w:tcBorders>
                  <w:vAlign w:val="center"/>
                </w:tcPr>
                <w:p>
                  <w:pPr>
                    <w:widowControl/>
                    <w:adjustRightInd w:val="0"/>
                    <w:snapToGrid w:val="0"/>
                    <w:spacing w:line="240" w:lineRule="auto"/>
                    <w:jc w:val="center"/>
                    <w:rPr>
                      <w:rFonts w:eastAsia="宋体" w:cs="Times New Roman"/>
                      <w:kern w:val="0"/>
                      <w:sz w:val="21"/>
                      <w:szCs w:val="21"/>
                      <w:lang w:bidi="ar"/>
                    </w:rPr>
                  </w:pPr>
                  <w:r>
                    <w:rPr>
                      <w:rFonts w:cs="Times New Roman"/>
                      <w:kern w:val="0"/>
                      <w:sz w:val="21"/>
                      <w:szCs w:val="21"/>
                      <w:lang w:bidi="ar"/>
                    </w:rPr>
                    <w:t>除尘器收集粉尘、沉淀池沉渣</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Merge w:val="continue"/>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p>
              </w:tc>
              <w:tc>
                <w:tcPr>
                  <w:tcW w:w="1427" w:type="pct"/>
                  <w:vMerge w:val="continue"/>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p>
              </w:tc>
              <w:tc>
                <w:tcPr>
                  <w:tcW w:w="1017" w:type="pct"/>
                  <w:tcBorders>
                    <w:tl2br w:val="nil"/>
                    <w:tr2bl w:val="nil"/>
                  </w:tcBorders>
                  <w:vAlign w:val="center"/>
                </w:tcPr>
                <w:p>
                  <w:pPr>
                    <w:widowControl/>
                    <w:adjustRightInd w:val="0"/>
                    <w:snapToGrid w:val="0"/>
                    <w:spacing w:line="240" w:lineRule="auto"/>
                    <w:jc w:val="center"/>
                    <w:rPr>
                      <w:rFonts w:cs="Times New Roman"/>
                      <w:kern w:val="0"/>
                      <w:sz w:val="21"/>
                      <w:szCs w:val="21"/>
                      <w:lang w:bidi="ar"/>
                    </w:rPr>
                  </w:pPr>
                  <w:r>
                    <w:rPr>
                      <w:rFonts w:cs="Times New Roman"/>
                      <w:kern w:val="0"/>
                      <w:sz w:val="21"/>
                      <w:szCs w:val="21"/>
                      <w:lang w:bidi="ar"/>
                    </w:rPr>
                    <w:t>危险废物</w:t>
                  </w:r>
                </w:p>
              </w:tc>
              <w:tc>
                <w:tcPr>
                  <w:tcW w:w="2115" w:type="pct"/>
                  <w:tcBorders>
                    <w:tl2br w:val="nil"/>
                    <w:tr2bl w:val="nil"/>
                  </w:tcBorders>
                  <w:vAlign w:val="center"/>
                </w:tcPr>
                <w:p>
                  <w:pPr>
                    <w:pStyle w:val="37"/>
                    <w:kinsoku w:val="0"/>
                    <w:overflowPunct w:val="0"/>
                    <w:spacing w:line="240" w:lineRule="auto"/>
                    <w:contextualSpacing/>
                    <w:rPr>
                      <w:rFonts w:ascii="Times New Roman" w:hAnsi="Times New Roman" w:cs="Times New Roman"/>
                      <w:kern w:val="0"/>
                      <w:sz w:val="21"/>
                      <w:szCs w:val="21"/>
                      <w:lang w:val="en-US" w:bidi="ar"/>
                    </w:rPr>
                  </w:pPr>
                  <w:r>
                    <w:rPr>
                      <w:rFonts w:ascii="Times New Roman" w:hAnsi="Times New Roman" w:cs="Times New Roman"/>
                      <w:sz w:val="21"/>
                      <w:szCs w:val="21"/>
                      <w:lang w:val="en-US"/>
                    </w:rPr>
                    <w:t>废机油、废油桶、废活性炭</w:t>
                  </w:r>
                </w:p>
              </w:tc>
            </w:tr>
          </w:tbl>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adjustRightInd w:val="0"/>
              <w:snapToGrid w:val="0"/>
              <w:spacing w:line="240" w:lineRule="auto"/>
              <w:rPr>
                <w:rFonts w:cs="Times New Roman"/>
              </w:rPr>
            </w:pPr>
            <w:r>
              <w:rPr>
                <w:rFonts w:cs="Times New Roman"/>
                <w:bCs/>
                <w:kern w:val="21"/>
                <w:szCs w:val="24"/>
              </w:rPr>
              <w:t>与项目有关的原有环境污染问题</w:t>
            </w:r>
          </w:p>
        </w:tc>
        <w:tc>
          <w:tcPr>
            <w:tcW w:w="9497" w:type="dxa"/>
          </w:tcPr>
          <w:p>
            <w:pPr>
              <w:pStyle w:val="36"/>
              <w:spacing w:before="120" w:beforeLines="50" w:line="360" w:lineRule="auto"/>
              <w:rPr>
                <w:rFonts w:ascii="Times New Roman" w:cs="Times New Roman"/>
                <w:b/>
                <w:bCs/>
                <w:color w:val="auto"/>
              </w:rPr>
            </w:pPr>
            <w:r>
              <w:rPr>
                <w:rFonts w:ascii="Times New Roman" w:cs="Times New Roman"/>
                <w:b/>
                <w:bCs/>
                <w:color w:val="auto"/>
                <w:kern w:val="2"/>
              </w:rPr>
              <w:t>一、现有环保手续履行情况</w:t>
            </w:r>
          </w:p>
          <w:p>
            <w:pPr>
              <w:ind w:firstLine="480" w:firstLineChars="200"/>
              <w:rPr>
                <w:rFonts w:cs="Times New Roman"/>
              </w:rPr>
            </w:pPr>
            <w:r>
              <w:rPr>
                <w:rFonts w:cs="Times New Roman"/>
              </w:rPr>
              <w:t>周至科达路面建设材料有限公司于2017年在周至县渭河工业区周普路3号投资建设AC材料技术应用及再生产业化项目。本项目于2017年8月17日取得了环评批复，批复文号：周环批复</w:t>
            </w:r>
            <w:r>
              <w:rPr>
                <w:rFonts w:eastAsia="宋体" w:cs="Times New Roman"/>
              </w:rPr>
              <w:t>〔</w:t>
            </w:r>
            <w:r>
              <w:rPr>
                <w:rFonts w:cs="Times New Roman"/>
              </w:rPr>
              <w:t>2017</w:t>
            </w:r>
            <w:r>
              <w:rPr>
                <w:rFonts w:eastAsia="宋体" w:cs="Times New Roman"/>
              </w:rPr>
              <w:t>〕</w:t>
            </w:r>
            <w:r>
              <w:rPr>
                <w:rFonts w:cs="Times New Roman"/>
              </w:rPr>
              <w:t>12号。2018年8月委托西安普罗环境工程有限公司编制了《AC材料技术应用及再生产业化项目（水、气）竣工环境保护验收监测报告表》，并于2018年9月经专家评审，通过了项目的竣工环境保护验收。2023年2月搅拌楼生产废气排气筒及导热油炉排气筒的内径进行了合理优化编制了变更说明，并通过了专家评审；2023年5月燃料使用方案进行了调整编制了变更说明，并通过了专家评审。</w:t>
            </w:r>
            <w:r>
              <w:rPr>
                <w:rFonts w:hint="eastAsia" w:cs="Times New Roman"/>
              </w:rPr>
              <w:t>2</w:t>
            </w:r>
            <w:r>
              <w:rPr>
                <w:rFonts w:cs="Times New Roman"/>
              </w:rPr>
              <w:t>023</w:t>
            </w:r>
            <w:r>
              <w:rPr>
                <w:rFonts w:hint="eastAsia" w:cs="Times New Roman"/>
              </w:rPr>
              <w:t>年1</w:t>
            </w:r>
            <w:r>
              <w:rPr>
                <w:rFonts w:cs="Times New Roman"/>
              </w:rPr>
              <w:t>0~</w:t>
            </w:r>
            <w:r>
              <w:rPr>
                <w:rFonts w:hint="eastAsia" w:cs="Times New Roman"/>
              </w:rPr>
              <w:t>1</w:t>
            </w:r>
            <w:r>
              <w:rPr>
                <w:rFonts w:cs="Times New Roman"/>
              </w:rPr>
              <w:t>2</w:t>
            </w:r>
            <w:r>
              <w:rPr>
                <w:rFonts w:hint="eastAsia" w:cs="Times New Roman"/>
              </w:rPr>
              <w:t>月建设单位针对原有沥青烟气处理设施进行了升级改造，改造后将沥青罐呼吸废气、搅拌楼卸料口沥青烟气单独收集至沥青烟处理设施处理后于1</w:t>
            </w:r>
            <w:r>
              <w:rPr>
                <w:rFonts w:cs="Times New Roman"/>
              </w:rPr>
              <w:t>5.3m</w:t>
            </w:r>
            <w:r>
              <w:rPr>
                <w:rFonts w:hint="eastAsia" w:cs="Times New Roman"/>
              </w:rPr>
              <w:t>高排气筒排放，并编制了变更说明，并通过了专家评审。</w:t>
            </w:r>
          </w:p>
          <w:p>
            <w:pPr>
              <w:ind w:firstLine="480" w:firstLineChars="200"/>
              <w:rPr>
                <w:rFonts w:eastAsia="宋体" w:cs="Times New Roman"/>
                <w:szCs w:val="24"/>
              </w:rPr>
            </w:pPr>
            <w:r>
              <w:rPr>
                <w:rFonts w:eastAsia="宋体" w:cs="Times New Roman"/>
                <w:szCs w:val="24"/>
              </w:rPr>
              <w:t>根据现场勘查，公司内现有化粪池、危险废物贮存库及废气处理等环保设施设置规范，且通过竣工环保验收评审会，已申领完成排污许可证。突发环境事件应急预案需进行修编，各环保手续履行情况见表2-7。</w:t>
            </w:r>
          </w:p>
          <w:p>
            <w:pPr>
              <w:adjustRightInd w:val="0"/>
              <w:snapToGrid w:val="0"/>
              <w:spacing w:line="240" w:lineRule="auto"/>
              <w:jc w:val="center"/>
              <w:rPr>
                <w:rFonts w:eastAsia="宋体" w:cs="Times New Roman"/>
                <w:b/>
                <w:sz w:val="21"/>
                <w:szCs w:val="21"/>
              </w:rPr>
            </w:pPr>
            <w:r>
              <w:rPr>
                <w:rFonts w:eastAsia="宋体" w:cs="Times New Roman"/>
                <w:b/>
                <w:sz w:val="21"/>
                <w:szCs w:val="21"/>
              </w:rPr>
              <w:t>表2-7  企业现有环保手续履行情况</w:t>
            </w:r>
          </w:p>
          <w:tbl>
            <w:tblPr>
              <w:tblStyle w:val="19"/>
              <w:tblW w:w="499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304"/>
              <w:gridCol w:w="1761"/>
              <w:gridCol w:w="379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pct"/>
                  <w:tcBorders>
                    <w:tl2br w:val="nil"/>
                    <w:tr2bl w:val="nil"/>
                  </w:tcBorders>
                  <w:vAlign w:val="center"/>
                </w:tcPr>
                <w:p>
                  <w:pPr>
                    <w:pStyle w:val="23"/>
                    <w:rPr>
                      <w:color w:val="auto"/>
                    </w:rPr>
                  </w:pPr>
                  <w:r>
                    <w:rPr>
                      <w:color w:val="auto"/>
                    </w:rPr>
                    <w:t>项目名称</w:t>
                  </w:r>
                </w:p>
              </w:tc>
              <w:tc>
                <w:tcPr>
                  <w:tcW w:w="703" w:type="pct"/>
                  <w:tcBorders>
                    <w:tl2br w:val="nil"/>
                    <w:tr2bl w:val="nil"/>
                  </w:tcBorders>
                  <w:vAlign w:val="center"/>
                </w:tcPr>
                <w:p>
                  <w:pPr>
                    <w:pStyle w:val="23"/>
                    <w:rPr>
                      <w:color w:val="auto"/>
                    </w:rPr>
                  </w:pPr>
                  <w:r>
                    <w:rPr>
                      <w:color w:val="auto"/>
                    </w:rPr>
                    <w:t>审批类别</w:t>
                  </w: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审批时间</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审批情况（批复文号/许可证编号）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pct"/>
                  <w:vMerge w:val="restart"/>
                  <w:tcBorders>
                    <w:tl2br w:val="nil"/>
                    <w:tr2bl w:val="nil"/>
                  </w:tcBorders>
                  <w:vAlign w:val="center"/>
                </w:tcPr>
                <w:p>
                  <w:pPr>
                    <w:pStyle w:val="23"/>
                    <w:rPr>
                      <w:color w:val="auto"/>
                    </w:rPr>
                  </w:pPr>
                  <w:r>
                    <w:rPr>
                      <w:color w:val="auto"/>
                    </w:rPr>
                    <w:t>AC材料技术应用及再生产业化项目</w:t>
                  </w:r>
                </w:p>
              </w:tc>
              <w:tc>
                <w:tcPr>
                  <w:tcW w:w="703" w:type="pct"/>
                  <w:tcBorders>
                    <w:tl2br w:val="nil"/>
                    <w:tr2bl w:val="nil"/>
                  </w:tcBorders>
                  <w:vAlign w:val="center"/>
                </w:tcPr>
                <w:p>
                  <w:pPr>
                    <w:pStyle w:val="23"/>
                    <w:rPr>
                      <w:color w:val="auto"/>
                    </w:rPr>
                  </w:pPr>
                  <w:r>
                    <w:rPr>
                      <w:color w:val="auto"/>
                    </w:rPr>
                    <w:t>环评</w:t>
                  </w: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2017.08.17</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周环批复〔2017〕12号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pct"/>
                  <w:vMerge w:val="continue"/>
                  <w:tcBorders>
                    <w:tl2br w:val="nil"/>
                    <w:tr2bl w:val="nil"/>
                  </w:tcBorders>
                  <w:vAlign w:val="center"/>
                </w:tcPr>
                <w:p>
                  <w:pPr>
                    <w:pStyle w:val="23"/>
                    <w:rPr>
                      <w:color w:val="auto"/>
                    </w:rPr>
                  </w:pPr>
                </w:p>
              </w:tc>
              <w:tc>
                <w:tcPr>
                  <w:tcW w:w="703" w:type="pct"/>
                  <w:vMerge w:val="restart"/>
                  <w:tcBorders>
                    <w:tl2br w:val="nil"/>
                    <w:tr2bl w:val="nil"/>
                  </w:tcBorders>
                  <w:vAlign w:val="center"/>
                </w:tcPr>
                <w:p>
                  <w:pPr>
                    <w:pStyle w:val="23"/>
                    <w:rPr>
                      <w:color w:val="auto"/>
                    </w:rPr>
                  </w:pPr>
                  <w:r>
                    <w:rPr>
                      <w:color w:val="auto"/>
                    </w:rPr>
                    <w:t>验收</w:t>
                  </w: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2018.08.16</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企业自主验收（噪声、固废）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pct"/>
                  <w:vMerge w:val="continue"/>
                  <w:tcBorders>
                    <w:tl2br w:val="nil"/>
                    <w:tr2bl w:val="nil"/>
                  </w:tcBorders>
                  <w:vAlign w:val="center"/>
                </w:tcPr>
                <w:p>
                  <w:pPr>
                    <w:pStyle w:val="23"/>
                    <w:rPr>
                      <w:color w:val="auto"/>
                    </w:rPr>
                  </w:pPr>
                </w:p>
              </w:tc>
              <w:tc>
                <w:tcPr>
                  <w:tcW w:w="703" w:type="pct"/>
                  <w:vMerge w:val="continue"/>
                  <w:tcBorders>
                    <w:tl2br w:val="nil"/>
                    <w:tr2bl w:val="nil"/>
                  </w:tcBorders>
                  <w:vAlign w:val="center"/>
                </w:tcPr>
                <w:p>
                  <w:pPr>
                    <w:pStyle w:val="23"/>
                    <w:rPr>
                      <w:color w:val="auto"/>
                    </w:rPr>
                  </w:pP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2018.09.02</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企业自主验收（水、大气）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pct"/>
                  <w:vMerge w:val="continue"/>
                  <w:tcBorders>
                    <w:tl2br w:val="nil"/>
                    <w:tr2bl w:val="nil"/>
                  </w:tcBorders>
                  <w:vAlign w:val="center"/>
                </w:tcPr>
                <w:p>
                  <w:pPr>
                    <w:pStyle w:val="23"/>
                    <w:rPr>
                      <w:color w:val="auto"/>
                    </w:rPr>
                  </w:pPr>
                </w:p>
              </w:tc>
              <w:tc>
                <w:tcPr>
                  <w:tcW w:w="703" w:type="pct"/>
                  <w:tcBorders>
                    <w:tl2br w:val="nil"/>
                    <w:tr2bl w:val="nil"/>
                  </w:tcBorders>
                  <w:vAlign w:val="center"/>
                </w:tcPr>
                <w:p>
                  <w:pPr>
                    <w:pStyle w:val="23"/>
                    <w:rPr>
                      <w:color w:val="auto"/>
                    </w:rPr>
                  </w:pPr>
                  <w:r>
                    <w:rPr>
                      <w:color w:val="auto"/>
                    </w:rPr>
                    <w:t>变更说明</w:t>
                  </w: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2023.02.27</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通过专家评审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pct"/>
                  <w:vMerge w:val="continue"/>
                  <w:tcBorders>
                    <w:tl2br w:val="nil"/>
                    <w:tr2bl w:val="nil"/>
                  </w:tcBorders>
                  <w:vAlign w:val="center"/>
                </w:tcPr>
                <w:p>
                  <w:pPr>
                    <w:pStyle w:val="23"/>
                    <w:rPr>
                      <w:color w:val="auto"/>
                    </w:rPr>
                  </w:pPr>
                </w:p>
              </w:tc>
              <w:tc>
                <w:tcPr>
                  <w:tcW w:w="703" w:type="pct"/>
                  <w:tcBorders>
                    <w:tl2br w:val="nil"/>
                    <w:tr2bl w:val="nil"/>
                  </w:tcBorders>
                  <w:vAlign w:val="center"/>
                </w:tcPr>
                <w:p>
                  <w:pPr>
                    <w:pStyle w:val="23"/>
                    <w:rPr>
                      <w:color w:val="auto"/>
                    </w:rPr>
                  </w:pPr>
                  <w:r>
                    <w:rPr>
                      <w:color w:val="auto"/>
                    </w:rPr>
                    <w:t>变更说明</w:t>
                  </w: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2023.05.18</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通过专家评审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pct"/>
                  <w:vMerge w:val="continue"/>
                  <w:tcBorders>
                    <w:tl2br w:val="nil"/>
                    <w:tr2bl w:val="nil"/>
                  </w:tcBorders>
                  <w:vAlign w:val="center"/>
                </w:tcPr>
                <w:p>
                  <w:pPr>
                    <w:pStyle w:val="23"/>
                    <w:rPr>
                      <w:color w:val="auto"/>
                    </w:rPr>
                  </w:pPr>
                </w:p>
              </w:tc>
              <w:tc>
                <w:tcPr>
                  <w:tcW w:w="703" w:type="pct"/>
                  <w:tcBorders>
                    <w:tl2br w:val="nil"/>
                    <w:tr2bl w:val="nil"/>
                  </w:tcBorders>
                  <w:vAlign w:val="center"/>
                </w:tcPr>
                <w:p>
                  <w:pPr>
                    <w:pStyle w:val="23"/>
                    <w:rPr>
                      <w:color w:val="auto"/>
                    </w:rPr>
                  </w:pPr>
                  <w:r>
                    <w:rPr>
                      <w:color w:val="auto"/>
                    </w:rPr>
                    <w:t>变更说明</w:t>
                  </w: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2023.12.28</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通过专家评审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pct"/>
                  <w:tcBorders>
                    <w:tl2br w:val="nil"/>
                    <w:tr2bl w:val="nil"/>
                  </w:tcBorders>
                  <w:vAlign w:val="center"/>
                </w:tcPr>
                <w:p>
                  <w:pPr>
                    <w:pStyle w:val="23"/>
                    <w:rPr>
                      <w:color w:val="auto"/>
                    </w:rPr>
                  </w:pPr>
                  <w:r>
                    <w:rPr>
                      <w:color w:val="auto"/>
                    </w:rPr>
                    <w:t>周至科达路面建设材料有限公司</w:t>
                  </w:r>
                </w:p>
              </w:tc>
              <w:tc>
                <w:tcPr>
                  <w:tcW w:w="703" w:type="pct"/>
                  <w:tcBorders>
                    <w:tl2br w:val="nil"/>
                    <w:tr2bl w:val="nil"/>
                  </w:tcBorders>
                  <w:vAlign w:val="center"/>
                </w:tcPr>
                <w:p>
                  <w:pPr>
                    <w:pStyle w:val="23"/>
                    <w:rPr>
                      <w:color w:val="auto"/>
                    </w:rPr>
                  </w:pPr>
                  <w:r>
                    <w:rPr>
                      <w:color w:val="auto"/>
                    </w:rPr>
                    <w:t>排污许可</w:t>
                  </w:r>
                </w:p>
              </w:tc>
              <w:tc>
                <w:tcPr>
                  <w:tcW w:w="949"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2020.11.05</w:t>
                  </w:r>
                </w:p>
              </w:tc>
              <w:tc>
                <w:tcPr>
                  <w:tcW w:w="2043" w:type="pct"/>
                  <w:tcBorders>
                    <w:tl2br w:val="nil"/>
                    <w:tr2bl w:val="nil"/>
                  </w:tcBorders>
                  <w:vAlign w:val="center"/>
                </w:tcPr>
                <w:p>
                  <w:pPr>
                    <w:pStyle w:val="3"/>
                    <w:snapToGrid w:val="0"/>
                    <w:spacing w:line="240" w:lineRule="auto"/>
                    <w:jc w:val="center"/>
                    <w:rPr>
                      <w:rFonts w:ascii="Times New Roman" w:hAnsi="Times New Roman" w:eastAsia="宋体" w:cs="Times New Roman"/>
                      <w:b w:val="0"/>
                      <w:sz w:val="21"/>
                      <w:szCs w:val="21"/>
                    </w:rPr>
                  </w:pPr>
                  <w:r>
                    <w:rPr>
                      <w:rFonts w:ascii="Times New Roman" w:hAnsi="Times New Roman" w:eastAsia="宋体" w:cs="Times New Roman"/>
                      <w:b w:val="0"/>
                      <w:sz w:val="21"/>
                      <w:szCs w:val="21"/>
                    </w:rPr>
                    <w:t>许可证编号：91610124MA6U21711E001U</w:t>
                  </w:r>
                </w:p>
              </w:tc>
            </w:tr>
          </w:tbl>
          <w:p>
            <w:pPr>
              <w:pStyle w:val="36"/>
              <w:spacing w:line="360" w:lineRule="auto"/>
              <w:rPr>
                <w:rFonts w:ascii="Times New Roman" w:cs="Times New Roman"/>
                <w:b/>
                <w:bCs/>
                <w:color w:val="auto"/>
                <w:kern w:val="2"/>
              </w:rPr>
            </w:pPr>
            <w:r>
              <w:rPr>
                <w:rFonts w:ascii="Times New Roman" w:cs="Times New Roman"/>
                <w:b/>
                <w:bCs/>
                <w:color w:val="auto"/>
                <w:kern w:val="2"/>
              </w:rPr>
              <w:t>二、现有工程概况</w:t>
            </w:r>
          </w:p>
          <w:p>
            <w:pPr>
              <w:rPr>
                <w:rFonts w:eastAsia="宋体" w:cs="Times New Roman"/>
                <w:b/>
                <w:bCs/>
                <w:szCs w:val="24"/>
              </w:rPr>
            </w:pPr>
            <w:r>
              <w:rPr>
                <w:rFonts w:eastAsia="宋体" w:cs="Times New Roman"/>
                <w:b/>
                <w:bCs/>
                <w:szCs w:val="24"/>
              </w:rPr>
              <w:t>（一）现有工程建设内容</w:t>
            </w:r>
          </w:p>
          <w:p>
            <w:pPr>
              <w:ind w:firstLine="480" w:firstLineChars="200"/>
              <w:rPr>
                <w:rFonts w:eastAsia="宋体" w:cs="Times New Roman"/>
                <w:szCs w:val="24"/>
              </w:rPr>
            </w:pPr>
            <w:r>
              <w:rPr>
                <w:rFonts w:cs="Times New Roman"/>
                <w:szCs w:val="24"/>
              </w:rPr>
              <w:t>建设有沥青混凝土生产线，建设办公综合楼一座。</w:t>
            </w:r>
            <w:r>
              <w:rPr>
                <w:rFonts w:eastAsia="宋体" w:cs="Times New Roman"/>
                <w:szCs w:val="24"/>
              </w:rPr>
              <w:t>现有工程具体建设内容见表2-8：</w:t>
            </w:r>
          </w:p>
          <w:p>
            <w:pPr>
              <w:pStyle w:val="17"/>
              <w:spacing w:after="0"/>
              <w:ind w:left="0" w:leftChars="0" w:firstLine="0" w:firstLineChars="0"/>
              <w:jc w:val="center"/>
              <w:rPr>
                <w:b/>
                <w:bCs/>
                <w:sz w:val="21"/>
                <w:szCs w:val="21"/>
              </w:rPr>
            </w:pPr>
            <w:r>
              <w:rPr>
                <w:b/>
                <w:bCs/>
                <w:sz w:val="21"/>
                <w:szCs w:val="21"/>
              </w:rPr>
              <w:t>表2-8  现有工程组成一览表</w:t>
            </w:r>
          </w:p>
          <w:tbl>
            <w:tblPr>
              <w:tblStyle w:val="18"/>
              <w:tblW w:w="4996" w:type="pct"/>
              <w:tblInd w:w="5"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499"/>
              <w:gridCol w:w="6214"/>
              <w:gridCol w:w="91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tcBorders>
                    <w:tl2br w:val="nil"/>
                    <w:tr2bl w:val="nil"/>
                  </w:tcBorders>
                  <w:vAlign w:val="center"/>
                </w:tcPr>
                <w:p>
                  <w:pPr>
                    <w:pStyle w:val="23"/>
                    <w:rPr>
                      <w:color w:val="auto"/>
                    </w:rPr>
                  </w:pPr>
                  <w:r>
                    <w:rPr>
                      <w:color w:val="auto"/>
                    </w:rPr>
                    <w:t>类别</w:t>
                  </w:r>
                </w:p>
              </w:tc>
              <w:tc>
                <w:tcPr>
                  <w:tcW w:w="4157" w:type="pct"/>
                  <w:gridSpan w:val="2"/>
                  <w:tcBorders>
                    <w:tl2br w:val="nil"/>
                    <w:tr2bl w:val="nil"/>
                  </w:tcBorders>
                  <w:vAlign w:val="center"/>
                </w:tcPr>
                <w:p>
                  <w:pPr>
                    <w:pStyle w:val="23"/>
                    <w:rPr>
                      <w:rFonts w:eastAsiaTheme="minorEastAsia"/>
                      <w:color w:val="auto"/>
                    </w:rPr>
                  </w:pPr>
                  <w:r>
                    <w:rPr>
                      <w:color w:val="auto"/>
                    </w:rPr>
                    <w:t>现有工程建设内容</w:t>
                  </w:r>
                </w:p>
              </w:tc>
              <w:tc>
                <w:tcPr>
                  <w:tcW w:w="494" w:type="pct"/>
                  <w:tcBorders>
                    <w:tl2br w:val="nil"/>
                    <w:tr2bl w:val="nil"/>
                  </w:tcBorders>
                  <w:vAlign w:val="center"/>
                </w:tcPr>
                <w:p>
                  <w:pPr>
                    <w:pStyle w:val="23"/>
                    <w:rPr>
                      <w:color w:val="auto"/>
                    </w:rPr>
                  </w:pPr>
                  <w:r>
                    <w:rPr>
                      <w:color w:val="auto"/>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restart"/>
                  <w:tcBorders>
                    <w:tl2br w:val="nil"/>
                    <w:tr2bl w:val="nil"/>
                  </w:tcBorders>
                  <w:vAlign w:val="center"/>
                </w:tcPr>
                <w:p>
                  <w:pPr>
                    <w:pStyle w:val="23"/>
                    <w:rPr>
                      <w:color w:val="auto"/>
                    </w:rPr>
                  </w:pPr>
                  <w:r>
                    <w:rPr>
                      <w:color w:val="auto"/>
                    </w:rPr>
                    <w:t>主体工程</w:t>
                  </w:r>
                </w:p>
              </w:tc>
              <w:tc>
                <w:tcPr>
                  <w:tcW w:w="4157" w:type="pct"/>
                  <w:gridSpan w:val="2"/>
                  <w:tcBorders>
                    <w:tl2br w:val="nil"/>
                    <w:tr2bl w:val="nil"/>
                  </w:tcBorders>
                  <w:vAlign w:val="center"/>
                </w:tcPr>
                <w:p>
                  <w:pPr>
                    <w:pStyle w:val="23"/>
                    <w:rPr>
                      <w:color w:val="auto"/>
                    </w:rPr>
                  </w:pPr>
                  <w:r>
                    <w:rPr>
                      <w:color w:val="auto"/>
                    </w:rPr>
                    <w:t>建有一条AC材料生产线，年生产能力20万吨。配套热再生生产线（5万吨/年）、乳化沥青生产线（500吨/年）、彩色沥青生产线（1000吨/年）各一条。其中AC材料生产线、热再生生产线、彩色沥青混凝土生产生共用1座沥青混凝土搅拌设备。</w:t>
                  </w:r>
                </w:p>
              </w:tc>
              <w:tc>
                <w:tcPr>
                  <w:tcW w:w="494" w:type="pct"/>
                  <w:tcBorders>
                    <w:tl2br w:val="nil"/>
                    <w:tr2bl w:val="nil"/>
                  </w:tcBorders>
                  <w:vAlign w:val="center"/>
                </w:tcPr>
                <w:p>
                  <w:pPr>
                    <w:pStyle w:val="23"/>
                    <w:rPr>
                      <w:color w:val="auto"/>
                    </w:rPr>
                  </w:pPr>
                  <w:r>
                    <w:rPr>
                      <w:color w:val="auto"/>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808"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配料系统</w:t>
                  </w:r>
                </w:p>
              </w:tc>
              <w:tc>
                <w:tcPr>
                  <w:tcW w:w="3349" w:type="pct"/>
                  <w:tcBorders>
                    <w:tl2br w:val="nil"/>
                    <w:tr2bl w:val="nil"/>
                  </w:tcBorders>
                  <w:vAlign w:val="center"/>
                </w:tcPr>
                <w:p>
                  <w:pPr>
                    <w:pStyle w:val="23"/>
                    <w:rPr>
                      <w:color w:val="auto"/>
                    </w:rPr>
                  </w:pPr>
                  <w:r>
                    <w:rPr>
                      <w:color w:val="auto"/>
                    </w:rPr>
                    <w:t>主要由配料器和倾斜皮带输送机组成。5个冷料仓（钢架结构，长40m×宽20m×高9m），其中石料仓3个，砂料仓2个。</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808"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干燥系统</w:t>
                  </w:r>
                </w:p>
              </w:tc>
              <w:tc>
                <w:tcPr>
                  <w:tcW w:w="3349" w:type="pct"/>
                  <w:tcBorders>
                    <w:tl2br w:val="nil"/>
                    <w:tr2bl w:val="nil"/>
                  </w:tcBorders>
                  <w:vAlign w:val="center"/>
                </w:tcPr>
                <w:p>
                  <w:pPr>
                    <w:pStyle w:val="23"/>
                    <w:rPr>
                      <w:color w:val="auto"/>
                    </w:rPr>
                  </w:pPr>
                  <w:r>
                    <w:rPr>
                      <w:color w:val="auto"/>
                    </w:rPr>
                    <w:t>要由干燥筒、柴油主喷燃器系统（油气两用）组成，配备有低氮燃烧器。</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808"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废气治理系统</w:t>
                  </w:r>
                </w:p>
              </w:tc>
              <w:tc>
                <w:tcPr>
                  <w:tcW w:w="3349" w:type="pct"/>
                  <w:tcBorders>
                    <w:tl2br w:val="nil"/>
                    <w:tr2bl w:val="nil"/>
                  </w:tcBorders>
                  <w:vAlign w:val="center"/>
                </w:tcPr>
                <w:p>
                  <w:pPr>
                    <w:pStyle w:val="23"/>
                    <w:rPr>
                      <w:color w:val="auto"/>
                    </w:rPr>
                  </w:pPr>
                  <w:r>
                    <w:rPr>
                      <w:color w:val="auto"/>
                    </w:rPr>
                    <w:t>配有一级惯性除尘器+二级布袋除尘+活性炭吸附系统。</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808"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导热油、沥青供给系统</w:t>
                  </w:r>
                </w:p>
              </w:tc>
              <w:tc>
                <w:tcPr>
                  <w:tcW w:w="3349" w:type="pct"/>
                  <w:tcBorders>
                    <w:tl2br w:val="nil"/>
                    <w:tr2bl w:val="nil"/>
                  </w:tcBorders>
                  <w:vAlign w:val="center"/>
                </w:tcPr>
                <w:p>
                  <w:pPr>
                    <w:pStyle w:val="23"/>
                    <w:rPr>
                      <w:color w:val="auto"/>
                    </w:rPr>
                  </w:pPr>
                  <w:r>
                    <w:rPr>
                      <w:color w:val="auto"/>
                    </w:rPr>
                    <w:t>采用全自动无人看管的卧式导热油加热系统。具有自动点火、自动监视工作状态的功能。配有6个沥青罐（长9.5m，直径3m，容量50t）、导热油炉装导热油量为16t。</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808"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热料提升、筛分、贮存、称量系统</w:t>
                  </w:r>
                </w:p>
              </w:tc>
              <w:tc>
                <w:tcPr>
                  <w:tcW w:w="3349" w:type="pct"/>
                  <w:tcBorders>
                    <w:tl2br w:val="nil"/>
                    <w:tr2bl w:val="nil"/>
                  </w:tcBorders>
                  <w:vAlign w:val="center"/>
                </w:tcPr>
                <w:p>
                  <w:pPr>
                    <w:pStyle w:val="23"/>
                    <w:rPr>
                      <w:color w:val="auto"/>
                    </w:rPr>
                  </w:pPr>
                  <w:r>
                    <w:rPr>
                      <w:color w:val="auto"/>
                    </w:rPr>
                    <w:t>为全封闭式，热料提升机、高效振动筛微控制</w:t>
                  </w:r>
                </w:p>
              </w:tc>
              <w:tc>
                <w:tcPr>
                  <w:tcW w:w="494" w:type="pct"/>
                  <w:tcBorders>
                    <w:tl2br w:val="nil"/>
                    <w:tr2bl w:val="nil"/>
                  </w:tcBorders>
                  <w:vAlign w:val="center"/>
                </w:tcPr>
                <w:p>
                  <w:pPr>
                    <w:pStyle w:val="23"/>
                    <w:rPr>
                      <w:color w:val="auto"/>
                    </w:rPr>
                  </w:pPr>
                  <w:r>
                    <w:rPr>
                      <w:color w:val="auto"/>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tcBorders>
                    <w:tl2br w:val="nil"/>
                    <w:tr2bl w:val="nil"/>
                  </w:tcBorders>
                  <w:vAlign w:val="center"/>
                </w:tcPr>
                <w:p>
                  <w:pPr>
                    <w:pStyle w:val="23"/>
                    <w:rPr>
                      <w:color w:val="auto"/>
                    </w:rPr>
                  </w:pPr>
                  <w:r>
                    <w:rPr>
                      <w:color w:val="auto"/>
                    </w:rPr>
                    <w:t>辅助工程</w:t>
                  </w:r>
                </w:p>
              </w:tc>
              <w:tc>
                <w:tcPr>
                  <w:tcW w:w="4157" w:type="pct"/>
                  <w:gridSpan w:val="2"/>
                  <w:tcBorders>
                    <w:tl2br w:val="nil"/>
                    <w:tr2bl w:val="nil"/>
                  </w:tcBorders>
                  <w:vAlign w:val="center"/>
                </w:tcPr>
                <w:p>
                  <w:pPr>
                    <w:pStyle w:val="23"/>
                    <w:rPr>
                      <w:color w:val="auto"/>
                    </w:rPr>
                  </w:pPr>
                  <w:r>
                    <w:rPr>
                      <w:color w:val="auto"/>
                    </w:rPr>
                    <w:t>办公楼一栋占地面积300m</w:t>
                  </w:r>
                  <w:r>
                    <w:rPr>
                      <w:color w:val="auto"/>
                      <w:vertAlign w:val="superscript"/>
                    </w:rPr>
                    <w:t>2</w:t>
                  </w:r>
                  <w:r>
                    <w:rPr>
                      <w:color w:val="auto"/>
                    </w:rPr>
                    <w:t>（建筑面积600m</w:t>
                  </w:r>
                  <w:r>
                    <w:rPr>
                      <w:color w:val="auto"/>
                      <w:vertAlign w:val="superscript"/>
                    </w:rPr>
                    <w:t>2</w:t>
                  </w:r>
                  <w:r>
                    <w:rPr>
                      <w:color w:val="auto"/>
                    </w:rPr>
                    <w:t>，含职工宿舍6间、办公室2间）；机修车间一座占地面积100m</w:t>
                  </w:r>
                  <w:r>
                    <w:rPr>
                      <w:color w:val="auto"/>
                      <w:vertAlign w:val="superscript"/>
                    </w:rPr>
                    <w:t>2</w:t>
                  </w:r>
                  <w:r>
                    <w:rPr>
                      <w:color w:val="auto"/>
                    </w:rPr>
                    <w:t>（内设废机油收集设施）；</w:t>
                  </w:r>
                </w:p>
                <w:p>
                  <w:pPr>
                    <w:pStyle w:val="23"/>
                    <w:rPr>
                      <w:color w:val="auto"/>
                    </w:rPr>
                  </w:pPr>
                  <w:r>
                    <w:rPr>
                      <w:color w:val="auto"/>
                    </w:rPr>
                    <w:t>控制室一座，占地8m</w:t>
                  </w:r>
                  <w:r>
                    <w:rPr>
                      <w:color w:val="auto"/>
                      <w:vertAlign w:val="superscript"/>
                    </w:rPr>
                    <w:t>2</w:t>
                  </w:r>
                  <w:r>
                    <w:rPr>
                      <w:color w:val="auto"/>
                    </w:rPr>
                    <w:t>，高3m；地磅房占地30m</w:t>
                  </w:r>
                  <w:r>
                    <w:rPr>
                      <w:color w:val="auto"/>
                      <w:vertAlign w:val="superscript"/>
                    </w:rPr>
                    <w:t>2</w:t>
                  </w:r>
                  <w:r>
                    <w:rPr>
                      <w:color w:val="auto"/>
                    </w:rPr>
                    <w:t>。</w:t>
                  </w:r>
                </w:p>
              </w:tc>
              <w:tc>
                <w:tcPr>
                  <w:tcW w:w="494" w:type="pct"/>
                  <w:tcBorders>
                    <w:tl2br w:val="nil"/>
                    <w:tr2bl w:val="nil"/>
                  </w:tcBorders>
                  <w:vAlign w:val="center"/>
                </w:tcPr>
                <w:p>
                  <w:pPr>
                    <w:pStyle w:val="23"/>
                    <w:rPr>
                      <w:color w:val="auto"/>
                    </w:rPr>
                  </w:pPr>
                  <w:r>
                    <w:rPr>
                      <w:color w:val="auto"/>
                    </w:rPr>
                    <w:t>本次扩建拟拆除现有</w:t>
                  </w:r>
                  <w:r>
                    <w:rPr>
                      <w:rFonts w:hint="eastAsia"/>
                      <w:color w:val="auto"/>
                    </w:rPr>
                    <w:t>工程</w:t>
                  </w:r>
                  <w:r>
                    <w:rPr>
                      <w:color w:val="auto"/>
                    </w:rPr>
                    <w:t>办公楼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tcBorders>
                    <w:tl2br w:val="nil"/>
                    <w:tr2bl w:val="nil"/>
                  </w:tcBorders>
                  <w:vAlign w:val="center"/>
                </w:tcPr>
                <w:p>
                  <w:pPr>
                    <w:pStyle w:val="23"/>
                    <w:rPr>
                      <w:color w:val="auto"/>
                    </w:rPr>
                  </w:pPr>
                  <w:r>
                    <w:rPr>
                      <w:color w:val="auto"/>
                    </w:rPr>
                    <w:t>储运工程</w:t>
                  </w:r>
                </w:p>
              </w:tc>
              <w:tc>
                <w:tcPr>
                  <w:tcW w:w="4157" w:type="pct"/>
                  <w:gridSpan w:val="2"/>
                  <w:tcBorders>
                    <w:tl2br w:val="nil"/>
                    <w:tr2bl w:val="nil"/>
                  </w:tcBorders>
                  <w:vAlign w:val="center"/>
                </w:tcPr>
                <w:p>
                  <w:pPr>
                    <w:pStyle w:val="23"/>
                    <w:rPr>
                      <w:color w:val="auto"/>
                    </w:rPr>
                  </w:pPr>
                  <w:r>
                    <w:rPr>
                      <w:color w:val="auto"/>
                    </w:rPr>
                    <w:t>原材料堆放厂房占地面积约4000m</w:t>
                  </w:r>
                  <w:r>
                    <w:rPr>
                      <w:color w:val="auto"/>
                      <w:vertAlign w:val="superscript"/>
                    </w:rPr>
                    <w:t>2</w:t>
                  </w:r>
                  <w:r>
                    <w:rPr>
                      <w:color w:val="auto"/>
                    </w:rPr>
                    <w:t>（分割为冷料室5间，）；设置沥青储罐6个（50t/个）；柴油储罐1个（5t）。天然气属于管道天然气不在厂内储存。</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restart"/>
                  <w:tcBorders>
                    <w:tl2br w:val="nil"/>
                    <w:tr2bl w:val="nil"/>
                  </w:tcBorders>
                  <w:vAlign w:val="center"/>
                </w:tcPr>
                <w:p>
                  <w:pPr>
                    <w:pStyle w:val="23"/>
                    <w:rPr>
                      <w:color w:val="auto"/>
                    </w:rPr>
                  </w:pPr>
                  <w:r>
                    <w:rPr>
                      <w:color w:val="auto"/>
                    </w:rPr>
                    <w:t>公用工程</w:t>
                  </w:r>
                </w:p>
              </w:tc>
              <w:tc>
                <w:tcPr>
                  <w:tcW w:w="4157" w:type="pct"/>
                  <w:gridSpan w:val="2"/>
                  <w:tcBorders>
                    <w:tl2br w:val="nil"/>
                    <w:tr2bl w:val="nil"/>
                  </w:tcBorders>
                  <w:vAlign w:val="center"/>
                </w:tcPr>
                <w:p>
                  <w:pPr>
                    <w:pStyle w:val="23"/>
                    <w:rPr>
                      <w:color w:val="auto"/>
                      <w:lang w:val="en-GB"/>
                    </w:rPr>
                  </w:pPr>
                  <w:r>
                    <w:rPr>
                      <w:color w:val="auto"/>
                      <w:lang w:val="en-GB"/>
                    </w:rPr>
                    <w:t>给排水工程：</w:t>
                  </w:r>
                  <w:r>
                    <w:rPr>
                      <w:color w:val="auto"/>
                    </w:rPr>
                    <w:t>厂区用水拟采用厂区自备水井，项目无生产废水，厂区地面及车辆冲洗废水经沉淀池沉淀后重复利用不外排，生活污水经化粪池处理后定期清掏。</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adjustRightInd w:val="0"/>
                    <w:snapToGrid w:val="0"/>
                    <w:spacing w:line="240" w:lineRule="auto"/>
                    <w:jc w:val="center"/>
                    <w:rPr>
                      <w:rFonts w:cs="Times New Roman"/>
                    </w:rPr>
                  </w:pPr>
                </w:p>
              </w:tc>
              <w:tc>
                <w:tcPr>
                  <w:tcW w:w="4157" w:type="pct"/>
                  <w:gridSpan w:val="2"/>
                  <w:tcBorders>
                    <w:tl2br w:val="nil"/>
                    <w:tr2bl w:val="nil"/>
                  </w:tcBorders>
                  <w:vAlign w:val="center"/>
                </w:tcPr>
                <w:p>
                  <w:pPr>
                    <w:pStyle w:val="23"/>
                    <w:rPr>
                      <w:color w:val="auto"/>
                    </w:rPr>
                  </w:pPr>
                  <w:r>
                    <w:rPr>
                      <w:color w:val="auto"/>
                    </w:rPr>
                    <w:t>供电工程：厂区建设配电室一座，电源引自市政10kVA供电专线供电。</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adjustRightInd w:val="0"/>
                    <w:snapToGrid w:val="0"/>
                    <w:spacing w:line="240" w:lineRule="auto"/>
                    <w:jc w:val="center"/>
                    <w:rPr>
                      <w:rFonts w:cs="Times New Roman"/>
                      <w:sz w:val="21"/>
                      <w:szCs w:val="21"/>
                    </w:rPr>
                  </w:pPr>
                </w:p>
              </w:tc>
              <w:tc>
                <w:tcPr>
                  <w:tcW w:w="4157" w:type="pct"/>
                  <w:gridSpan w:val="2"/>
                  <w:tcBorders>
                    <w:tl2br w:val="nil"/>
                    <w:tr2bl w:val="nil"/>
                  </w:tcBorders>
                  <w:vAlign w:val="center"/>
                </w:tcPr>
                <w:p>
                  <w:pPr>
                    <w:adjustRightInd w:val="0"/>
                    <w:snapToGrid w:val="0"/>
                    <w:spacing w:line="240" w:lineRule="auto"/>
                    <w:jc w:val="both"/>
                    <w:rPr>
                      <w:rFonts w:cs="Times New Roman"/>
                      <w:sz w:val="21"/>
                      <w:szCs w:val="21"/>
                    </w:rPr>
                  </w:pPr>
                  <w:r>
                    <w:rPr>
                      <w:rFonts w:cs="Times New Roman"/>
                      <w:sz w:val="21"/>
                      <w:szCs w:val="21"/>
                    </w:rPr>
                    <w:t>采暖及制冷：办公区采暖及制冷均采用分体空调制冷与供热。</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restart"/>
                  <w:tcBorders>
                    <w:tl2br w:val="nil"/>
                    <w:tr2bl w:val="nil"/>
                  </w:tcBorders>
                  <w:vAlign w:val="center"/>
                </w:tcPr>
                <w:p>
                  <w:pPr>
                    <w:pStyle w:val="23"/>
                    <w:rPr>
                      <w:color w:val="auto"/>
                    </w:rPr>
                  </w:pPr>
                  <w:r>
                    <w:rPr>
                      <w:color w:val="auto"/>
                    </w:rPr>
                    <w:t>环保工程</w:t>
                  </w:r>
                </w:p>
              </w:tc>
              <w:tc>
                <w:tcPr>
                  <w:tcW w:w="4157" w:type="pct"/>
                  <w:gridSpan w:val="2"/>
                  <w:tcBorders>
                    <w:tl2br w:val="nil"/>
                    <w:tr2bl w:val="nil"/>
                  </w:tcBorders>
                  <w:vAlign w:val="center"/>
                </w:tcPr>
                <w:p>
                  <w:pPr>
                    <w:pStyle w:val="23"/>
                    <w:rPr>
                      <w:color w:val="auto"/>
                    </w:rPr>
                  </w:pPr>
                  <w:r>
                    <w:rPr>
                      <w:color w:val="auto"/>
                    </w:rPr>
                    <w:t>废气：导热油炉配备有低氮燃烧器，燃烧废气经8m高的排气筒排放；骨料拌合产生的粉尘、加热滚筒配备有低氮燃烧器，产生的废气经“重力沉降室+布袋除尘器+活性炭吸附”处理后</w:t>
                  </w:r>
                  <w:r>
                    <w:rPr>
                      <w:rFonts w:hint="eastAsia"/>
                      <w:color w:val="auto"/>
                    </w:rPr>
                    <w:t>于15m排气筒排放；沥青罐及卸料口沥青烟气经“气旋+电捕+活性炭”装置处理后于1</w:t>
                  </w:r>
                  <w:r>
                    <w:rPr>
                      <w:color w:val="auto"/>
                    </w:rPr>
                    <w:t>5.3m</w:t>
                  </w:r>
                  <w:r>
                    <w:rPr>
                      <w:rFonts w:hint="eastAsia"/>
                      <w:color w:val="auto"/>
                    </w:rPr>
                    <w:t>排气筒排放</w:t>
                  </w:r>
                  <w:r>
                    <w:rPr>
                      <w:color w:val="auto"/>
                    </w:rPr>
                    <w:t>。无组织粉尘采取喷围挡措施、洒水、加强绿化等措施降低无组织粉尘影响。</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4157" w:type="pct"/>
                  <w:gridSpan w:val="2"/>
                  <w:tcBorders>
                    <w:tl2br w:val="nil"/>
                    <w:tr2bl w:val="nil"/>
                  </w:tcBorders>
                  <w:vAlign w:val="center"/>
                </w:tcPr>
                <w:p>
                  <w:pPr>
                    <w:pStyle w:val="23"/>
                    <w:rPr>
                      <w:color w:val="auto"/>
                    </w:rPr>
                  </w:pPr>
                  <w:r>
                    <w:rPr>
                      <w:color w:val="auto"/>
                    </w:rPr>
                    <w:t>废水：生产过程无工艺废水排放；场地冲洗废水及进出车辆冲洗废水经沉淀池沉淀后回用不外排；生活污水经化粪池处理后定期清掏肥田。</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4157" w:type="pct"/>
                  <w:gridSpan w:val="2"/>
                  <w:tcBorders>
                    <w:tl2br w:val="nil"/>
                    <w:tr2bl w:val="nil"/>
                  </w:tcBorders>
                  <w:vAlign w:val="center"/>
                </w:tcPr>
                <w:p>
                  <w:pPr>
                    <w:pStyle w:val="23"/>
                    <w:rPr>
                      <w:color w:val="auto"/>
                    </w:rPr>
                  </w:pPr>
                  <w:r>
                    <w:rPr>
                      <w:color w:val="auto"/>
                    </w:rPr>
                    <w:t>噪声：设备运行过程产生噪声，通过设置减振基座、厂房隔声等措施降低噪声影响。</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7" w:type="pct"/>
                  <w:vMerge w:val="continue"/>
                  <w:tcBorders>
                    <w:tl2br w:val="nil"/>
                    <w:tr2bl w:val="nil"/>
                  </w:tcBorders>
                  <w:vAlign w:val="center"/>
                </w:tcPr>
                <w:p>
                  <w:pPr>
                    <w:pStyle w:val="23"/>
                    <w:rPr>
                      <w:color w:val="auto"/>
                    </w:rPr>
                  </w:pPr>
                </w:p>
              </w:tc>
              <w:tc>
                <w:tcPr>
                  <w:tcW w:w="4157" w:type="pct"/>
                  <w:gridSpan w:val="2"/>
                  <w:tcBorders>
                    <w:tl2br w:val="nil"/>
                    <w:tr2bl w:val="nil"/>
                  </w:tcBorders>
                  <w:vAlign w:val="center"/>
                </w:tcPr>
                <w:p>
                  <w:pPr>
                    <w:pStyle w:val="23"/>
                    <w:rPr>
                      <w:color w:val="auto"/>
                    </w:rPr>
                  </w:pPr>
                  <w:r>
                    <w:rPr>
                      <w:color w:val="auto"/>
                    </w:rPr>
                    <w:t>一般固废分类收集综合利用；危险废物贮存于厂区东北角危废间中危废间为一层砖混结构，定期交有资质单位处理；生活垃圾：职工生活垃圾交环卫部门处理，废油脂交有资质单位处理。</w:t>
                  </w:r>
                </w:p>
              </w:tc>
              <w:tc>
                <w:tcPr>
                  <w:tcW w:w="494" w:type="pct"/>
                  <w:tcBorders>
                    <w:tl2br w:val="nil"/>
                    <w:tr2bl w:val="nil"/>
                  </w:tcBorders>
                  <w:vAlign w:val="center"/>
                </w:tcPr>
                <w:p>
                  <w:pPr>
                    <w:adjustRightInd w:val="0"/>
                    <w:snapToGrid w:val="0"/>
                    <w:spacing w:line="240" w:lineRule="auto"/>
                    <w:jc w:val="center"/>
                    <w:rPr>
                      <w:rFonts w:cs="Times New Roman"/>
                      <w:sz w:val="21"/>
                      <w:szCs w:val="21"/>
                    </w:rPr>
                  </w:pPr>
                  <w:r>
                    <w:rPr>
                      <w:rFonts w:cs="Times New Roman"/>
                      <w:sz w:val="21"/>
                      <w:szCs w:val="21"/>
                    </w:rPr>
                    <w:t>/</w:t>
                  </w:r>
                </w:p>
              </w:tc>
            </w:tr>
          </w:tbl>
          <w:p>
            <w:pPr>
              <w:rPr>
                <w:rFonts w:eastAsia="宋体" w:cs="Times New Roman"/>
                <w:b/>
                <w:bCs/>
                <w:szCs w:val="24"/>
              </w:rPr>
            </w:pPr>
            <w:r>
              <w:rPr>
                <w:rFonts w:eastAsia="宋体" w:cs="Times New Roman"/>
                <w:b/>
                <w:bCs/>
                <w:szCs w:val="24"/>
              </w:rPr>
              <w:t>（二）现有工程产品方案及原辅材料</w:t>
            </w:r>
          </w:p>
          <w:p>
            <w:pPr>
              <w:ind w:firstLine="480" w:firstLineChars="200"/>
              <w:rPr>
                <w:rFonts w:eastAsia="宋体" w:cs="Times New Roman"/>
                <w:szCs w:val="24"/>
              </w:rPr>
            </w:pPr>
            <w:r>
              <w:rPr>
                <w:rFonts w:eastAsia="宋体" w:cs="Times New Roman"/>
                <w:szCs w:val="24"/>
              </w:rPr>
              <w:t>现有工程产品方案见表2-9：</w:t>
            </w:r>
          </w:p>
          <w:p>
            <w:pPr>
              <w:adjustRightInd w:val="0"/>
              <w:snapToGrid w:val="0"/>
              <w:spacing w:line="240" w:lineRule="auto"/>
              <w:jc w:val="center"/>
              <w:rPr>
                <w:rFonts w:eastAsia="宋体" w:cs="Times New Roman"/>
                <w:b/>
                <w:bCs/>
                <w:sz w:val="21"/>
                <w:szCs w:val="21"/>
              </w:rPr>
            </w:pPr>
            <w:r>
              <w:rPr>
                <w:rFonts w:eastAsia="宋体" w:cs="Times New Roman"/>
                <w:b/>
                <w:bCs/>
                <w:sz w:val="21"/>
                <w:szCs w:val="21"/>
              </w:rPr>
              <w:t>表2-9  现有工程产品方案一览表</w:t>
            </w:r>
          </w:p>
          <w:tbl>
            <w:tblPr>
              <w:tblStyle w:val="18"/>
              <w:tblW w:w="4998"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3573"/>
              <w:gridCol w:w="2485"/>
              <w:gridCol w:w="184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序号</w:t>
                  </w:r>
                </w:p>
              </w:tc>
              <w:tc>
                <w:tcPr>
                  <w:tcW w:w="1925"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产品名称</w:t>
                  </w:r>
                </w:p>
              </w:tc>
              <w:tc>
                <w:tcPr>
                  <w:tcW w:w="1339"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产量</w:t>
                  </w:r>
                </w:p>
              </w:tc>
              <w:tc>
                <w:tcPr>
                  <w:tcW w:w="992"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w:t>
                  </w:r>
                </w:p>
              </w:tc>
              <w:tc>
                <w:tcPr>
                  <w:tcW w:w="192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沥青混凝土</w:t>
                  </w:r>
                </w:p>
              </w:tc>
              <w:tc>
                <w:tcPr>
                  <w:tcW w:w="1339"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20万t/a</w:t>
                  </w:r>
                </w:p>
              </w:tc>
              <w:tc>
                <w:tcPr>
                  <w:tcW w:w="9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主产品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2</w:t>
                  </w:r>
                </w:p>
              </w:tc>
              <w:tc>
                <w:tcPr>
                  <w:tcW w:w="192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热再生沥青混凝土</w:t>
                  </w:r>
                </w:p>
              </w:tc>
              <w:tc>
                <w:tcPr>
                  <w:tcW w:w="1339"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5万t/a</w:t>
                  </w:r>
                </w:p>
              </w:tc>
              <w:tc>
                <w:tcPr>
                  <w:tcW w:w="9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主产品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3</w:t>
                  </w:r>
                </w:p>
              </w:tc>
              <w:tc>
                <w:tcPr>
                  <w:tcW w:w="192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乳化沥青</w:t>
                  </w:r>
                </w:p>
              </w:tc>
              <w:tc>
                <w:tcPr>
                  <w:tcW w:w="1339"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500 t/a</w:t>
                  </w:r>
                </w:p>
              </w:tc>
              <w:tc>
                <w:tcPr>
                  <w:tcW w:w="9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辅助产品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4</w:t>
                  </w:r>
                </w:p>
              </w:tc>
              <w:tc>
                <w:tcPr>
                  <w:tcW w:w="192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彩色沥青混凝土</w:t>
                  </w:r>
                </w:p>
              </w:tc>
              <w:tc>
                <w:tcPr>
                  <w:tcW w:w="1339"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1000 t/a</w:t>
                  </w:r>
                </w:p>
              </w:tc>
              <w:tc>
                <w:tcPr>
                  <w:tcW w:w="9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辅助产品</w:t>
                  </w:r>
                </w:p>
              </w:tc>
            </w:tr>
          </w:tbl>
          <w:p>
            <w:pPr>
              <w:ind w:firstLine="480" w:firstLineChars="200"/>
              <w:rPr>
                <w:rFonts w:eastAsia="宋体" w:cs="Times New Roman"/>
                <w:szCs w:val="24"/>
              </w:rPr>
            </w:pPr>
            <w:r>
              <w:rPr>
                <w:rFonts w:eastAsia="宋体" w:cs="Times New Roman"/>
                <w:szCs w:val="24"/>
              </w:rPr>
              <w:t>现有工程产品方案见表2-10：</w:t>
            </w:r>
          </w:p>
          <w:p>
            <w:pPr>
              <w:adjustRightInd w:val="0"/>
              <w:snapToGrid w:val="0"/>
              <w:spacing w:line="240" w:lineRule="auto"/>
              <w:jc w:val="center"/>
              <w:rPr>
                <w:rFonts w:eastAsia="宋体" w:cs="Times New Roman"/>
                <w:b/>
                <w:bCs/>
                <w:sz w:val="21"/>
                <w:szCs w:val="21"/>
              </w:rPr>
            </w:pPr>
            <w:r>
              <w:rPr>
                <w:rFonts w:eastAsia="宋体" w:cs="Times New Roman"/>
                <w:b/>
                <w:bCs/>
                <w:sz w:val="21"/>
                <w:szCs w:val="21"/>
              </w:rPr>
              <w:t>表2-10  现有工程原辅材料一览表</w:t>
            </w:r>
          </w:p>
          <w:tbl>
            <w:tblPr>
              <w:tblStyle w:val="18"/>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3092"/>
              <w:gridCol w:w="1637"/>
              <w:gridCol w:w="1195"/>
              <w:gridCol w:w="25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b/>
                      <w:bCs/>
                      <w:sz w:val="21"/>
                      <w:szCs w:val="21"/>
                    </w:rPr>
                  </w:pPr>
                  <w:r>
                    <w:rPr>
                      <w:rFonts w:eastAsia="宋体" w:cs="Times New Roman"/>
                      <w:b/>
                      <w:bCs/>
                      <w:sz w:val="21"/>
                      <w:szCs w:val="21"/>
                    </w:rPr>
                    <w:t>序号</w:t>
                  </w:r>
                </w:p>
              </w:tc>
              <w:tc>
                <w:tcPr>
                  <w:tcW w:w="1666" w:type="pct"/>
                  <w:vAlign w:val="center"/>
                </w:tcPr>
                <w:p>
                  <w:pPr>
                    <w:spacing w:line="240" w:lineRule="auto"/>
                    <w:jc w:val="center"/>
                    <w:rPr>
                      <w:rFonts w:eastAsia="宋体" w:cs="Times New Roman"/>
                      <w:b/>
                      <w:bCs/>
                      <w:sz w:val="21"/>
                      <w:szCs w:val="21"/>
                    </w:rPr>
                  </w:pPr>
                  <w:r>
                    <w:rPr>
                      <w:rFonts w:eastAsia="宋体" w:cs="Times New Roman"/>
                      <w:b/>
                      <w:bCs/>
                      <w:sz w:val="21"/>
                      <w:szCs w:val="21"/>
                    </w:rPr>
                    <w:t>原辅材料名称</w:t>
                  </w:r>
                </w:p>
              </w:tc>
              <w:tc>
                <w:tcPr>
                  <w:tcW w:w="882" w:type="pct"/>
                  <w:vAlign w:val="center"/>
                </w:tcPr>
                <w:p>
                  <w:pPr>
                    <w:spacing w:line="240" w:lineRule="auto"/>
                    <w:jc w:val="center"/>
                    <w:rPr>
                      <w:rFonts w:eastAsia="宋体" w:cs="Times New Roman"/>
                      <w:b/>
                      <w:bCs/>
                      <w:sz w:val="21"/>
                      <w:szCs w:val="21"/>
                    </w:rPr>
                  </w:pPr>
                  <w:r>
                    <w:rPr>
                      <w:rFonts w:eastAsia="宋体" w:cs="Times New Roman"/>
                      <w:b/>
                      <w:bCs/>
                      <w:sz w:val="21"/>
                      <w:szCs w:val="21"/>
                    </w:rPr>
                    <w:t>用量</w:t>
                  </w:r>
                </w:p>
              </w:tc>
              <w:tc>
                <w:tcPr>
                  <w:tcW w:w="644" w:type="pct"/>
                  <w:vAlign w:val="center"/>
                </w:tcPr>
                <w:p>
                  <w:pPr>
                    <w:spacing w:line="240" w:lineRule="auto"/>
                    <w:jc w:val="center"/>
                    <w:rPr>
                      <w:rFonts w:eastAsia="宋体" w:cs="Times New Roman"/>
                      <w:b/>
                      <w:bCs/>
                      <w:sz w:val="21"/>
                      <w:szCs w:val="21"/>
                    </w:rPr>
                  </w:pPr>
                  <w:r>
                    <w:rPr>
                      <w:rFonts w:eastAsia="宋体" w:cs="Times New Roman"/>
                      <w:b/>
                      <w:bCs/>
                      <w:sz w:val="21"/>
                      <w:szCs w:val="21"/>
                    </w:rPr>
                    <w:t>单位</w:t>
                  </w:r>
                </w:p>
              </w:tc>
              <w:tc>
                <w:tcPr>
                  <w:tcW w:w="1365" w:type="pct"/>
                  <w:vAlign w:val="center"/>
                </w:tcPr>
                <w:p>
                  <w:pPr>
                    <w:spacing w:line="240" w:lineRule="auto"/>
                    <w:jc w:val="center"/>
                    <w:rPr>
                      <w:rFonts w:eastAsia="宋体" w:cs="Times New Roman"/>
                      <w:b/>
                      <w:bCs/>
                      <w:sz w:val="21"/>
                      <w:szCs w:val="21"/>
                    </w:rPr>
                  </w:pPr>
                  <w:r>
                    <w:rPr>
                      <w:rFonts w:eastAsia="宋体" w:cs="Times New Roman"/>
                      <w:b/>
                      <w:bCs/>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1</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沥青</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12150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Merge w:val="restart"/>
                  <w:vAlign w:val="center"/>
                </w:tcPr>
                <w:p>
                  <w:pPr>
                    <w:spacing w:line="240" w:lineRule="auto"/>
                    <w:jc w:val="center"/>
                    <w:rPr>
                      <w:rFonts w:eastAsia="宋体" w:cs="Times New Roman"/>
                      <w:sz w:val="21"/>
                      <w:szCs w:val="21"/>
                    </w:rPr>
                  </w:pPr>
                  <w:r>
                    <w:rPr>
                      <w:rFonts w:eastAsia="宋体" w:cs="Times New Roman"/>
                      <w:sz w:val="21"/>
                      <w:szCs w:val="21"/>
                    </w:rPr>
                    <w:t>用于沥青混凝土生产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2</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矿粉</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10500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Merge w:val="continue"/>
                  <w:vAlign w:val="center"/>
                </w:tcPr>
                <w:p>
                  <w:pPr>
                    <w:spacing w:line="240" w:lineRule="auto"/>
                    <w:jc w:val="center"/>
                    <w:rPr>
                      <w:rFonts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3</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碎石</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168550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Merge w:val="continue"/>
                  <w:vAlign w:val="center"/>
                </w:tcPr>
                <w:p>
                  <w:pPr>
                    <w:spacing w:line="240" w:lineRule="auto"/>
                    <w:jc w:val="center"/>
                    <w:rPr>
                      <w:rFonts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4</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砂料</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50500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Merge w:val="continue"/>
                  <w:vAlign w:val="center"/>
                </w:tcPr>
                <w:p>
                  <w:pPr>
                    <w:spacing w:line="240" w:lineRule="auto"/>
                    <w:jc w:val="center"/>
                    <w:rPr>
                      <w:rFonts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5</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回收的废旧沥青混凝土</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10000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Align w:val="center"/>
                </w:tcPr>
                <w:p>
                  <w:pPr>
                    <w:spacing w:line="240" w:lineRule="auto"/>
                    <w:jc w:val="center"/>
                    <w:rPr>
                      <w:rFonts w:eastAsia="宋体" w:cs="Times New Roman"/>
                      <w:sz w:val="21"/>
                      <w:szCs w:val="21"/>
                    </w:rPr>
                  </w:pPr>
                  <w:r>
                    <w:rPr>
                      <w:rFonts w:eastAsia="宋体" w:cs="Times New Roman"/>
                      <w:sz w:val="21"/>
                      <w:szCs w:val="21"/>
                    </w:rPr>
                    <w:t>热再生沥青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6</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颜料</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25</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Align w:val="center"/>
                </w:tcPr>
                <w:p>
                  <w:pPr>
                    <w:spacing w:line="240" w:lineRule="auto"/>
                    <w:jc w:val="center"/>
                    <w:rPr>
                      <w:rFonts w:eastAsia="宋体" w:cs="Times New Roman"/>
                      <w:sz w:val="21"/>
                      <w:szCs w:val="21"/>
                    </w:rPr>
                  </w:pPr>
                  <w:r>
                    <w:rPr>
                      <w:rFonts w:eastAsia="宋体" w:cs="Times New Roman"/>
                      <w:sz w:val="21"/>
                      <w:szCs w:val="21"/>
                    </w:rPr>
                    <w:t>彩色沥青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7</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乳化剂</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5</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Align w:val="center"/>
                </w:tcPr>
                <w:p>
                  <w:pPr>
                    <w:spacing w:line="240" w:lineRule="auto"/>
                    <w:jc w:val="center"/>
                    <w:rPr>
                      <w:rFonts w:eastAsia="宋体" w:cs="Times New Roman"/>
                      <w:sz w:val="21"/>
                      <w:szCs w:val="21"/>
                    </w:rPr>
                  </w:pPr>
                  <w:r>
                    <w:rPr>
                      <w:rFonts w:eastAsia="宋体" w:cs="Times New Roman"/>
                      <w:sz w:val="21"/>
                      <w:szCs w:val="21"/>
                    </w:rPr>
                    <w:t>乳化沥青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8</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导热油</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16</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w:t>
                  </w:r>
                </w:p>
              </w:tc>
              <w:tc>
                <w:tcPr>
                  <w:tcW w:w="1365" w:type="pct"/>
                  <w:vAlign w:val="center"/>
                </w:tcPr>
                <w:p>
                  <w:pPr>
                    <w:spacing w:line="240" w:lineRule="auto"/>
                    <w:jc w:val="center"/>
                    <w:rPr>
                      <w:rFonts w:eastAsia="宋体" w:cs="Times New Roman"/>
                      <w:sz w:val="21"/>
                      <w:szCs w:val="21"/>
                    </w:rPr>
                  </w:pPr>
                  <w:r>
                    <w:rPr>
                      <w:rFonts w:eastAsia="宋体" w:cs="Times New Roman"/>
                      <w:sz w:val="21"/>
                      <w:szCs w:val="21"/>
                    </w:rPr>
                    <w:t>导热油炉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9</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水</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1400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Align w:val="center"/>
                </w:tcPr>
                <w:p>
                  <w:pPr>
                    <w:spacing w:line="240" w:lineRule="auto"/>
                    <w:jc w:val="center"/>
                    <w:rPr>
                      <w:rFonts w:eastAsia="宋体" w:cs="Times New Roman"/>
                      <w:sz w:val="21"/>
                      <w:szCs w:val="21"/>
                    </w:rPr>
                  </w:pPr>
                  <w:r>
                    <w:rPr>
                      <w:rFonts w:eastAsia="宋体"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10</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柴油</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550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Merge w:val="restart"/>
                  <w:vAlign w:val="center"/>
                </w:tcPr>
                <w:p>
                  <w:pPr>
                    <w:spacing w:line="240" w:lineRule="auto"/>
                    <w:jc w:val="center"/>
                    <w:rPr>
                      <w:rFonts w:eastAsia="宋体" w:cs="Times New Roman"/>
                      <w:sz w:val="21"/>
                      <w:szCs w:val="21"/>
                    </w:rPr>
                  </w:pPr>
                  <w:r>
                    <w:rPr>
                      <w:rFonts w:eastAsia="宋体" w:cs="Times New Roman"/>
                      <w:sz w:val="21"/>
                      <w:szCs w:val="21"/>
                    </w:rPr>
                    <w:t>导热油炉及干燥滚筒燃料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11</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天然气</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65</w:t>
                  </w:r>
                </w:p>
              </w:tc>
              <w:tc>
                <w:tcPr>
                  <w:tcW w:w="644" w:type="pct"/>
                  <w:vAlign w:val="center"/>
                </w:tcPr>
                <w:p>
                  <w:pPr>
                    <w:spacing w:line="240" w:lineRule="auto"/>
                    <w:jc w:val="center"/>
                    <w:rPr>
                      <w:rFonts w:eastAsia="宋体" w:cs="Times New Roman"/>
                      <w:sz w:val="21"/>
                      <w:szCs w:val="21"/>
                    </w:rPr>
                  </w:pPr>
                  <w:r>
                    <w:rPr>
                      <w:rFonts w:cs="Times New Roman"/>
                      <w:sz w:val="21"/>
                    </w:rPr>
                    <w:t>万m</w:t>
                  </w:r>
                  <w:r>
                    <w:rPr>
                      <w:rFonts w:cs="Times New Roman"/>
                      <w:sz w:val="21"/>
                      <w:vertAlign w:val="superscript"/>
                    </w:rPr>
                    <w:t>3</w:t>
                  </w:r>
                </w:p>
              </w:tc>
              <w:tc>
                <w:tcPr>
                  <w:tcW w:w="1365" w:type="pct"/>
                  <w:vMerge w:val="continue"/>
                  <w:vAlign w:val="center"/>
                </w:tcPr>
                <w:p>
                  <w:pPr>
                    <w:spacing w:line="240" w:lineRule="auto"/>
                    <w:jc w:val="center"/>
                    <w:rPr>
                      <w:rFonts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12</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电</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120</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万kwh</w:t>
                  </w:r>
                </w:p>
              </w:tc>
              <w:tc>
                <w:tcPr>
                  <w:tcW w:w="1365" w:type="pct"/>
                  <w:vAlign w:val="center"/>
                </w:tcPr>
                <w:p>
                  <w:pPr>
                    <w:spacing w:line="240" w:lineRule="auto"/>
                    <w:jc w:val="center"/>
                    <w:rPr>
                      <w:rFonts w:eastAsia="宋体" w:cs="Times New Roman"/>
                      <w:sz w:val="21"/>
                      <w:szCs w:val="21"/>
                    </w:rPr>
                  </w:pPr>
                  <w:r>
                    <w:rPr>
                      <w:rFonts w:eastAsia="宋体"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3" w:type="pct"/>
                  <w:vAlign w:val="center"/>
                </w:tcPr>
                <w:p>
                  <w:pPr>
                    <w:spacing w:line="240" w:lineRule="auto"/>
                    <w:jc w:val="center"/>
                    <w:rPr>
                      <w:rFonts w:eastAsia="宋体" w:cs="Times New Roman"/>
                      <w:sz w:val="21"/>
                      <w:szCs w:val="21"/>
                    </w:rPr>
                  </w:pPr>
                  <w:r>
                    <w:rPr>
                      <w:rFonts w:eastAsia="宋体" w:cs="Times New Roman"/>
                      <w:sz w:val="21"/>
                      <w:szCs w:val="21"/>
                    </w:rPr>
                    <w:t>13</w:t>
                  </w:r>
                </w:p>
              </w:tc>
              <w:tc>
                <w:tcPr>
                  <w:tcW w:w="1666" w:type="pct"/>
                  <w:vAlign w:val="center"/>
                </w:tcPr>
                <w:p>
                  <w:pPr>
                    <w:spacing w:line="240" w:lineRule="auto"/>
                    <w:jc w:val="center"/>
                    <w:rPr>
                      <w:rFonts w:eastAsia="宋体" w:cs="Times New Roman"/>
                      <w:sz w:val="21"/>
                      <w:szCs w:val="21"/>
                    </w:rPr>
                  </w:pPr>
                  <w:r>
                    <w:rPr>
                      <w:rFonts w:eastAsia="宋体" w:cs="Times New Roman"/>
                      <w:sz w:val="21"/>
                      <w:szCs w:val="21"/>
                    </w:rPr>
                    <w:t>机油</w:t>
                  </w:r>
                </w:p>
              </w:tc>
              <w:tc>
                <w:tcPr>
                  <w:tcW w:w="882" w:type="pct"/>
                  <w:vAlign w:val="center"/>
                </w:tcPr>
                <w:p>
                  <w:pPr>
                    <w:spacing w:line="240" w:lineRule="auto"/>
                    <w:jc w:val="center"/>
                    <w:rPr>
                      <w:rFonts w:eastAsia="宋体" w:cs="Times New Roman"/>
                      <w:sz w:val="21"/>
                      <w:szCs w:val="21"/>
                    </w:rPr>
                  </w:pPr>
                  <w:r>
                    <w:rPr>
                      <w:rFonts w:eastAsia="宋体" w:cs="Times New Roman"/>
                      <w:sz w:val="21"/>
                      <w:szCs w:val="21"/>
                    </w:rPr>
                    <w:t>0.85</w:t>
                  </w:r>
                </w:p>
              </w:tc>
              <w:tc>
                <w:tcPr>
                  <w:tcW w:w="644" w:type="pct"/>
                  <w:vAlign w:val="center"/>
                </w:tcPr>
                <w:p>
                  <w:pPr>
                    <w:spacing w:line="240" w:lineRule="auto"/>
                    <w:jc w:val="center"/>
                    <w:rPr>
                      <w:rFonts w:eastAsia="宋体" w:cs="Times New Roman"/>
                      <w:sz w:val="21"/>
                      <w:szCs w:val="21"/>
                    </w:rPr>
                  </w:pPr>
                  <w:r>
                    <w:rPr>
                      <w:rFonts w:eastAsia="宋体" w:cs="Times New Roman"/>
                      <w:sz w:val="21"/>
                      <w:szCs w:val="21"/>
                    </w:rPr>
                    <w:t>t/a</w:t>
                  </w:r>
                </w:p>
              </w:tc>
              <w:tc>
                <w:tcPr>
                  <w:tcW w:w="1365" w:type="pct"/>
                  <w:vAlign w:val="center"/>
                </w:tcPr>
                <w:p>
                  <w:pPr>
                    <w:spacing w:line="240" w:lineRule="auto"/>
                    <w:jc w:val="center"/>
                    <w:rPr>
                      <w:rFonts w:eastAsia="宋体" w:cs="Times New Roman"/>
                      <w:sz w:val="21"/>
                      <w:szCs w:val="21"/>
                    </w:rPr>
                  </w:pPr>
                  <w:r>
                    <w:rPr>
                      <w:rFonts w:eastAsia="宋体" w:cs="Times New Roman"/>
                      <w:sz w:val="21"/>
                      <w:szCs w:val="21"/>
                    </w:rPr>
                    <w:t>外购</w:t>
                  </w:r>
                </w:p>
              </w:tc>
            </w:tr>
          </w:tbl>
          <w:p>
            <w:pPr>
              <w:ind w:firstLine="480" w:firstLineChars="200"/>
              <w:rPr>
                <w:rFonts w:eastAsia="宋体" w:cs="Times New Roman"/>
                <w:szCs w:val="24"/>
              </w:rPr>
            </w:pPr>
            <w:r>
              <w:rPr>
                <w:rFonts w:eastAsia="宋体" w:cs="Times New Roman"/>
                <w:szCs w:val="24"/>
              </w:rPr>
              <w:t>（三）现有工程生产工艺流程与产污环节</w:t>
            </w:r>
          </w:p>
          <w:p>
            <w:pPr>
              <w:ind w:firstLine="480" w:firstLineChars="200"/>
              <w:rPr>
                <w:rFonts w:cs="Times New Roman"/>
                <w:szCs w:val="24"/>
              </w:rPr>
            </w:pPr>
            <w:r>
              <w:rPr>
                <w:rFonts w:cs="Times New Roman"/>
                <w:szCs w:val="24"/>
              </w:rPr>
              <w:t>1、沥青混凝土、热再生沥青混凝土、彩色沥青混凝土生产工艺</w:t>
            </w:r>
          </w:p>
          <w:p>
            <w:pPr>
              <w:ind w:firstLine="482" w:firstLineChars="200"/>
              <w:rPr>
                <w:rFonts w:cs="Times New Roman"/>
                <w:b/>
                <w:szCs w:val="24"/>
              </w:rPr>
            </w:pPr>
            <w:r>
              <w:rPr>
                <w:rFonts w:cs="Times New Roman"/>
                <w:b/>
                <w:szCs w:val="24"/>
              </w:rPr>
              <w:t>工艺简介：</w:t>
            </w:r>
            <w:r>
              <w:rPr>
                <w:rFonts w:cs="Times New Roman"/>
                <w:szCs w:val="24"/>
              </w:rPr>
              <w:t>沥青混凝土由石油沥青、骨料（碎石）、矿粉混合拌制而成。其一般流程可分为沥青预处理和骨料预处理工序，而后拌合后即成为成品：</w:t>
            </w:r>
          </w:p>
          <w:p>
            <w:pPr>
              <w:pStyle w:val="45"/>
              <w:widowControl w:val="0"/>
              <w:suppressLineNumbers/>
              <w:suppressAutoHyphens/>
              <w:spacing w:before="0" w:beforeLines="0" w:after="0" w:afterLines="0" w:line="360" w:lineRule="auto"/>
              <w:ind w:firstLine="480"/>
            </w:pPr>
            <w:r>
              <w:fldChar w:fldCharType="begin"/>
            </w:r>
            <w:r>
              <w:instrText xml:space="preserve"> = 1 \* GB3 </w:instrText>
            </w:r>
            <w:r>
              <w:fldChar w:fldCharType="separate"/>
            </w:r>
            <w:r>
              <w:rPr>
                <w:rFonts w:hint="eastAsia" w:ascii="宋体" w:hAnsi="宋体" w:cs="宋体"/>
              </w:rPr>
              <w:t>①</w:t>
            </w:r>
            <w:r>
              <w:fldChar w:fldCharType="end"/>
            </w:r>
            <w:r>
              <w:t xml:space="preserve"> 原料处理工段</w:t>
            </w:r>
          </w:p>
          <w:p>
            <w:pPr>
              <w:pStyle w:val="45"/>
              <w:widowControl w:val="0"/>
              <w:suppressLineNumbers/>
              <w:suppressAutoHyphens/>
              <w:spacing w:before="0" w:beforeLines="0" w:after="0" w:afterLines="0" w:line="360" w:lineRule="auto"/>
              <w:ind w:firstLine="482"/>
            </w:pPr>
            <w:r>
              <w:rPr>
                <w:b/>
              </w:rPr>
              <w:t>沥青预处理流程：</w:t>
            </w:r>
            <w:r>
              <w:t>沥青是石油气工厂热解石油气原料时得到的副产品，进厂时为散装沥青，沥青由专用沥青运输车通过密闭沥青管道送至沥青储罐，使用导热油炉将其加热至120-160</w:t>
            </w:r>
            <w:r>
              <w:rPr>
                <w:rFonts w:hint="eastAsia" w:ascii="宋体" w:hAnsi="宋体" w:cs="宋体"/>
              </w:rPr>
              <w:t>℃</w:t>
            </w:r>
            <w:r>
              <w:t>，再经沥青泵输送到沥青计量器，按一定的配合比例分重量后通过专门管道送入拌和站的搅拌缸内与骨料混合。</w:t>
            </w:r>
          </w:p>
          <w:p>
            <w:pPr>
              <w:pStyle w:val="45"/>
              <w:widowControl w:val="0"/>
              <w:suppressLineNumbers/>
              <w:suppressAutoHyphens/>
              <w:spacing w:before="0" w:beforeLines="0" w:after="0" w:afterLines="0" w:line="360" w:lineRule="auto"/>
              <w:ind w:firstLine="482"/>
              <w:rPr>
                <w:szCs w:val="24"/>
              </w:rPr>
            </w:pPr>
            <w:r>
              <w:rPr>
                <w:b/>
                <w:szCs w:val="24"/>
              </w:rPr>
              <w:t>砂石料预处理流程：</w:t>
            </w:r>
            <w:r>
              <w:rPr>
                <w:szCs w:val="24"/>
              </w:rPr>
              <w:t>满足产品需要规格的砂石料从料场以斗车送入拌和站进料池，然后通过皮带机自动进料。为使沥青混凝土产品不至于因过快冷却而带来运输上的不便，砂石料在上沥青前也要经过热处理。砂石料由皮带输送机送入干燥加热滚筒，在其中不断加热，干燥加热滚筒不停转动，以使骨料受热均匀，温度达160</w:t>
            </w:r>
            <w:r>
              <w:rPr>
                <w:szCs w:val="24"/>
                <w:vertAlign w:val="superscript"/>
              </w:rPr>
              <w:t>ο</w:t>
            </w:r>
            <w:r>
              <w:rPr>
                <w:szCs w:val="24"/>
              </w:rPr>
              <w:t>C-200</w:t>
            </w:r>
            <w:r>
              <w:rPr>
                <w:szCs w:val="24"/>
                <w:vertAlign w:val="superscript"/>
              </w:rPr>
              <w:t>ο</w:t>
            </w:r>
            <w:r>
              <w:rPr>
                <w:szCs w:val="24"/>
              </w:rPr>
              <w:t>C，随后加热的砂石料通过提升机送到粒度检控系统内经过振动筛分，让符合产品要求的砂石料通过，经计量后送入拌合缸；少数不合规格的砂石料被分离后由出口排出；干燥加热滚筒、粒度控制筛都在密闭的设备内工作，其振动筛分产生的粉尘和干燥加热滚筒废气均由系统内设置的沉降室+布袋除尘器进行收尘处理，捕集的粉尘可作为原料进入搅拌缸，矿粉等通过配料斗、分料提升机、计量器进入搅拌缸。</w:t>
            </w:r>
          </w:p>
          <w:p>
            <w:pPr>
              <w:pStyle w:val="45"/>
              <w:widowControl w:val="0"/>
              <w:suppressLineNumbers/>
              <w:suppressAutoHyphens/>
              <w:spacing w:before="0" w:beforeLines="0" w:after="0" w:afterLines="0" w:line="360" w:lineRule="auto"/>
              <w:ind w:firstLine="482"/>
              <w:rPr>
                <w:szCs w:val="24"/>
              </w:rPr>
            </w:pPr>
            <w:r>
              <w:rPr>
                <w:b/>
                <w:szCs w:val="24"/>
              </w:rPr>
              <w:t>废旧沥青混凝土预处理流程：</w:t>
            </w:r>
            <w:r>
              <w:rPr>
                <w:szCs w:val="24"/>
              </w:rPr>
              <w:t>首先对回收的废旧沥青混凝土进行检测分析，然后根据检验结果，将破碎后废旧沥青混凝土与经过干燥加热滚筒烘干后的新砂石料等一道通过提升机送到粒度检控系统内经过振动筛分，让符合产品要求的砂石料通过，经计量后送入拌合缸；少数不合规格的砂石料被分离后由出口排出；干燥加热滚筒、粒度控制筛都在密闭的设备内工作，其振动筛分产生的粉尘和干燥加热滚筒废气均由系统内设置的沉降室+布袋除尘器进行收尘处理，捕集的粉尘可作为原料进入搅拌缸，矿粉等通过配料斗、分料提升机、计量器进入搅拌缸。</w:t>
            </w:r>
          </w:p>
          <w:p>
            <w:pPr>
              <w:pStyle w:val="45"/>
              <w:widowControl w:val="0"/>
              <w:suppressLineNumbers/>
              <w:suppressAutoHyphens/>
              <w:spacing w:before="0" w:beforeLines="0" w:after="0" w:afterLines="0" w:line="360" w:lineRule="auto"/>
              <w:ind w:firstLine="480"/>
            </w:pPr>
            <w:r>
              <w:fldChar w:fldCharType="begin"/>
            </w:r>
            <w:r>
              <w:instrText xml:space="preserve"> = 2 \* GB3 </w:instrText>
            </w:r>
            <w:r>
              <w:fldChar w:fldCharType="separate"/>
            </w:r>
            <w:r>
              <w:rPr>
                <w:rFonts w:hint="eastAsia" w:ascii="宋体" w:hAnsi="宋体" w:cs="宋体"/>
              </w:rPr>
              <w:t>②</w:t>
            </w:r>
            <w:r>
              <w:fldChar w:fldCharType="end"/>
            </w:r>
            <w:r>
              <w:t>搅拌混合工序</w:t>
            </w:r>
          </w:p>
          <w:p>
            <w:pPr>
              <w:pStyle w:val="45"/>
              <w:widowControl w:val="0"/>
              <w:suppressLineNumbers/>
              <w:suppressAutoHyphens/>
              <w:spacing w:before="0" w:beforeLines="0" w:after="0" w:afterLines="0" w:line="360" w:lineRule="auto"/>
              <w:ind w:firstLine="480"/>
              <w:rPr>
                <w:szCs w:val="24"/>
              </w:rPr>
            </w:pPr>
            <w:r>
              <w:rPr>
                <w:szCs w:val="24"/>
              </w:rPr>
              <w:t>符合要求的砂石料与热沥青按照一定比例配合均匀后即可得到产品，整个过程都在密闭系统中进行。</w:t>
            </w:r>
          </w:p>
          <w:p>
            <w:pPr>
              <w:jc w:val="center"/>
              <w:rPr>
                <w:rFonts w:cs="Times New Roman"/>
                <w:szCs w:val="24"/>
              </w:rPr>
            </w:pPr>
            <w:r>
              <w:rPr>
                <w:rFonts w:cs="Times New Roman"/>
              </w:rPr>
              <w:object>
                <v:shape id="_x0000_i1025" o:spt="75" type="#_x0000_t75" style="height:315pt;width:450.75pt;" o:ole="t" filled="f" o:preferrelative="t" stroked="f" coordsize="21600,21600">
                  <v:path/>
                  <v:fill on="f" focussize="0,0"/>
                  <v:stroke on="f" joinstyle="miter"/>
                  <v:imagedata r:id="rId14" o:title=""/>
                  <o:lock v:ext="edit" aspectratio="t"/>
                  <w10:wrap type="none"/>
                  <w10:anchorlock/>
                </v:shape>
                <o:OLEObject Type="Embed" ProgID="Visio.Drawing.11" ShapeID="_x0000_i1025" DrawAspect="Content" ObjectID="_1468075725" r:id="rId13">
                  <o:LockedField>false</o:LockedField>
                </o:OLEObject>
              </w:object>
            </w:r>
          </w:p>
          <w:p>
            <w:pPr>
              <w:pStyle w:val="43"/>
              <w:rPr>
                <w:rFonts w:cs="Times New Roman"/>
              </w:rPr>
            </w:pPr>
            <w:r>
              <w:rPr>
                <w:rFonts w:cs="Times New Roman"/>
              </w:rPr>
              <w:t>图2-4  沥青混凝土生产工艺流程及产物环节示意图</w:t>
            </w:r>
          </w:p>
          <w:p>
            <w:pPr>
              <w:ind w:firstLine="480" w:firstLineChars="200"/>
              <w:rPr>
                <w:rFonts w:cs="Times New Roman"/>
                <w:szCs w:val="24"/>
              </w:rPr>
            </w:pPr>
            <w:r>
              <w:rPr>
                <w:rFonts w:cs="Times New Roman"/>
                <w:szCs w:val="24"/>
              </w:rPr>
              <w:t>2、乳化沥青生产工艺</w:t>
            </w:r>
          </w:p>
          <w:p>
            <w:pPr>
              <w:ind w:firstLine="480" w:firstLineChars="200"/>
              <w:rPr>
                <w:rFonts w:cs="Times New Roman"/>
                <w:szCs w:val="24"/>
              </w:rPr>
            </w:pPr>
            <w:r>
              <w:fldChar w:fldCharType="begin"/>
            </w:r>
            <w:r>
              <w:instrText xml:space="preserve"> HYPERLINK "http://baike.so.com/doc/440682-466637.html" \t "_blank" </w:instrText>
            </w:r>
            <w:r>
              <w:fldChar w:fldCharType="separate"/>
            </w:r>
            <w:r>
              <w:rPr>
                <w:rFonts w:cs="Times New Roman"/>
                <w:szCs w:val="24"/>
              </w:rPr>
              <w:t>沥青</w:t>
            </w:r>
            <w:r>
              <w:rPr>
                <w:rFonts w:cs="Times New Roman"/>
                <w:szCs w:val="24"/>
              </w:rPr>
              <w:fldChar w:fldCharType="end"/>
            </w:r>
            <w:r>
              <w:rPr>
                <w:rFonts w:cs="Times New Roman"/>
                <w:szCs w:val="24"/>
              </w:rPr>
              <w:t>和水的</w:t>
            </w:r>
            <w:r>
              <w:fldChar w:fldCharType="begin"/>
            </w:r>
            <w:r>
              <w:instrText xml:space="preserve"> HYPERLINK "http://baike.so.com/doc/2534749-2677722.html" \t "_blank" </w:instrText>
            </w:r>
            <w:r>
              <w:fldChar w:fldCharType="separate"/>
            </w:r>
            <w:r>
              <w:rPr>
                <w:rFonts w:cs="Times New Roman"/>
                <w:szCs w:val="24"/>
              </w:rPr>
              <w:t>表面张力</w:t>
            </w:r>
            <w:r>
              <w:rPr>
                <w:rFonts w:cs="Times New Roman"/>
                <w:szCs w:val="24"/>
              </w:rPr>
              <w:fldChar w:fldCharType="end"/>
            </w:r>
            <w:r>
              <w:rPr>
                <w:rFonts w:cs="Times New Roman"/>
                <w:szCs w:val="24"/>
              </w:rPr>
              <w:t>差别很大，在常温或高温下都不会互相混溶。但是当</w:t>
            </w:r>
            <w:r>
              <w:fldChar w:fldCharType="begin"/>
            </w:r>
            <w:r>
              <w:instrText xml:space="preserve"> HYPERLINK "http://baike.so.com/doc/440682-466637.html" \t "_blank" </w:instrText>
            </w:r>
            <w:r>
              <w:fldChar w:fldCharType="separate"/>
            </w:r>
            <w:r>
              <w:rPr>
                <w:rFonts w:cs="Times New Roman"/>
                <w:szCs w:val="24"/>
              </w:rPr>
              <w:t>沥青</w:t>
            </w:r>
            <w:r>
              <w:rPr>
                <w:rFonts w:cs="Times New Roman"/>
                <w:szCs w:val="24"/>
              </w:rPr>
              <w:fldChar w:fldCharType="end"/>
            </w:r>
            <w:r>
              <w:rPr>
                <w:rFonts w:cs="Times New Roman"/>
                <w:szCs w:val="24"/>
              </w:rPr>
              <w:t>经高速离心、剪切、从击等机械作用，使其成为粒径0.1~5μm的微粒，并分散到含有表面活性剂(</w:t>
            </w:r>
            <w:r>
              <w:fldChar w:fldCharType="begin"/>
            </w:r>
            <w:r>
              <w:instrText xml:space="preserve"> HYPERLINK "http://baike.so.com/doc/6851051-7068479.html" \t "_blank" </w:instrText>
            </w:r>
            <w:r>
              <w:fldChar w:fldCharType="separate"/>
            </w:r>
            <w:r>
              <w:rPr>
                <w:rFonts w:cs="Times New Roman"/>
                <w:szCs w:val="24"/>
              </w:rPr>
              <w:t>乳化剂</w:t>
            </w:r>
            <w:r>
              <w:rPr>
                <w:rFonts w:cs="Times New Roman"/>
                <w:szCs w:val="24"/>
              </w:rPr>
              <w:fldChar w:fldCharType="end"/>
            </w:r>
            <w:r>
              <w:rPr>
                <w:rFonts w:cs="Times New Roman"/>
                <w:szCs w:val="24"/>
              </w:rPr>
              <w:t>--稳定剂)的水介质中，由于乳化剂能定向吸附在沥青微粒表面，因而降低了水与沥青的</w:t>
            </w:r>
            <w:r>
              <w:fldChar w:fldCharType="begin"/>
            </w:r>
            <w:r>
              <w:instrText xml:space="preserve"> HYPERLINK "http://baike.so.com/doc/823072-870516.html" \t "_blank" </w:instrText>
            </w:r>
            <w:r>
              <w:fldChar w:fldCharType="separate"/>
            </w:r>
            <w:r>
              <w:rPr>
                <w:rFonts w:cs="Times New Roman"/>
                <w:szCs w:val="24"/>
              </w:rPr>
              <w:t>界面张力</w:t>
            </w:r>
            <w:r>
              <w:rPr>
                <w:rFonts w:cs="Times New Roman"/>
                <w:szCs w:val="24"/>
              </w:rPr>
              <w:fldChar w:fldCharType="end"/>
            </w:r>
            <w:r>
              <w:rPr>
                <w:rFonts w:cs="Times New Roman"/>
                <w:szCs w:val="24"/>
              </w:rPr>
              <w:t>，使沥青微粒能在水中形成稳定的分散体系，这就是水包油的乳状液。这种分散体系呈茶褐色，</w:t>
            </w:r>
            <w:r>
              <w:fldChar w:fldCharType="begin"/>
            </w:r>
            <w:r>
              <w:instrText xml:space="preserve"> HYPERLINK "http://baike.so.com/doc/440682-466637.html" \t "_blank" </w:instrText>
            </w:r>
            <w:r>
              <w:fldChar w:fldCharType="separate"/>
            </w:r>
            <w:r>
              <w:rPr>
                <w:rFonts w:cs="Times New Roman"/>
                <w:szCs w:val="24"/>
              </w:rPr>
              <w:t>沥青</w:t>
            </w:r>
            <w:r>
              <w:rPr>
                <w:rFonts w:cs="Times New Roman"/>
                <w:szCs w:val="24"/>
              </w:rPr>
              <w:fldChar w:fldCharType="end"/>
            </w:r>
            <w:r>
              <w:rPr>
                <w:rFonts w:cs="Times New Roman"/>
                <w:szCs w:val="24"/>
              </w:rPr>
              <w:t>为分散相，水为连续相，常温下具有良好流动性。从某种意义上说</w:t>
            </w:r>
            <w:r>
              <w:fldChar w:fldCharType="begin"/>
            </w:r>
            <w:r>
              <w:instrText xml:space="preserve"> HYPERLINK "http://baike.so.com/doc/5336435-5571874.html" \t "_blank" </w:instrText>
            </w:r>
            <w:r>
              <w:fldChar w:fldCharType="separate"/>
            </w:r>
            <w:r>
              <w:rPr>
                <w:rFonts w:cs="Times New Roman"/>
                <w:szCs w:val="24"/>
              </w:rPr>
              <w:t>乳化沥青</w:t>
            </w:r>
            <w:r>
              <w:rPr>
                <w:rFonts w:cs="Times New Roman"/>
                <w:szCs w:val="24"/>
              </w:rPr>
              <w:fldChar w:fldCharType="end"/>
            </w:r>
            <w:r>
              <w:rPr>
                <w:rFonts w:cs="Times New Roman"/>
                <w:szCs w:val="24"/>
              </w:rPr>
              <w:t>是用水来“稀释”沥青，因而改善了沥青的流动性。</w:t>
            </w:r>
          </w:p>
          <w:p>
            <w:pPr>
              <w:jc w:val="center"/>
              <w:rPr>
                <w:rFonts w:cs="Times New Roman"/>
                <w:szCs w:val="24"/>
              </w:rPr>
            </w:pPr>
            <w:r>
              <w:rPr>
                <w:rFonts w:cs="Times New Roman"/>
              </w:rPr>
              <w:object>
                <v:shape id="_x0000_i1026" o:spt="75" type="#_x0000_t75" style="height:167.25pt;width:388.5pt;" o:ole="t" filled="f" o:preferrelative="t" stroked="f" coordsize="21600,21600">
                  <v:path/>
                  <v:fill on="f" focussize="0,0"/>
                  <v:stroke on="f" joinstyle="miter"/>
                  <v:imagedata r:id="rId16" o:title=""/>
                  <o:lock v:ext="edit" aspectratio="t"/>
                  <w10:wrap type="none"/>
                  <w10:anchorlock/>
                </v:shape>
                <o:OLEObject Type="Embed" ProgID="Visio.Drawing.11" ShapeID="_x0000_i1026" DrawAspect="Content" ObjectID="_1468075726" r:id="rId15">
                  <o:LockedField>false</o:LockedField>
                </o:OLEObject>
              </w:object>
            </w:r>
          </w:p>
          <w:p>
            <w:pPr>
              <w:pStyle w:val="43"/>
              <w:rPr>
                <w:rFonts w:eastAsia="宋体" w:cs="Times New Roman"/>
              </w:rPr>
            </w:pPr>
            <w:r>
              <w:rPr>
                <w:rFonts w:cs="Times New Roman"/>
              </w:rPr>
              <w:t>图2-5  乳化沥青生产工艺流程及产物环节示意图</w:t>
            </w:r>
          </w:p>
          <w:p>
            <w:pPr>
              <w:rPr>
                <w:rFonts w:eastAsia="宋体" w:cs="Times New Roman"/>
                <w:b/>
                <w:bCs/>
                <w:szCs w:val="24"/>
              </w:rPr>
            </w:pPr>
            <w:r>
              <w:rPr>
                <w:rFonts w:eastAsia="宋体" w:cs="Times New Roman"/>
                <w:b/>
                <w:bCs/>
                <w:szCs w:val="24"/>
              </w:rPr>
              <w:t>（三）现有工程污染物核算</w:t>
            </w:r>
          </w:p>
          <w:p>
            <w:pPr>
              <w:ind w:firstLine="482" w:firstLineChars="200"/>
              <w:rPr>
                <w:rFonts w:eastAsia="宋体" w:cs="Times New Roman"/>
                <w:b/>
                <w:bCs/>
                <w:szCs w:val="24"/>
              </w:rPr>
            </w:pPr>
            <w:r>
              <w:rPr>
                <w:rFonts w:eastAsia="宋体" w:cs="Times New Roman"/>
                <w:b/>
                <w:bCs/>
                <w:szCs w:val="24"/>
              </w:rPr>
              <w:t>1、现有工程废气污染源</w:t>
            </w:r>
          </w:p>
          <w:p>
            <w:pPr>
              <w:ind w:firstLine="480" w:firstLineChars="200"/>
              <w:rPr>
                <w:rFonts w:eastAsia="宋体" w:cs="Times New Roman"/>
                <w:szCs w:val="24"/>
              </w:rPr>
            </w:pPr>
            <w:r>
              <w:rPr>
                <w:rFonts w:eastAsia="宋体" w:cs="Times New Roman"/>
                <w:szCs w:val="24"/>
              </w:rPr>
              <w:t>本项目现有工程废气污染源主要为搅拌楼生产废气、导热油炉废气。搅拌楼生产废气采用“重力沉降室+布袋除尘器”处理后于DA001排气筒（15m）排放。导热油炉配备有低氮燃烧器，锅炉烟气经DA002排气筒（8m）排放。</w:t>
            </w:r>
            <w:r>
              <w:rPr>
                <w:rFonts w:hint="eastAsia" w:eastAsia="宋体" w:cs="Times New Roman"/>
                <w:szCs w:val="24"/>
              </w:rPr>
              <w:t>沥青烟气经“气旋+电捕+活性炭吸附”装置处理后于15</w:t>
            </w:r>
            <w:r>
              <w:rPr>
                <w:rFonts w:eastAsia="宋体" w:cs="Times New Roman"/>
                <w:szCs w:val="24"/>
              </w:rPr>
              <w:t>.3</w:t>
            </w:r>
            <w:r>
              <w:rPr>
                <w:rFonts w:hint="eastAsia" w:eastAsia="宋体" w:cs="Times New Roman"/>
                <w:szCs w:val="24"/>
              </w:rPr>
              <w:t>m高排气筒（DA</w:t>
            </w:r>
            <w:r>
              <w:rPr>
                <w:rFonts w:eastAsia="宋体" w:cs="Times New Roman"/>
                <w:szCs w:val="24"/>
              </w:rPr>
              <w:t>003</w:t>
            </w:r>
            <w:r>
              <w:rPr>
                <w:rFonts w:hint="eastAsia" w:eastAsia="宋体" w:cs="Times New Roman"/>
                <w:szCs w:val="24"/>
              </w:rPr>
              <w:t>）排放。</w:t>
            </w:r>
          </w:p>
          <w:p>
            <w:pPr>
              <w:ind w:firstLine="480" w:firstLineChars="200"/>
              <w:rPr>
                <w:rFonts w:eastAsia="宋体" w:cs="Times New Roman"/>
                <w:szCs w:val="24"/>
              </w:rPr>
            </w:pPr>
            <w:r>
              <w:rPr>
                <w:rFonts w:hint="eastAsia" w:ascii="宋体" w:hAnsi="宋体" w:eastAsia="宋体" w:cs="宋体"/>
                <w:szCs w:val="24"/>
              </w:rPr>
              <w:t>①</w:t>
            </w:r>
            <w:r>
              <w:rPr>
                <w:rFonts w:eastAsia="宋体" w:cs="Times New Roman"/>
                <w:szCs w:val="24"/>
              </w:rPr>
              <w:t>搅拌楼废气</w:t>
            </w:r>
          </w:p>
          <w:p>
            <w:pPr>
              <w:ind w:firstLine="480" w:firstLineChars="200"/>
              <w:rPr>
                <w:rFonts w:eastAsia="宋体" w:cs="Times New Roman"/>
                <w:szCs w:val="24"/>
              </w:rPr>
            </w:pPr>
            <w:r>
              <w:rPr>
                <w:rFonts w:eastAsia="宋体" w:cs="Times New Roman"/>
                <w:szCs w:val="24"/>
              </w:rPr>
              <w:t>根据建设单位提供的例行监测报告《周至科达路面建设材料有限公司自行监测》（泽希检测（综）202310098号），陕西泽希检测服务有限公司于2023年10月30日对项目现有工程搅拌楼废气排气筒（DA001）及无组织排放的颗粒物开展了监测，监测结果见下表：</w:t>
            </w:r>
          </w:p>
          <w:p>
            <w:pPr>
              <w:pStyle w:val="43"/>
              <w:rPr>
                <w:rFonts w:cs="Times New Roman"/>
              </w:rPr>
            </w:pPr>
            <w:r>
              <w:rPr>
                <w:rFonts w:cs="Times New Roman"/>
              </w:rPr>
              <w:t>表2-11  搅拌楼废气排放口例行监测情况一览表</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1968"/>
              <w:gridCol w:w="1702"/>
              <w:gridCol w:w="2413"/>
              <w:gridCol w:w="19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7" w:type="pct"/>
                  <w:vAlign w:val="center"/>
                </w:tcPr>
                <w:p>
                  <w:pPr>
                    <w:pStyle w:val="43"/>
                    <w:rPr>
                      <w:rFonts w:cs="Times New Roman"/>
                      <w:szCs w:val="21"/>
                    </w:rPr>
                  </w:pPr>
                  <w:r>
                    <w:rPr>
                      <w:rFonts w:cs="Times New Roman"/>
                      <w:szCs w:val="21"/>
                    </w:rPr>
                    <w:t>监测点位</w:t>
                  </w:r>
                </w:p>
              </w:tc>
              <w:tc>
                <w:tcPr>
                  <w:tcW w:w="1060" w:type="pct"/>
                  <w:vAlign w:val="center"/>
                </w:tcPr>
                <w:p>
                  <w:pPr>
                    <w:pStyle w:val="43"/>
                    <w:rPr>
                      <w:rFonts w:cs="Times New Roman"/>
                      <w:szCs w:val="21"/>
                    </w:rPr>
                  </w:pPr>
                  <w:r>
                    <w:rPr>
                      <w:rFonts w:cs="Times New Roman"/>
                      <w:szCs w:val="21"/>
                    </w:rPr>
                    <w:t>监测项目</w:t>
                  </w:r>
                </w:p>
              </w:tc>
              <w:tc>
                <w:tcPr>
                  <w:tcW w:w="917" w:type="pct"/>
                  <w:vAlign w:val="center"/>
                </w:tcPr>
                <w:p>
                  <w:pPr>
                    <w:pStyle w:val="43"/>
                    <w:rPr>
                      <w:rFonts w:cs="Times New Roman"/>
                      <w:szCs w:val="21"/>
                    </w:rPr>
                  </w:pPr>
                  <w:r>
                    <w:rPr>
                      <w:rFonts w:cs="Times New Roman"/>
                      <w:szCs w:val="21"/>
                    </w:rPr>
                    <w:t>监测平均值</w:t>
                  </w:r>
                </w:p>
              </w:tc>
              <w:tc>
                <w:tcPr>
                  <w:tcW w:w="1300" w:type="pct"/>
                  <w:vAlign w:val="center"/>
                </w:tcPr>
                <w:p>
                  <w:pPr>
                    <w:pStyle w:val="43"/>
                    <w:rPr>
                      <w:rFonts w:cs="Times New Roman"/>
                      <w:szCs w:val="21"/>
                    </w:rPr>
                  </w:pPr>
                  <w:r>
                    <w:rPr>
                      <w:rFonts w:cs="Times New Roman"/>
                      <w:szCs w:val="21"/>
                    </w:rPr>
                    <w:t>执行标准</w:t>
                  </w:r>
                </w:p>
              </w:tc>
              <w:tc>
                <w:tcPr>
                  <w:tcW w:w="1046" w:type="pct"/>
                  <w:vAlign w:val="center"/>
                </w:tcPr>
                <w:p>
                  <w:pPr>
                    <w:pStyle w:val="43"/>
                    <w:rPr>
                      <w:rFonts w:cs="Times New Roman"/>
                      <w:szCs w:val="21"/>
                    </w:rPr>
                  </w:pPr>
                  <w:r>
                    <w:rPr>
                      <w:rFonts w:cs="Times New Roman"/>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restart"/>
                  <w:vAlign w:val="center"/>
                </w:tcPr>
                <w:p>
                  <w:pPr>
                    <w:pStyle w:val="43"/>
                    <w:rPr>
                      <w:rFonts w:cs="Times New Roman"/>
                      <w:b w:val="0"/>
                      <w:bCs/>
                      <w:szCs w:val="21"/>
                    </w:rPr>
                  </w:pPr>
                  <w:r>
                    <w:rPr>
                      <w:rFonts w:cs="Times New Roman"/>
                      <w:b w:val="0"/>
                      <w:bCs/>
                      <w:szCs w:val="21"/>
                    </w:rPr>
                    <w:t>搅拌楼废气排放口（DA001）</w:t>
                  </w:r>
                </w:p>
              </w:tc>
              <w:tc>
                <w:tcPr>
                  <w:tcW w:w="1060" w:type="pct"/>
                  <w:vAlign w:val="center"/>
                </w:tcPr>
                <w:p>
                  <w:pPr>
                    <w:pStyle w:val="43"/>
                    <w:rPr>
                      <w:rFonts w:cs="Times New Roman"/>
                      <w:b w:val="0"/>
                      <w:bCs/>
                      <w:szCs w:val="21"/>
                    </w:rPr>
                  </w:pPr>
                  <w:r>
                    <w:rPr>
                      <w:rFonts w:cs="Times New Roman"/>
                      <w:b w:val="0"/>
                      <w:bCs/>
                      <w:szCs w:val="21"/>
                    </w:rPr>
                    <w:t>烟气含湿量（%）</w:t>
                  </w:r>
                </w:p>
              </w:tc>
              <w:tc>
                <w:tcPr>
                  <w:tcW w:w="917" w:type="pct"/>
                  <w:vAlign w:val="center"/>
                </w:tcPr>
                <w:p>
                  <w:pPr>
                    <w:spacing w:line="240" w:lineRule="auto"/>
                    <w:jc w:val="center"/>
                    <w:rPr>
                      <w:rFonts w:cs="Times New Roman"/>
                      <w:bCs/>
                      <w:sz w:val="21"/>
                      <w:szCs w:val="21"/>
                    </w:rPr>
                  </w:pPr>
                  <w:r>
                    <w:rPr>
                      <w:rFonts w:cs="Times New Roman"/>
                      <w:bCs/>
                      <w:sz w:val="21"/>
                      <w:szCs w:val="21"/>
                    </w:rPr>
                    <w:t>10.03</w:t>
                  </w:r>
                </w:p>
              </w:tc>
              <w:tc>
                <w:tcPr>
                  <w:tcW w:w="1300" w:type="pct"/>
                  <w:vAlign w:val="center"/>
                </w:tcPr>
                <w:p>
                  <w:pPr>
                    <w:pStyle w:val="43"/>
                    <w:rPr>
                      <w:rFonts w:cs="Times New Roman"/>
                      <w:b w:val="0"/>
                      <w:bCs/>
                      <w:szCs w:val="21"/>
                    </w:rPr>
                  </w:pPr>
                  <w:r>
                    <w:rPr>
                      <w:rFonts w:cs="Times New Roman"/>
                      <w:b w:val="0"/>
                      <w:bCs/>
                      <w:szCs w:val="21"/>
                    </w:rPr>
                    <w:t>/</w:t>
                  </w:r>
                </w:p>
              </w:tc>
              <w:tc>
                <w:tcPr>
                  <w:tcW w:w="1046" w:type="pct"/>
                  <w:vAlign w:val="center"/>
                </w:tcPr>
                <w:p>
                  <w:pPr>
                    <w:pStyle w:val="43"/>
                    <w:rPr>
                      <w:rFonts w:cs="Times New Roman"/>
                      <w:b w:val="0"/>
                      <w:bCs/>
                      <w:szCs w:val="21"/>
                    </w:rPr>
                  </w:pPr>
                  <w:r>
                    <w:rPr>
                      <w:rFonts w:cs="Times New Roman"/>
                      <w:b w:val="0"/>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烟气流速（m/s）</w:t>
                  </w:r>
                </w:p>
              </w:tc>
              <w:tc>
                <w:tcPr>
                  <w:tcW w:w="917" w:type="pct"/>
                  <w:vAlign w:val="center"/>
                </w:tcPr>
                <w:p>
                  <w:pPr>
                    <w:spacing w:line="240" w:lineRule="auto"/>
                    <w:jc w:val="center"/>
                    <w:rPr>
                      <w:rFonts w:cs="Times New Roman"/>
                      <w:bCs/>
                      <w:sz w:val="21"/>
                      <w:szCs w:val="21"/>
                    </w:rPr>
                  </w:pPr>
                  <w:r>
                    <w:rPr>
                      <w:rFonts w:cs="Times New Roman"/>
                      <w:bCs/>
                      <w:sz w:val="21"/>
                      <w:szCs w:val="21"/>
                    </w:rPr>
                    <w:t>15.6</w:t>
                  </w:r>
                </w:p>
              </w:tc>
              <w:tc>
                <w:tcPr>
                  <w:tcW w:w="1300" w:type="pct"/>
                  <w:vAlign w:val="center"/>
                </w:tcPr>
                <w:p>
                  <w:pPr>
                    <w:pStyle w:val="43"/>
                    <w:rPr>
                      <w:rFonts w:cs="Times New Roman"/>
                      <w:b w:val="0"/>
                      <w:bCs/>
                      <w:szCs w:val="21"/>
                    </w:rPr>
                  </w:pPr>
                  <w:r>
                    <w:rPr>
                      <w:rFonts w:cs="Times New Roman"/>
                      <w:b w:val="0"/>
                      <w:bCs/>
                      <w:szCs w:val="21"/>
                    </w:rPr>
                    <w:t>/</w:t>
                  </w:r>
                </w:p>
              </w:tc>
              <w:tc>
                <w:tcPr>
                  <w:tcW w:w="1046" w:type="pct"/>
                  <w:vAlign w:val="center"/>
                </w:tcPr>
                <w:p>
                  <w:pPr>
                    <w:pStyle w:val="43"/>
                    <w:rPr>
                      <w:rFonts w:cs="Times New Roman"/>
                      <w:b w:val="0"/>
                      <w:bCs/>
                      <w:szCs w:val="21"/>
                    </w:rPr>
                  </w:pPr>
                  <w:r>
                    <w:rPr>
                      <w:rFonts w:cs="Times New Roman"/>
                      <w:b w:val="0"/>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烟气温度（</w:t>
                  </w:r>
                  <w:r>
                    <w:rPr>
                      <w:rFonts w:hint="eastAsia" w:ascii="宋体" w:hAnsi="宋体" w:eastAsia="宋体" w:cs="宋体"/>
                      <w:b w:val="0"/>
                      <w:bCs/>
                      <w:szCs w:val="21"/>
                    </w:rPr>
                    <w:t>℃</w:t>
                  </w:r>
                  <w:r>
                    <w:rPr>
                      <w:rFonts w:cs="Times New Roman"/>
                      <w:b w:val="0"/>
                      <w:bCs/>
                      <w:szCs w:val="21"/>
                    </w:rPr>
                    <w:t>）</w:t>
                  </w:r>
                </w:p>
              </w:tc>
              <w:tc>
                <w:tcPr>
                  <w:tcW w:w="917" w:type="pct"/>
                  <w:vAlign w:val="center"/>
                </w:tcPr>
                <w:p>
                  <w:pPr>
                    <w:spacing w:line="240" w:lineRule="auto"/>
                    <w:jc w:val="center"/>
                    <w:rPr>
                      <w:rFonts w:cs="Times New Roman"/>
                      <w:bCs/>
                      <w:sz w:val="21"/>
                      <w:szCs w:val="21"/>
                    </w:rPr>
                  </w:pPr>
                  <w:r>
                    <w:rPr>
                      <w:rFonts w:cs="Times New Roman"/>
                      <w:bCs/>
                      <w:sz w:val="21"/>
                      <w:szCs w:val="21"/>
                    </w:rPr>
                    <w:t>51.6</w:t>
                  </w:r>
                </w:p>
              </w:tc>
              <w:tc>
                <w:tcPr>
                  <w:tcW w:w="1300" w:type="pct"/>
                  <w:vAlign w:val="center"/>
                </w:tcPr>
                <w:p>
                  <w:pPr>
                    <w:pStyle w:val="43"/>
                    <w:rPr>
                      <w:rFonts w:cs="Times New Roman"/>
                      <w:b w:val="0"/>
                      <w:bCs/>
                      <w:szCs w:val="21"/>
                    </w:rPr>
                  </w:pPr>
                  <w:r>
                    <w:rPr>
                      <w:rFonts w:cs="Times New Roman"/>
                      <w:b w:val="0"/>
                      <w:bCs/>
                      <w:szCs w:val="21"/>
                    </w:rPr>
                    <w:t>/</w:t>
                  </w:r>
                </w:p>
              </w:tc>
              <w:tc>
                <w:tcPr>
                  <w:tcW w:w="1046" w:type="pct"/>
                  <w:vAlign w:val="center"/>
                </w:tcPr>
                <w:p>
                  <w:pPr>
                    <w:pStyle w:val="43"/>
                    <w:rPr>
                      <w:rFonts w:cs="Times New Roman"/>
                      <w:b w:val="0"/>
                      <w:bCs/>
                      <w:szCs w:val="21"/>
                    </w:rPr>
                  </w:pPr>
                  <w:r>
                    <w:rPr>
                      <w:rFonts w:cs="Times New Roman"/>
                      <w:b w:val="0"/>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烟气流量（m</w:t>
                  </w:r>
                  <w:r>
                    <w:rPr>
                      <w:rFonts w:cs="Times New Roman"/>
                      <w:b w:val="0"/>
                      <w:bCs/>
                      <w:szCs w:val="21"/>
                      <w:vertAlign w:val="superscript"/>
                    </w:rPr>
                    <w:t>3</w:t>
                  </w:r>
                  <w:r>
                    <w:rPr>
                      <w:rFonts w:cs="Times New Roman"/>
                      <w:b w:val="0"/>
                      <w:bCs/>
                      <w:szCs w:val="21"/>
                    </w:rPr>
                    <w:t>/h）</w:t>
                  </w:r>
                </w:p>
              </w:tc>
              <w:tc>
                <w:tcPr>
                  <w:tcW w:w="917" w:type="pct"/>
                  <w:vAlign w:val="center"/>
                </w:tcPr>
                <w:p>
                  <w:pPr>
                    <w:pStyle w:val="43"/>
                    <w:rPr>
                      <w:rFonts w:cs="Times New Roman"/>
                      <w:b w:val="0"/>
                      <w:bCs/>
                      <w:szCs w:val="21"/>
                    </w:rPr>
                  </w:pPr>
                  <w:r>
                    <w:rPr>
                      <w:rFonts w:cs="Times New Roman"/>
                      <w:b w:val="0"/>
                      <w:bCs/>
                      <w:szCs w:val="21"/>
                    </w:rPr>
                    <w:t>53789</w:t>
                  </w:r>
                </w:p>
              </w:tc>
              <w:tc>
                <w:tcPr>
                  <w:tcW w:w="1300" w:type="pct"/>
                  <w:vAlign w:val="center"/>
                </w:tcPr>
                <w:p>
                  <w:pPr>
                    <w:pStyle w:val="43"/>
                    <w:rPr>
                      <w:rFonts w:cs="Times New Roman"/>
                      <w:b w:val="0"/>
                      <w:bCs/>
                      <w:szCs w:val="21"/>
                    </w:rPr>
                  </w:pPr>
                  <w:r>
                    <w:rPr>
                      <w:rFonts w:cs="Times New Roman"/>
                      <w:b w:val="0"/>
                      <w:bCs/>
                      <w:szCs w:val="21"/>
                    </w:rPr>
                    <w:t>/</w:t>
                  </w:r>
                </w:p>
              </w:tc>
              <w:tc>
                <w:tcPr>
                  <w:tcW w:w="1046" w:type="pct"/>
                  <w:vAlign w:val="center"/>
                </w:tcPr>
                <w:p>
                  <w:pPr>
                    <w:pStyle w:val="43"/>
                    <w:rPr>
                      <w:rFonts w:cs="Times New Roman"/>
                      <w:b w:val="0"/>
                      <w:bCs/>
                      <w:szCs w:val="21"/>
                    </w:rPr>
                  </w:pPr>
                  <w:r>
                    <w:rPr>
                      <w:rFonts w:cs="Times New Roman"/>
                      <w:b w:val="0"/>
                      <w:bCs/>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颗粒物（mg/m</w:t>
                  </w:r>
                  <w:r>
                    <w:rPr>
                      <w:rFonts w:cs="Times New Roman"/>
                      <w:b w:val="0"/>
                      <w:bCs/>
                      <w:szCs w:val="21"/>
                      <w:vertAlign w:val="superscript"/>
                    </w:rPr>
                    <w:t>3</w:t>
                  </w:r>
                  <w:r>
                    <w:rPr>
                      <w:rFonts w:cs="Times New Roman"/>
                      <w:b w:val="0"/>
                      <w:bCs/>
                      <w:szCs w:val="21"/>
                    </w:rPr>
                    <w:t>）</w:t>
                  </w:r>
                </w:p>
              </w:tc>
              <w:tc>
                <w:tcPr>
                  <w:tcW w:w="917" w:type="pct"/>
                  <w:vAlign w:val="center"/>
                </w:tcPr>
                <w:p>
                  <w:pPr>
                    <w:pStyle w:val="43"/>
                    <w:rPr>
                      <w:rFonts w:cs="Times New Roman"/>
                      <w:b w:val="0"/>
                      <w:bCs/>
                      <w:szCs w:val="21"/>
                    </w:rPr>
                  </w:pPr>
                  <w:r>
                    <w:rPr>
                      <w:rFonts w:cs="Times New Roman"/>
                      <w:b w:val="0"/>
                      <w:bCs/>
                      <w:szCs w:val="21"/>
                    </w:rPr>
                    <w:t>5.0</w:t>
                  </w:r>
                </w:p>
              </w:tc>
              <w:tc>
                <w:tcPr>
                  <w:tcW w:w="1300" w:type="pct"/>
                  <w:vMerge w:val="restart"/>
                  <w:vAlign w:val="center"/>
                </w:tcPr>
                <w:p>
                  <w:pPr>
                    <w:pStyle w:val="43"/>
                    <w:rPr>
                      <w:rFonts w:cs="Times New Roman"/>
                      <w:b w:val="0"/>
                      <w:bCs/>
                      <w:szCs w:val="21"/>
                    </w:rPr>
                  </w:pPr>
                  <w:r>
                    <w:rPr>
                      <w:rFonts w:cs="Times New Roman"/>
                      <w:b w:val="0"/>
                      <w:bCs/>
                      <w:szCs w:val="21"/>
                    </w:rPr>
                    <w:t>《陕西省工业炉窑大气污染综合治理实施方案》</w:t>
                  </w:r>
                </w:p>
              </w:tc>
              <w:tc>
                <w:tcPr>
                  <w:tcW w:w="1046" w:type="pct"/>
                  <w:vAlign w:val="center"/>
                </w:tcPr>
                <w:p>
                  <w:pPr>
                    <w:pStyle w:val="43"/>
                    <w:rPr>
                      <w:rFonts w:cs="Times New Roman"/>
                      <w:b w:val="0"/>
                      <w:bCs/>
                      <w:szCs w:val="21"/>
                    </w:rPr>
                  </w:pPr>
                  <w:r>
                    <w:rPr>
                      <w:rFonts w:cs="Times New Roman"/>
                      <w:b w:val="0"/>
                      <w:bCs/>
                      <w:szCs w:val="21"/>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二氧化硫（mg/m</w:t>
                  </w:r>
                  <w:r>
                    <w:rPr>
                      <w:rFonts w:cs="Times New Roman"/>
                      <w:b w:val="0"/>
                      <w:bCs/>
                      <w:szCs w:val="21"/>
                      <w:vertAlign w:val="superscript"/>
                    </w:rPr>
                    <w:t>3</w:t>
                  </w:r>
                  <w:r>
                    <w:rPr>
                      <w:rFonts w:cs="Times New Roman"/>
                      <w:b w:val="0"/>
                      <w:bCs/>
                      <w:szCs w:val="21"/>
                    </w:rPr>
                    <w:t>）</w:t>
                  </w:r>
                </w:p>
              </w:tc>
              <w:tc>
                <w:tcPr>
                  <w:tcW w:w="917" w:type="pct"/>
                  <w:vAlign w:val="center"/>
                </w:tcPr>
                <w:p>
                  <w:pPr>
                    <w:pStyle w:val="43"/>
                    <w:rPr>
                      <w:rFonts w:cs="Times New Roman"/>
                      <w:b w:val="0"/>
                      <w:bCs/>
                      <w:szCs w:val="21"/>
                    </w:rPr>
                  </w:pPr>
                  <w:r>
                    <w:rPr>
                      <w:rFonts w:cs="Times New Roman"/>
                      <w:b w:val="0"/>
                      <w:bCs/>
                      <w:szCs w:val="21"/>
                    </w:rPr>
                    <w:t>3ND</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氮氧化物（mg/m</w:t>
                  </w:r>
                  <w:r>
                    <w:rPr>
                      <w:rFonts w:cs="Times New Roman"/>
                      <w:b w:val="0"/>
                      <w:bCs/>
                      <w:szCs w:val="21"/>
                      <w:vertAlign w:val="superscript"/>
                    </w:rPr>
                    <w:t>3</w:t>
                  </w:r>
                  <w:r>
                    <w:rPr>
                      <w:rFonts w:cs="Times New Roman"/>
                      <w:b w:val="0"/>
                      <w:bCs/>
                      <w:szCs w:val="21"/>
                    </w:rPr>
                    <w:t>）</w:t>
                  </w:r>
                </w:p>
              </w:tc>
              <w:tc>
                <w:tcPr>
                  <w:tcW w:w="917" w:type="pct"/>
                  <w:vAlign w:val="center"/>
                </w:tcPr>
                <w:p>
                  <w:pPr>
                    <w:pStyle w:val="43"/>
                    <w:rPr>
                      <w:rFonts w:cs="Times New Roman"/>
                      <w:b w:val="0"/>
                      <w:bCs/>
                      <w:szCs w:val="21"/>
                    </w:rPr>
                  </w:pPr>
                  <w:r>
                    <w:rPr>
                      <w:rFonts w:cs="Times New Roman"/>
                      <w:b w:val="0"/>
                      <w:bCs/>
                      <w:szCs w:val="21"/>
                    </w:rPr>
                    <w:t>50</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Align w:val="center"/>
                </w:tcPr>
                <w:p>
                  <w:pPr>
                    <w:pStyle w:val="43"/>
                    <w:rPr>
                      <w:rFonts w:cs="Times New Roman"/>
                      <w:b w:val="0"/>
                      <w:bCs/>
                      <w:szCs w:val="21"/>
                    </w:rPr>
                  </w:pPr>
                  <w:r>
                    <w:rPr>
                      <w:rFonts w:cs="Times New Roman"/>
                      <w:b w:val="0"/>
                      <w:bCs/>
                      <w:szCs w:val="21"/>
                    </w:rPr>
                    <w:t>监测点位</w:t>
                  </w:r>
                </w:p>
              </w:tc>
              <w:tc>
                <w:tcPr>
                  <w:tcW w:w="1060" w:type="pct"/>
                  <w:vAlign w:val="center"/>
                </w:tcPr>
                <w:p>
                  <w:pPr>
                    <w:pStyle w:val="43"/>
                    <w:rPr>
                      <w:rFonts w:cs="Times New Roman"/>
                      <w:b w:val="0"/>
                      <w:bCs/>
                      <w:szCs w:val="21"/>
                    </w:rPr>
                  </w:pPr>
                  <w:r>
                    <w:rPr>
                      <w:rFonts w:cs="Times New Roman"/>
                      <w:b w:val="0"/>
                      <w:bCs/>
                      <w:szCs w:val="21"/>
                    </w:rPr>
                    <w:t>监测项目</w:t>
                  </w:r>
                </w:p>
              </w:tc>
              <w:tc>
                <w:tcPr>
                  <w:tcW w:w="917" w:type="pct"/>
                  <w:vAlign w:val="center"/>
                </w:tcPr>
                <w:p>
                  <w:pPr>
                    <w:pStyle w:val="43"/>
                    <w:rPr>
                      <w:rFonts w:cs="Times New Roman"/>
                      <w:b w:val="0"/>
                      <w:bCs/>
                      <w:szCs w:val="21"/>
                    </w:rPr>
                  </w:pPr>
                  <w:r>
                    <w:rPr>
                      <w:rFonts w:cs="Times New Roman"/>
                      <w:b w:val="0"/>
                      <w:bCs/>
                      <w:szCs w:val="21"/>
                    </w:rPr>
                    <w:t>监测最大值</w:t>
                  </w:r>
                </w:p>
              </w:tc>
              <w:tc>
                <w:tcPr>
                  <w:tcW w:w="1300" w:type="pct"/>
                  <w:vAlign w:val="center"/>
                </w:tcPr>
                <w:p>
                  <w:pPr>
                    <w:pStyle w:val="43"/>
                    <w:rPr>
                      <w:rFonts w:cs="Times New Roman"/>
                      <w:b w:val="0"/>
                      <w:bCs/>
                      <w:szCs w:val="21"/>
                    </w:rPr>
                  </w:pPr>
                  <w:r>
                    <w:rPr>
                      <w:rFonts w:cs="Times New Roman"/>
                      <w:b w:val="0"/>
                      <w:bCs/>
                      <w:szCs w:val="21"/>
                    </w:rPr>
                    <w:t>执行标准</w:t>
                  </w:r>
                </w:p>
              </w:tc>
              <w:tc>
                <w:tcPr>
                  <w:tcW w:w="1046" w:type="pct"/>
                  <w:vAlign w:val="center"/>
                </w:tcPr>
                <w:p>
                  <w:pPr>
                    <w:pStyle w:val="43"/>
                    <w:rPr>
                      <w:rFonts w:cs="Times New Roman"/>
                      <w:b w:val="0"/>
                      <w:bCs/>
                      <w:szCs w:val="21"/>
                    </w:rPr>
                  </w:pPr>
                  <w:r>
                    <w:rPr>
                      <w:rFonts w:cs="Times New Roman"/>
                      <w:b w:val="0"/>
                      <w:bCs/>
                      <w:szCs w:val="21"/>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restart"/>
                  <w:vAlign w:val="center"/>
                </w:tcPr>
                <w:p>
                  <w:pPr>
                    <w:pStyle w:val="43"/>
                    <w:rPr>
                      <w:rFonts w:cs="Times New Roman"/>
                      <w:b w:val="0"/>
                      <w:bCs/>
                      <w:szCs w:val="21"/>
                    </w:rPr>
                  </w:pPr>
                  <w:r>
                    <w:rPr>
                      <w:rFonts w:cs="Times New Roman"/>
                      <w:b w:val="0"/>
                      <w:bCs/>
                      <w:szCs w:val="21"/>
                    </w:rPr>
                    <w:t>上风向1#</w:t>
                  </w:r>
                </w:p>
              </w:tc>
              <w:tc>
                <w:tcPr>
                  <w:tcW w:w="1060" w:type="pct"/>
                  <w:vAlign w:val="center"/>
                </w:tcPr>
                <w:p>
                  <w:pPr>
                    <w:pStyle w:val="43"/>
                    <w:rPr>
                      <w:rFonts w:cs="Times New Roman"/>
                      <w:b w:val="0"/>
                      <w:bCs/>
                      <w:szCs w:val="21"/>
                    </w:rPr>
                  </w:pPr>
                  <w:r>
                    <w:rPr>
                      <w:rFonts w:cs="Times New Roman"/>
                      <w:b w:val="0"/>
                      <w:bCs/>
                      <w:szCs w:val="21"/>
                    </w:rPr>
                    <w:t>颗粒物</w:t>
                  </w:r>
                </w:p>
              </w:tc>
              <w:tc>
                <w:tcPr>
                  <w:tcW w:w="917" w:type="pct"/>
                  <w:vAlign w:val="center"/>
                </w:tcPr>
                <w:p>
                  <w:pPr>
                    <w:pStyle w:val="43"/>
                    <w:rPr>
                      <w:rFonts w:cs="Times New Roman"/>
                      <w:b w:val="0"/>
                      <w:bCs/>
                      <w:szCs w:val="21"/>
                    </w:rPr>
                  </w:pPr>
                  <w:r>
                    <w:rPr>
                      <w:rFonts w:cs="Times New Roman"/>
                      <w:b w:val="0"/>
                      <w:bCs/>
                      <w:szCs w:val="21"/>
                    </w:rPr>
                    <w:t>0.217</w:t>
                  </w:r>
                </w:p>
              </w:tc>
              <w:tc>
                <w:tcPr>
                  <w:tcW w:w="1300" w:type="pct"/>
                  <w:vMerge w:val="restart"/>
                  <w:vAlign w:val="center"/>
                </w:tcPr>
                <w:p>
                  <w:pPr>
                    <w:pStyle w:val="43"/>
                    <w:rPr>
                      <w:rFonts w:cs="Times New Roman"/>
                      <w:b w:val="0"/>
                      <w:bCs/>
                      <w:szCs w:val="21"/>
                    </w:rPr>
                  </w:pPr>
                  <w:r>
                    <w:rPr>
                      <w:rFonts w:cs="Times New Roman"/>
                      <w:b w:val="0"/>
                      <w:bCs/>
                      <w:szCs w:val="21"/>
                    </w:rPr>
                    <w:t>《大气污染物综合排放标准》（16297-1996）</w:t>
                  </w:r>
                </w:p>
              </w:tc>
              <w:tc>
                <w:tcPr>
                  <w:tcW w:w="1046" w:type="pct"/>
                  <w:vAlign w:val="center"/>
                </w:tcPr>
                <w:p>
                  <w:pPr>
                    <w:pStyle w:val="43"/>
                    <w:rPr>
                      <w:rFonts w:cs="Times New Roman"/>
                      <w:b w:val="0"/>
                      <w:bCs/>
                      <w:szCs w:val="21"/>
                    </w:rPr>
                  </w:pPr>
                  <w:r>
                    <w:rPr>
                      <w:rFonts w:cs="Times New Roman"/>
                      <w:b w:val="0"/>
                      <w:bCs/>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苯并[a]芘</w:t>
                  </w:r>
                </w:p>
              </w:tc>
              <w:tc>
                <w:tcPr>
                  <w:tcW w:w="917" w:type="pct"/>
                  <w:vAlign w:val="center"/>
                </w:tcPr>
                <w:p>
                  <w:pPr>
                    <w:pStyle w:val="43"/>
                    <w:rPr>
                      <w:rFonts w:cs="Times New Roman"/>
                      <w:b w:val="0"/>
                      <w:bCs/>
                      <w:szCs w:val="21"/>
                    </w:rPr>
                  </w:pPr>
                  <w:r>
                    <w:rPr>
                      <w:rFonts w:cs="Times New Roman"/>
                      <w:b w:val="0"/>
                      <w:bCs/>
                      <w:szCs w:val="21"/>
                    </w:rPr>
                    <w:t>1.6×10</w:t>
                  </w:r>
                  <w:r>
                    <w:rPr>
                      <w:rFonts w:cs="Times New Roman"/>
                      <w:b w:val="0"/>
                      <w:bCs/>
                      <w:szCs w:val="21"/>
                      <w:vertAlign w:val="superscript"/>
                    </w:rPr>
                    <w:t>-6</w:t>
                  </w:r>
                  <w:r>
                    <w:rPr>
                      <w:rFonts w:cs="Times New Roman"/>
                      <w:b w:val="0"/>
                      <w:bCs/>
                      <w:szCs w:val="21"/>
                    </w:rPr>
                    <w:t>ND</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8.0×10</w:t>
                  </w:r>
                  <w:r>
                    <w:rPr>
                      <w:rFonts w:cs="Times New Roman"/>
                      <w:b w:val="0"/>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restart"/>
                  <w:vAlign w:val="center"/>
                </w:tcPr>
                <w:p>
                  <w:pPr>
                    <w:pStyle w:val="43"/>
                    <w:rPr>
                      <w:rFonts w:cs="Times New Roman"/>
                      <w:b w:val="0"/>
                      <w:bCs/>
                      <w:szCs w:val="21"/>
                    </w:rPr>
                  </w:pPr>
                  <w:r>
                    <w:rPr>
                      <w:rFonts w:cs="Times New Roman"/>
                      <w:b w:val="0"/>
                      <w:bCs/>
                      <w:szCs w:val="21"/>
                    </w:rPr>
                    <w:t>下风向2#</w:t>
                  </w:r>
                </w:p>
              </w:tc>
              <w:tc>
                <w:tcPr>
                  <w:tcW w:w="1060" w:type="pct"/>
                  <w:vAlign w:val="center"/>
                </w:tcPr>
                <w:p>
                  <w:pPr>
                    <w:pStyle w:val="43"/>
                    <w:rPr>
                      <w:rFonts w:cs="Times New Roman"/>
                      <w:b w:val="0"/>
                      <w:bCs/>
                      <w:szCs w:val="21"/>
                    </w:rPr>
                  </w:pPr>
                  <w:r>
                    <w:rPr>
                      <w:rFonts w:cs="Times New Roman"/>
                      <w:b w:val="0"/>
                      <w:bCs/>
                      <w:szCs w:val="21"/>
                    </w:rPr>
                    <w:t>颗粒物</w:t>
                  </w:r>
                </w:p>
              </w:tc>
              <w:tc>
                <w:tcPr>
                  <w:tcW w:w="917" w:type="pct"/>
                  <w:vAlign w:val="center"/>
                </w:tcPr>
                <w:p>
                  <w:pPr>
                    <w:pStyle w:val="43"/>
                    <w:rPr>
                      <w:rFonts w:cs="Times New Roman"/>
                      <w:b w:val="0"/>
                      <w:bCs/>
                      <w:szCs w:val="21"/>
                    </w:rPr>
                  </w:pPr>
                  <w:r>
                    <w:rPr>
                      <w:rFonts w:cs="Times New Roman"/>
                      <w:b w:val="0"/>
                      <w:bCs/>
                      <w:szCs w:val="21"/>
                    </w:rPr>
                    <w:t>0.372</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苯并[a]芘</w:t>
                  </w:r>
                </w:p>
              </w:tc>
              <w:tc>
                <w:tcPr>
                  <w:tcW w:w="917" w:type="pct"/>
                  <w:vAlign w:val="center"/>
                </w:tcPr>
                <w:p>
                  <w:pPr>
                    <w:pStyle w:val="43"/>
                    <w:rPr>
                      <w:rFonts w:cs="Times New Roman"/>
                      <w:b w:val="0"/>
                      <w:bCs/>
                      <w:szCs w:val="21"/>
                    </w:rPr>
                  </w:pPr>
                  <w:r>
                    <w:rPr>
                      <w:rFonts w:cs="Times New Roman"/>
                      <w:b w:val="0"/>
                      <w:bCs/>
                      <w:szCs w:val="21"/>
                    </w:rPr>
                    <w:t>1.6×10</w:t>
                  </w:r>
                  <w:r>
                    <w:rPr>
                      <w:rFonts w:cs="Times New Roman"/>
                      <w:b w:val="0"/>
                      <w:bCs/>
                      <w:szCs w:val="21"/>
                      <w:vertAlign w:val="superscript"/>
                    </w:rPr>
                    <w:t>-6</w:t>
                  </w:r>
                  <w:r>
                    <w:rPr>
                      <w:rFonts w:cs="Times New Roman"/>
                      <w:b w:val="0"/>
                      <w:bCs/>
                      <w:szCs w:val="21"/>
                    </w:rPr>
                    <w:t>ND</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8.0×10</w:t>
                  </w:r>
                  <w:r>
                    <w:rPr>
                      <w:rFonts w:cs="Times New Roman"/>
                      <w:b w:val="0"/>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restart"/>
                  <w:vAlign w:val="center"/>
                </w:tcPr>
                <w:p>
                  <w:pPr>
                    <w:pStyle w:val="43"/>
                    <w:rPr>
                      <w:rFonts w:cs="Times New Roman"/>
                      <w:b w:val="0"/>
                      <w:bCs/>
                      <w:szCs w:val="21"/>
                    </w:rPr>
                  </w:pPr>
                  <w:r>
                    <w:rPr>
                      <w:rFonts w:cs="Times New Roman"/>
                      <w:b w:val="0"/>
                      <w:bCs/>
                      <w:szCs w:val="21"/>
                    </w:rPr>
                    <w:t>下风向3#</w:t>
                  </w:r>
                </w:p>
              </w:tc>
              <w:tc>
                <w:tcPr>
                  <w:tcW w:w="1060" w:type="pct"/>
                  <w:vAlign w:val="center"/>
                </w:tcPr>
                <w:p>
                  <w:pPr>
                    <w:pStyle w:val="43"/>
                    <w:rPr>
                      <w:rFonts w:cs="Times New Roman"/>
                      <w:b w:val="0"/>
                      <w:bCs/>
                      <w:szCs w:val="21"/>
                    </w:rPr>
                  </w:pPr>
                  <w:r>
                    <w:rPr>
                      <w:rFonts w:cs="Times New Roman"/>
                      <w:b w:val="0"/>
                      <w:bCs/>
                      <w:szCs w:val="21"/>
                    </w:rPr>
                    <w:t>颗粒物</w:t>
                  </w:r>
                </w:p>
              </w:tc>
              <w:tc>
                <w:tcPr>
                  <w:tcW w:w="917" w:type="pct"/>
                  <w:vAlign w:val="center"/>
                </w:tcPr>
                <w:p>
                  <w:pPr>
                    <w:pStyle w:val="43"/>
                    <w:rPr>
                      <w:rFonts w:cs="Times New Roman"/>
                      <w:b w:val="0"/>
                      <w:bCs/>
                      <w:szCs w:val="21"/>
                    </w:rPr>
                  </w:pPr>
                  <w:r>
                    <w:rPr>
                      <w:rFonts w:cs="Times New Roman"/>
                      <w:b w:val="0"/>
                      <w:bCs/>
                      <w:szCs w:val="21"/>
                    </w:rPr>
                    <w:t>0.378</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苯并[a]芘</w:t>
                  </w:r>
                </w:p>
              </w:tc>
              <w:tc>
                <w:tcPr>
                  <w:tcW w:w="917" w:type="pct"/>
                  <w:vAlign w:val="center"/>
                </w:tcPr>
                <w:p>
                  <w:pPr>
                    <w:pStyle w:val="43"/>
                    <w:rPr>
                      <w:rFonts w:cs="Times New Roman"/>
                      <w:b w:val="0"/>
                      <w:bCs/>
                      <w:szCs w:val="21"/>
                    </w:rPr>
                  </w:pPr>
                  <w:r>
                    <w:rPr>
                      <w:rFonts w:cs="Times New Roman"/>
                      <w:b w:val="0"/>
                      <w:bCs/>
                      <w:szCs w:val="21"/>
                    </w:rPr>
                    <w:t>1.6×10</w:t>
                  </w:r>
                  <w:r>
                    <w:rPr>
                      <w:rFonts w:cs="Times New Roman"/>
                      <w:b w:val="0"/>
                      <w:bCs/>
                      <w:szCs w:val="21"/>
                      <w:vertAlign w:val="superscript"/>
                    </w:rPr>
                    <w:t>-6</w:t>
                  </w:r>
                  <w:r>
                    <w:rPr>
                      <w:rFonts w:cs="Times New Roman"/>
                      <w:b w:val="0"/>
                      <w:bCs/>
                      <w:szCs w:val="21"/>
                    </w:rPr>
                    <w:t>ND</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8.0×10</w:t>
                  </w:r>
                  <w:r>
                    <w:rPr>
                      <w:rFonts w:cs="Times New Roman"/>
                      <w:b w:val="0"/>
                      <w:bCs/>
                      <w:szCs w:val="21"/>
                      <w:vertAlign w:val="superscript"/>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restart"/>
                  <w:vAlign w:val="center"/>
                </w:tcPr>
                <w:p>
                  <w:pPr>
                    <w:pStyle w:val="43"/>
                    <w:rPr>
                      <w:rFonts w:cs="Times New Roman"/>
                      <w:b w:val="0"/>
                      <w:bCs/>
                      <w:szCs w:val="21"/>
                    </w:rPr>
                  </w:pPr>
                  <w:r>
                    <w:rPr>
                      <w:rFonts w:cs="Times New Roman"/>
                      <w:b w:val="0"/>
                      <w:bCs/>
                      <w:szCs w:val="21"/>
                    </w:rPr>
                    <w:t>下风向4#</w:t>
                  </w:r>
                </w:p>
              </w:tc>
              <w:tc>
                <w:tcPr>
                  <w:tcW w:w="1060" w:type="pct"/>
                  <w:vAlign w:val="center"/>
                </w:tcPr>
                <w:p>
                  <w:pPr>
                    <w:pStyle w:val="43"/>
                    <w:rPr>
                      <w:rFonts w:cs="Times New Roman"/>
                      <w:b w:val="0"/>
                      <w:bCs/>
                      <w:szCs w:val="21"/>
                    </w:rPr>
                  </w:pPr>
                  <w:r>
                    <w:rPr>
                      <w:rFonts w:cs="Times New Roman"/>
                      <w:b w:val="0"/>
                      <w:bCs/>
                      <w:szCs w:val="21"/>
                    </w:rPr>
                    <w:t>颗粒物</w:t>
                  </w:r>
                </w:p>
              </w:tc>
              <w:tc>
                <w:tcPr>
                  <w:tcW w:w="917" w:type="pct"/>
                  <w:vAlign w:val="center"/>
                </w:tcPr>
                <w:p>
                  <w:pPr>
                    <w:pStyle w:val="43"/>
                    <w:rPr>
                      <w:rFonts w:cs="Times New Roman"/>
                      <w:b w:val="0"/>
                      <w:bCs/>
                      <w:szCs w:val="21"/>
                    </w:rPr>
                  </w:pPr>
                  <w:r>
                    <w:rPr>
                      <w:rFonts w:cs="Times New Roman"/>
                      <w:b w:val="0"/>
                      <w:bCs/>
                      <w:szCs w:val="21"/>
                    </w:rPr>
                    <w:t>0.375</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pct"/>
                  <w:vMerge w:val="continue"/>
                  <w:vAlign w:val="center"/>
                </w:tcPr>
                <w:p>
                  <w:pPr>
                    <w:pStyle w:val="43"/>
                    <w:rPr>
                      <w:rFonts w:cs="Times New Roman"/>
                      <w:b w:val="0"/>
                      <w:bCs/>
                      <w:szCs w:val="21"/>
                    </w:rPr>
                  </w:pPr>
                </w:p>
              </w:tc>
              <w:tc>
                <w:tcPr>
                  <w:tcW w:w="1060" w:type="pct"/>
                  <w:vAlign w:val="center"/>
                </w:tcPr>
                <w:p>
                  <w:pPr>
                    <w:pStyle w:val="43"/>
                    <w:rPr>
                      <w:rFonts w:cs="Times New Roman"/>
                      <w:b w:val="0"/>
                      <w:bCs/>
                      <w:szCs w:val="21"/>
                    </w:rPr>
                  </w:pPr>
                  <w:r>
                    <w:rPr>
                      <w:rFonts w:cs="Times New Roman"/>
                      <w:b w:val="0"/>
                      <w:bCs/>
                      <w:szCs w:val="21"/>
                    </w:rPr>
                    <w:t>苯并[a]芘</w:t>
                  </w:r>
                </w:p>
              </w:tc>
              <w:tc>
                <w:tcPr>
                  <w:tcW w:w="917" w:type="pct"/>
                  <w:vAlign w:val="center"/>
                </w:tcPr>
                <w:p>
                  <w:pPr>
                    <w:pStyle w:val="43"/>
                    <w:rPr>
                      <w:rFonts w:cs="Times New Roman"/>
                      <w:b w:val="0"/>
                      <w:bCs/>
                      <w:szCs w:val="21"/>
                    </w:rPr>
                  </w:pPr>
                  <w:r>
                    <w:rPr>
                      <w:rFonts w:cs="Times New Roman"/>
                      <w:b w:val="0"/>
                      <w:bCs/>
                      <w:szCs w:val="21"/>
                    </w:rPr>
                    <w:t>1.6×10</w:t>
                  </w:r>
                  <w:r>
                    <w:rPr>
                      <w:rFonts w:cs="Times New Roman"/>
                      <w:b w:val="0"/>
                      <w:bCs/>
                      <w:szCs w:val="21"/>
                      <w:vertAlign w:val="superscript"/>
                    </w:rPr>
                    <w:t>-6</w:t>
                  </w:r>
                  <w:r>
                    <w:rPr>
                      <w:rFonts w:cs="Times New Roman"/>
                      <w:b w:val="0"/>
                      <w:bCs/>
                      <w:szCs w:val="21"/>
                    </w:rPr>
                    <w:t>ND</w:t>
                  </w:r>
                </w:p>
              </w:tc>
              <w:tc>
                <w:tcPr>
                  <w:tcW w:w="1300" w:type="pct"/>
                  <w:vMerge w:val="continue"/>
                  <w:vAlign w:val="center"/>
                </w:tcPr>
                <w:p>
                  <w:pPr>
                    <w:pStyle w:val="43"/>
                    <w:rPr>
                      <w:rFonts w:cs="Times New Roman"/>
                      <w:b w:val="0"/>
                      <w:bCs/>
                      <w:szCs w:val="21"/>
                    </w:rPr>
                  </w:pPr>
                </w:p>
              </w:tc>
              <w:tc>
                <w:tcPr>
                  <w:tcW w:w="1046" w:type="pct"/>
                  <w:vAlign w:val="center"/>
                </w:tcPr>
                <w:p>
                  <w:pPr>
                    <w:pStyle w:val="43"/>
                    <w:rPr>
                      <w:rFonts w:cs="Times New Roman"/>
                      <w:b w:val="0"/>
                      <w:bCs/>
                      <w:szCs w:val="21"/>
                    </w:rPr>
                  </w:pPr>
                  <w:r>
                    <w:rPr>
                      <w:rFonts w:cs="Times New Roman"/>
                      <w:b w:val="0"/>
                      <w:bCs/>
                      <w:szCs w:val="21"/>
                    </w:rPr>
                    <w:t>8.0×10</w:t>
                  </w:r>
                  <w:r>
                    <w:rPr>
                      <w:rFonts w:cs="Times New Roman"/>
                      <w:b w:val="0"/>
                      <w:bCs/>
                      <w:szCs w:val="21"/>
                      <w:vertAlign w:val="superscript"/>
                    </w:rPr>
                    <w:t>-6</w:t>
                  </w:r>
                </w:p>
              </w:tc>
            </w:tr>
          </w:tbl>
          <w:p>
            <w:pPr>
              <w:ind w:firstLine="480" w:firstLineChars="200"/>
              <w:rPr>
                <w:rFonts w:eastAsia="宋体" w:cs="Times New Roman"/>
                <w:szCs w:val="24"/>
              </w:rPr>
            </w:pPr>
            <w:r>
              <w:rPr>
                <w:rFonts w:eastAsia="宋体" w:cs="Times New Roman"/>
                <w:szCs w:val="24"/>
              </w:rPr>
              <w:t>根据监测结果可知，本项目现有工程搅拌楼废气排气筒</w:t>
            </w:r>
            <w:r>
              <w:rPr>
                <w:rFonts w:hint="eastAsia" w:eastAsia="宋体" w:cs="Times New Roman"/>
                <w:szCs w:val="24"/>
              </w:rPr>
              <w:t>各污染物</w:t>
            </w:r>
            <w:r>
              <w:rPr>
                <w:rFonts w:eastAsia="宋体" w:cs="Times New Roman"/>
                <w:szCs w:val="24"/>
              </w:rPr>
              <w:t>的排放满足《大气污染物综合排放标准》（GB16297-1996）表2中的标准要求及《陕西省工业炉窑大气污染综合治理实施方案》中的相关规定，无组织排放废气颗粒物满足《大气污染物综合排放标准》（GB16297-1996）表2中的标准要求。</w:t>
            </w:r>
          </w:p>
          <w:p>
            <w:pPr>
              <w:ind w:firstLine="480" w:firstLineChars="200"/>
              <w:rPr>
                <w:rFonts w:eastAsia="宋体" w:cs="Times New Roman"/>
                <w:szCs w:val="24"/>
              </w:rPr>
            </w:pPr>
            <w:r>
              <w:rPr>
                <w:rFonts w:eastAsia="宋体" w:cs="Times New Roman"/>
                <w:szCs w:val="24"/>
              </w:rPr>
              <w:t>本项目现有工程</w:t>
            </w:r>
            <w:r>
              <w:rPr>
                <w:rFonts w:hint="eastAsia" w:eastAsia="宋体" w:cs="Times New Roman"/>
                <w:szCs w:val="24"/>
              </w:rPr>
              <w:t>沥青混合料搅拌楼</w:t>
            </w:r>
            <w:r>
              <w:rPr>
                <w:rFonts w:eastAsia="宋体" w:cs="Times New Roman"/>
                <w:szCs w:val="24"/>
              </w:rPr>
              <w:t>最大年运行时间以600h计，则搅拌楼废气排放口颗粒物年排放量为0.16t/a，氮氧化物年排放量为1.61t/a。由于监测报告中二氧化硫未检出，参照《环境空气质量监测规范》（试行） 中“附件五 数据处理方法”现有工程DA001排气筒废气二氧化硫污染物排放量核算采用检出限的1/2进行核算，则二氧化硫排放量为0.05t/a</w:t>
            </w:r>
            <w:r>
              <w:rPr>
                <w:rFonts w:hint="eastAsia" w:eastAsia="宋体" w:cs="Times New Roman"/>
                <w:szCs w:val="24"/>
              </w:rPr>
              <w:t>。</w:t>
            </w:r>
          </w:p>
          <w:p>
            <w:pPr>
              <w:ind w:firstLine="480" w:firstLineChars="200"/>
              <w:rPr>
                <w:rFonts w:eastAsia="宋体" w:cs="Times New Roman"/>
                <w:szCs w:val="24"/>
              </w:rPr>
            </w:pPr>
            <w:r>
              <w:rPr>
                <w:rFonts w:hint="eastAsia" w:ascii="宋体" w:hAnsi="宋体" w:eastAsia="宋体" w:cs="宋体"/>
                <w:szCs w:val="24"/>
              </w:rPr>
              <w:t>②</w:t>
            </w:r>
            <w:r>
              <w:rPr>
                <w:rFonts w:eastAsia="宋体" w:cs="Times New Roman"/>
                <w:szCs w:val="24"/>
              </w:rPr>
              <w:t>导热油炉燃烧废气</w:t>
            </w:r>
          </w:p>
          <w:p>
            <w:pPr>
              <w:ind w:firstLine="480" w:firstLineChars="200"/>
              <w:rPr>
                <w:rFonts w:eastAsia="宋体" w:cs="Times New Roman"/>
                <w:szCs w:val="24"/>
              </w:rPr>
            </w:pPr>
            <w:r>
              <w:rPr>
                <w:rFonts w:eastAsia="宋体" w:cs="Times New Roman"/>
                <w:szCs w:val="24"/>
              </w:rPr>
              <w:t>根据建设单位提供的例行监测报告《周至科达路面建设材料有限公司自行监测》（泽希检测（综）202309001号），陕西泽希检测服务有限公司于2023年9月5日对项目现有工程</w:t>
            </w:r>
            <w:r>
              <w:rPr>
                <w:rFonts w:hint="eastAsia" w:eastAsia="宋体" w:cs="Times New Roman"/>
                <w:szCs w:val="24"/>
              </w:rPr>
              <w:t>导热油炉废气</w:t>
            </w:r>
            <w:r>
              <w:rPr>
                <w:rFonts w:eastAsia="宋体" w:cs="Times New Roman"/>
                <w:szCs w:val="24"/>
              </w:rPr>
              <w:t>排气筒（DA002）开展了监测，监测结果见下表：</w:t>
            </w:r>
          </w:p>
          <w:p>
            <w:pPr>
              <w:pStyle w:val="24"/>
              <w:rPr>
                <w:rFonts w:cs="Times New Roman"/>
              </w:rPr>
            </w:pPr>
            <w:r>
              <w:rPr>
                <w:rFonts w:cs="Times New Roman"/>
              </w:rPr>
              <w:t>表2-12  导热油炉废气排放口例行监测情况一览表</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775"/>
              <w:gridCol w:w="1329"/>
              <w:gridCol w:w="1478"/>
              <w:gridCol w:w="1479"/>
              <w:gridCol w:w="1327"/>
              <w:gridCol w:w="11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3" w:type="pct"/>
                  <w:gridSpan w:val="2"/>
                  <w:vAlign w:val="center"/>
                </w:tcPr>
                <w:p>
                  <w:pPr>
                    <w:pStyle w:val="43"/>
                    <w:rPr>
                      <w:rFonts w:cs="Times New Roman"/>
                    </w:rPr>
                  </w:pPr>
                  <w:r>
                    <w:rPr>
                      <w:rFonts w:cs="Times New Roman"/>
                    </w:rPr>
                    <w:t>监测项目</w:t>
                  </w:r>
                </w:p>
              </w:tc>
              <w:tc>
                <w:tcPr>
                  <w:tcW w:w="716" w:type="pct"/>
                  <w:vAlign w:val="center"/>
                </w:tcPr>
                <w:p>
                  <w:pPr>
                    <w:pStyle w:val="43"/>
                    <w:rPr>
                      <w:rFonts w:cs="Times New Roman"/>
                    </w:rPr>
                  </w:pPr>
                  <w:r>
                    <w:rPr>
                      <w:rFonts w:cs="Times New Roman"/>
                    </w:rPr>
                    <w:t>第一次</w:t>
                  </w:r>
                </w:p>
              </w:tc>
              <w:tc>
                <w:tcPr>
                  <w:tcW w:w="796" w:type="pct"/>
                  <w:vAlign w:val="center"/>
                </w:tcPr>
                <w:p>
                  <w:pPr>
                    <w:pStyle w:val="43"/>
                    <w:rPr>
                      <w:rFonts w:cs="Times New Roman"/>
                    </w:rPr>
                  </w:pPr>
                  <w:r>
                    <w:rPr>
                      <w:rFonts w:cs="Times New Roman"/>
                    </w:rPr>
                    <w:t>第二次</w:t>
                  </w:r>
                </w:p>
              </w:tc>
              <w:tc>
                <w:tcPr>
                  <w:tcW w:w="797" w:type="pct"/>
                  <w:vAlign w:val="center"/>
                </w:tcPr>
                <w:p>
                  <w:pPr>
                    <w:pStyle w:val="43"/>
                    <w:rPr>
                      <w:rFonts w:cs="Times New Roman"/>
                    </w:rPr>
                  </w:pPr>
                  <w:r>
                    <w:rPr>
                      <w:rFonts w:cs="Times New Roman"/>
                    </w:rPr>
                    <w:t>第三次</w:t>
                  </w:r>
                </w:p>
              </w:tc>
              <w:tc>
                <w:tcPr>
                  <w:tcW w:w="715" w:type="pct"/>
                  <w:vAlign w:val="center"/>
                </w:tcPr>
                <w:p>
                  <w:pPr>
                    <w:pStyle w:val="43"/>
                    <w:rPr>
                      <w:rFonts w:cs="Times New Roman"/>
                    </w:rPr>
                  </w:pPr>
                  <w:r>
                    <w:rPr>
                      <w:rFonts w:cs="Times New Roman"/>
                    </w:rPr>
                    <w:t>平均值</w:t>
                  </w:r>
                </w:p>
              </w:tc>
              <w:tc>
                <w:tcPr>
                  <w:tcW w:w="633" w:type="pct"/>
                  <w:vAlign w:val="center"/>
                </w:tcPr>
                <w:p>
                  <w:pPr>
                    <w:pStyle w:val="43"/>
                    <w:rPr>
                      <w:rFonts w:cs="Times New Roman"/>
                    </w:rPr>
                  </w:pPr>
                  <w:r>
                    <w:rPr>
                      <w:rFonts w:cs="Times New Roman"/>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3" w:type="pct"/>
                  <w:gridSpan w:val="2"/>
                  <w:vAlign w:val="center"/>
                </w:tcPr>
                <w:p>
                  <w:pPr>
                    <w:pStyle w:val="43"/>
                    <w:rPr>
                      <w:rFonts w:cs="Times New Roman"/>
                      <w:b w:val="0"/>
                      <w:bCs/>
                    </w:rPr>
                  </w:pPr>
                  <w:r>
                    <w:rPr>
                      <w:rFonts w:cs="Times New Roman"/>
                      <w:b w:val="0"/>
                      <w:bCs/>
                    </w:rPr>
                    <w:t>废气含氧量（%）</w:t>
                  </w:r>
                </w:p>
              </w:tc>
              <w:tc>
                <w:tcPr>
                  <w:tcW w:w="716" w:type="pct"/>
                  <w:vAlign w:val="center"/>
                </w:tcPr>
                <w:p>
                  <w:pPr>
                    <w:pStyle w:val="43"/>
                    <w:rPr>
                      <w:rFonts w:cs="Times New Roman"/>
                      <w:b w:val="0"/>
                      <w:bCs/>
                    </w:rPr>
                  </w:pPr>
                  <w:r>
                    <w:rPr>
                      <w:rFonts w:cs="Times New Roman"/>
                      <w:b w:val="0"/>
                      <w:bCs/>
                    </w:rPr>
                    <w:t>3.8</w:t>
                  </w:r>
                </w:p>
              </w:tc>
              <w:tc>
                <w:tcPr>
                  <w:tcW w:w="796" w:type="pct"/>
                  <w:vAlign w:val="center"/>
                </w:tcPr>
                <w:p>
                  <w:pPr>
                    <w:pStyle w:val="43"/>
                    <w:rPr>
                      <w:rFonts w:cs="Times New Roman"/>
                      <w:b w:val="0"/>
                      <w:bCs/>
                    </w:rPr>
                  </w:pPr>
                  <w:r>
                    <w:rPr>
                      <w:rFonts w:cs="Times New Roman"/>
                      <w:b w:val="0"/>
                      <w:bCs/>
                    </w:rPr>
                    <w:t>3.6</w:t>
                  </w:r>
                </w:p>
              </w:tc>
              <w:tc>
                <w:tcPr>
                  <w:tcW w:w="797" w:type="pct"/>
                  <w:vAlign w:val="center"/>
                </w:tcPr>
                <w:p>
                  <w:pPr>
                    <w:pStyle w:val="43"/>
                    <w:rPr>
                      <w:rFonts w:cs="Times New Roman"/>
                      <w:b w:val="0"/>
                      <w:bCs/>
                    </w:rPr>
                  </w:pPr>
                  <w:r>
                    <w:rPr>
                      <w:rFonts w:cs="Times New Roman"/>
                      <w:b w:val="0"/>
                      <w:bCs/>
                    </w:rPr>
                    <w:t>3.7</w:t>
                  </w:r>
                </w:p>
              </w:tc>
              <w:tc>
                <w:tcPr>
                  <w:tcW w:w="715" w:type="pct"/>
                  <w:vAlign w:val="center"/>
                </w:tcPr>
                <w:p>
                  <w:pPr>
                    <w:pStyle w:val="43"/>
                    <w:rPr>
                      <w:rFonts w:cs="Times New Roman"/>
                      <w:b w:val="0"/>
                      <w:bCs/>
                    </w:rPr>
                  </w:pPr>
                  <w:r>
                    <w:rPr>
                      <w:rFonts w:cs="Times New Roman"/>
                      <w:b w:val="0"/>
                      <w:bCs/>
                    </w:rPr>
                    <w:t>3.7</w:t>
                  </w:r>
                </w:p>
              </w:tc>
              <w:tc>
                <w:tcPr>
                  <w:tcW w:w="633" w:type="pct"/>
                  <w:vAlign w:val="center"/>
                </w:tcPr>
                <w:p>
                  <w:pPr>
                    <w:pStyle w:val="43"/>
                    <w:rPr>
                      <w:rFonts w:cs="Times New Roman"/>
                      <w:b w:val="0"/>
                      <w:bC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343" w:type="pct"/>
                  <w:gridSpan w:val="2"/>
                  <w:vAlign w:val="center"/>
                </w:tcPr>
                <w:p>
                  <w:pPr>
                    <w:pStyle w:val="43"/>
                    <w:rPr>
                      <w:rFonts w:cs="Times New Roman"/>
                      <w:b w:val="0"/>
                      <w:bCs/>
                    </w:rPr>
                  </w:pPr>
                  <w:r>
                    <w:rPr>
                      <w:rFonts w:cs="Times New Roman"/>
                      <w:b w:val="0"/>
                      <w:bCs/>
                    </w:rPr>
                    <w:t>烟气流速（m/s）</w:t>
                  </w:r>
                </w:p>
              </w:tc>
              <w:tc>
                <w:tcPr>
                  <w:tcW w:w="716" w:type="pct"/>
                  <w:vAlign w:val="center"/>
                </w:tcPr>
                <w:p>
                  <w:pPr>
                    <w:pStyle w:val="43"/>
                    <w:rPr>
                      <w:rFonts w:cs="Times New Roman"/>
                      <w:b w:val="0"/>
                      <w:bCs/>
                    </w:rPr>
                  </w:pPr>
                  <w:r>
                    <w:rPr>
                      <w:rFonts w:cs="Times New Roman"/>
                      <w:b w:val="0"/>
                      <w:bCs/>
                    </w:rPr>
                    <w:t>6.5</w:t>
                  </w:r>
                </w:p>
              </w:tc>
              <w:tc>
                <w:tcPr>
                  <w:tcW w:w="796" w:type="pct"/>
                  <w:vAlign w:val="center"/>
                </w:tcPr>
                <w:p>
                  <w:pPr>
                    <w:pStyle w:val="43"/>
                    <w:rPr>
                      <w:rFonts w:cs="Times New Roman"/>
                      <w:b w:val="0"/>
                      <w:bCs/>
                    </w:rPr>
                  </w:pPr>
                  <w:r>
                    <w:rPr>
                      <w:rFonts w:cs="Times New Roman"/>
                      <w:b w:val="0"/>
                      <w:bCs/>
                    </w:rPr>
                    <w:t>6.6</w:t>
                  </w:r>
                </w:p>
              </w:tc>
              <w:tc>
                <w:tcPr>
                  <w:tcW w:w="797" w:type="pct"/>
                  <w:vAlign w:val="center"/>
                </w:tcPr>
                <w:p>
                  <w:pPr>
                    <w:pStyle w:val="43"/>
                    <w:rPr>
                      <w:rFonts w:cs="Times New Roman"/>
                      <w:b w:val="0"/>
                      <w:bCs/>
                    </w:rPr>
                  </w:pPr>
                  <w:r>
                    <w:rPr>
                      <w:rFonts w:cs="Times New Roman"/>
                      <w:b w:val="0"/>
                      <w:bCs/>
                    </w:rPr>
                    <w:t>6.6</w:t>
                  </w:r>
                </w:p>
              </w:tc>
              <w:tc>
                <w:tcPr>
                  <w:tcW w:w="715" w:type="pct"/>
                  <w:vAlign w:val="center"/>
                </w:tcPr>
                <w:p>
                  <w:pPr>
                    <w:pStyle w:val="43"/>
                    <w:rPr>
                      <w:rFonts w:cs="Times New Roman"/>
                      <w:b w:val="0"/>
                      <w:bCs/>
                    </w:rPr>
                  </w:pPr>
                  <w:r>
                    <w:rPr>
                      <w:rFonts w:cs="Times New Roman"/>
                      <w:b w:val="0"/>
                      <w:bCs/>
                    </w:rPr>
                    <w:t>6.6</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3" w:type="pct"/>
                  <w:gridSpan w:val="2"/>
                  <w:vAlign w:val="center"/>
                </w:tcPr>
                <w:p>
                  <w:pPr>
                    <w:pStyle w:val="43"/>
                    <w:rPr>
                      <w:rFonts w:cs="Times New Roman"/>
                      <w:b w:val="0"/>
                      <w:bCs/>
                    </w:rPr>
                  </w:pPr>
                  <w:r>
                    <w:rPr>
                      <w:rFonts w:cs="Times New Roman"/>
                      <w:b w:val="0"/>
                      <w:bCs/>
                    </w:rPr>
                    <w:t>烟气温度（</w:t>
                  </w:r>
                  <w:r>
                    <w:rPr>
                      <w:rFonts w:hint="eastAsia" w:ascii="宋体" w:hAnsi="宋体" w:eastAsia="宋体" w:cs="宋体"/>
                      <w:b w:val="0"/>
                      <w:bCs/>
                    </w:rPr>
                    <w:t>℃</w:t>
                  </w:r>
                  <w:r>
                    <w:rPr>
                      <w:rFonts w:cs="Times New Roman"/>
                      <w:b w:val="0"/>
                      <w:bCs/>
                    </w:rPr>
                    <w:t>）</w:t>
                  </w:r>
                </w:p>
              </w:tc>
              <w:tc>
                <w:tcPr>
                  <w:tcW w:w="716" w:type="pct"/>
                  <w:vAlign w:val="center"/>
                </w:tcPr>
                <w:p>
                  <w:pPr>
                    <w:pStyle w:val="43"/>
                    <w:rPr>
                      <w:rFonts w:cs="Times New Roman"/>
                      <w:b w:val="0"/>
                      <w:bCs/>
                    </w:rPr>
                  </w:pPr>
                  <w:r>
                    <w:rPr>
                      <w:rFonts w:cs="Times New Roman"/>
                      <w:b w:val="0"/>
                      <w:bCs/>
                    </w:rPr>
                    <w:t>265.3</w:t>
                  </w:r>
                </w:p>
              </w:tc>
              <w:tc>
                <w:tcPr>
                  <w:tcW w:w="796" w:type="pct"/>
                  <w:vAlign w:val="center"/>
                </w:tcPr>
                <w:p>
                  <w:pPr>
                    <w:pStyle w:val="43"/>
                    <w:rPr>
                      <w:rFonts w:cs="Times New Roman"/>
                      <w:b w:val="0"/>
                      <w:bCs/>
                    </w:rPr>
                  </w:pPr>
                  <w:r>
                    <w:rPr>
                      <w:rFonts w:cs="Times New Roman"/>
                      <w:b w:val="0"/>
                      <w:bCs/>
                    </w:rPr>
                    <w:t>262.1</w:t>
                  </w:r>
                </w:p>
              </w:tc>
              <w:tc>
                <w:tcPr>
                  <w:tcW w:w="797" w:type="pct"/>
                  <w:vAlign w:val="center"/>
                </w:tcPr>
                <w:p>
                  <w:pPr>
                    <w:pStyle w:val="43"/>
                    <w:rPr>
                      <w:rFonts w:cs="Times New Roman"/>
                      <w:b w:val="0"/>
                      <w:bCs/>
                    </w:rPr>
                  </w:pPr>
                  <w:r>
                    <w:rPr>
                      <w:rFonts w:cs="Times New Roman"/>
                      <w:b w:val="0"/>
                      <w:bCs/>
                    </w:rPr>
                    <w:t>269.5</w:t>
                  </w:r>
                </w:p>
              </w:tc>
              <w:tc>
                <w:tcPr>
                  <w:tcW w:w="715" w:type="pct"/>
                  <w:vAlign w:val="center"/>
                </w:tcPr>
                <w:p>
                  <w:pPr>
                    <w:pStyle w:val="43"/>
                    <w:rPr>
                      <w:rFonts w:cs="Times New Roman"/>
                      <w:b w:val="0"/>
                      <w:bCs/>
                    </w:rPr>
                  </w:pPr>
                  <w:r>
                    <w:rPr>
                      <w:rFonts w:cs="Times New Roman"/>
                      <w:b w:val="0"/>
                      <w:bCs/>
                    </w:rPr>
                    <w:t>265.6</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3" w:type="pct"/>
                  <w:gridSpan w:val="2"/>
                  <w:vAlign w:val="center"/>
                </w:tcPr>
                <w:p>
                  <w:pPr>
                    <w:pStyle w:val="43"/>
                    <w:rPr>
                      <w:rFonts w:cs="Times New Roman"/>
                      <w:b w:val="0"/>
                      <w:bCs/>
                    </w:rPr>
                  </w:pPr>
                  <w:r>
                    <w:rPr>
                      <w:rFonts w:cs="Times New Roman"/>
                      <w:b w:val="0"/>
                      <w:bCs/>
                    </w:rPr>
                    <w:t>烟气含湿量（%）</w:t>
                  </w:r>
                </w:p>
              </w:tc>
              <w:tc>
                <w:tcPr>
                  <w:tcW w:w="716" w:type="pct"/>
                  <w:vAlign w:val="center"/>
                </w:tcPr>
                <w:p>
                  <w:pPr>
                    <w:pStyle w:val="43"/>
                    <w:rPr>
                      <w:rFonts w:cs="Times New Roman"/>
                      <w:b w:val="0"/>
                      <w:bCs/>
                    </w:rPr>
                  </w:pPr>
                  <w:r>
                    <w:rPr>
                      <w:rFonts w:cs="Times New Roman"/>
                      <w:b w:val="0"/>
                      <w:bCs/>
                    </w:rPr>
                    <w:t>5.8</w:t>
                  </w:r>
                </w:p>
              </w:tc>
              <w:tc>
                <w:tcPr>
                  <w:tcW w:w="796" w:type="pct"/>
                  <w:vAlign w:val="center"/>
                </w:tcPr>
                <w:p>
                  <w:pPr>
                    <w:pStyle w:val="43"/>
                    <w:rPr>
                      <w:rFonts w:cs="Times New Roman"/>
                      <w:b w:val="0"/>
                      <w:bCs/>
                    </w:rPr>
                  </w:pPr>
                  <w:r>
                    <w:rPr>
                      <w:rFonts w:cs="Times New Roman"/>
                      <w:b w:val="0"/>
                      <w:bCs/>
                    </w:rPr>
                    <w:t>5.58</w:t>
                  </w:r>
                </w:p>
              </w:tc>
              <w:tc>
                <w:tcPr>
                  <w:tcW w:w="797" w:type="pct"/>
                  <w:vAlign w:val="center"/>
                </w:tcPr>
                <w:p>
                  <w:pPr>
                    <w:pStyle w:val="43"/>
                    <w:rPr>
                      <w:rFonts w:cs="Times New Roman"/>
                      <w:b w:val="0"/>
                      <w:bCs/>
                    </w:rPr>
                  </w:pPr>
                  <w:r>
                    <w:rPr>
                      <w:rFonts w:cs="Times New Roman"/>
                      <w:b w:val="0"/>
                      <w:bCs/>
                    </w:rPr>
                    <w:t>5.61</w:t>
                  </w:r>
                </w:p>
              </w:tc>
              <w:tc>
                <w:tcPr>
                  <w:tcW w:w="715" w:type="pct"/>
                  <w:vAlign w:val="center"/>
                </w:tcPr>
                <w:p>
                  <w:pPr>
                    <w:pStyle w:val="43"/>
                    <w:rPr>
                      <w:rFonts w:cs="Times New Roman"/>
                      <w:b w:val="0"/>
                      <w:bCs/>
                    </w:rPr>
                  </w:pPr>
                  <w:r>
                    <w:rPr>
                      <w:rFonts w:cs="Times New Roman"/>
                      <w:b w:val="0"/>
                      <w:bCs/>
                    </w:rPr>
                    <w:t>5.66</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3" w:type="pct"/>
                  <w:gridSpan w:val="2"/>
                  <w:vAlign w:val="center"/>
                </w:tcPr>
                <w:p>
                  <w:pPr>
                    <w:pStyle w:val="43"/>
                    <w:rPr>
                      <w:rFonts w:cs="Times New Roman"/>
                      <w:b w:val="0"/>
                      <w:bCs/>
                    </w:rPr>
                  </w:pPr>
                  <w:r>
                    <w:rPr>
                      <w:rFonts w:cs="Times New Roman"/>
                      <w:b w:val="0"/>
                      <w:bCs/>
                    </w:rPr>
                    <w:t>废气量（m</w:t>
                  </w:r>
                  <w:r>
                    <w:rPr>
                      <w:rFonts w:cs="Times New Roman"/>
                      <w:b w:val="0"/>
                      <w:bCs/>
                      <w:vertAlign w:val="superscript"/>
                    </w:rPr>
                    <w:t>3</w:t>
                  </w:r>
                  <w:r>
                    <w:rPr>
                      <w:rFonts w:cs="Times New Roman"/>
                      <w:b w:val="0"/>
                      <w:bCs/>
                    </w:rPr>
                    <w:t>/h）</w:t>
                  </w:r>
                </w:p>
              </w:tc>
              <w:tc>
                <w:tcPr>
                  <w:tcW w:w="716" w:type="pct"/>
                  <w:vAlign w:val="center"/>
                </w:tcPr>
                <w:p>
                  <w:pPr>
                    <w:pStyle w:val="43"/>
                    <w:rPr>
                      <w:rFonts w:cs="Times New Roman"/>
                      <w:b w:val="0"/>
                      <w:bCs/>
                    </w:rPr>
                  </w:pPr>
                  <w:r>
                    <w:rPr>
                      <w:rFonts w:cs="Times New Roman"/>
                      <w:b w:val="0"/>
                      <w:bCs/>
                    </w:rPr>
                    <w:t>1337</w:t>
                  </w:r>
                </w:p>
              </w:tc>
              <w:tc>
                <w:tcPr>
                  <w:tcW w:w="796" w:type="pct"/>
                  <w:vAlign w:val="center"/>
                </w:tcPr>
                <w:p>
                  <w:pPr>
                    <w:pStyle w:val="43"/>
                    <w:rPr>
                      <w:rFonts w:cs="Times New Roman"/>
                      <w:b w:val="0"/>
                      <w:bCs/>
                    </w:rPr>
                  </w:pPr>
                  <w:r>
                    <w:rPr>
                      <w:rFonts w:cs="Times New Roman"/>
                      <w:b w:val="0"/>
                      <w:bCs/>
                    </w:rPr>
                    <w:t>1369</w:t>
                  </w:r>
                </w:p>
              </w:tc>
              <w:tc>
                <w:tcPr>
                  <w:tcW w:w="797" w:type="pct"/>
                  <w:vAlign w:val="center"/>
                </w:tcPr>
                <w:p>
                  <w:pPr>
                    <w:pStyle w:val="43"/>
                    <w:rPr>
                      <w:rFonts w:cs="Times New Roman"/>
                      <w:b w:val="0"/>
                      <w:bCs/>
                    </w:rPr>
                  </w:pPr>
                  <w:r>
                    <w:rPr>
                      <w:rFonts w:cs="Times New Roman"/>
                      <w:b w:val="0"/>
                      <w:bCs/>
                    </w:rPr>
                    <w:t>1350</w:t>
                  </w:r>
                </w:p>
              </w:tc>
              <w:tc>
                <w:tcPr>
                  <w:tcW w:w="715" w:type="pct"/>
                  <w:vAlign w:val="center"/>
                </w:tcPr>
                <w:p>
                  <w:pPr>
                    <w:pStyle w:val="43"/>
                    <w:rPr>
                      <w:rFonts w:cs="Times New Roman"/>
                      <w:b w:val="0"/>
                      <w:bCs/>
                    </w:rPr>
                  </w:pPr>
                  <w:r>
                    <w:rPr>
                      <w:rFonts w:cs="Times New Roman"/>
                      <w:b w:val="0"/>
                      <w:bCs/>
                    </w:rPr>
                    <w:t>1352</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restart"/>
                  <w:vAlign w:val="center"/>
                </w:tcPr>
                <w:p>
                  <w:pPr>
                    <w:pStyle w:val="43"/>
                    <w:rPr>
                      <w:rFonts w:cs="Times New Roman"/>
                      <w:b w:val="0"/>
                      <w:bCs/>
                    </w:rPr>
                  </w:pPr>
                  <w:r>
                    <w:rPr>
                      <w:rFonts w:cs="Times New Roman"/>
                      <w:b w:val="0"/>
                      <w:bCs/>
                    </w:rPr>
                    <w:t>颗粒物</w:t>
                  </w:r>
                </w:p>
              </w:tc>
              <w:tc>
                <w:tcPr>
                  <w:tcW w:w="956" w:type="pct"/>
                  <w:vAlign w:val="center"/>
                </w:tcPr>
                <w:p>
                  <w:pPr>
                    <w:pStyle w:val="43"/>
                    <w:rPr>
                      <w:rFonts w:cs="Times New Roman"/>
                      <w:b w:val="0"/>
                      <w:bCs/>
                    </w:rPr>
                  </w:pPr>
                  <w:r>
                    <w:rPr>
                      <w:rFonts w:cs="Times New Roman"/>
                      <w:b w:val="0"/>
                      <w:bCs/>
                    </w:rPr>
                    <w:t>实测浓度mg/m</w:t>
                  </w:r>
                  <w:r>
                    <w:rPr>
                      <w:rFonts w:cs="Times New Roman"/>
                      <w:b w:val="0"/>
                      <w:bCs/>
                      <w:vertAlign w:val="superscript"/>
                    </w:rPr>
                    <w:t>3</w:t>
                  </w:r>
                </w:p>
              </w:tc>
              <w:tc>
                <w:tcPr>
                  <w:tcW w:w="716" w:type="pct"/>
                  <w:vAlign w:val="center"/>
                </w:tcPr>
                <w:p>
                  <w:pPr>
                    <w:pStyle w:val="43"/>
                    <w:rPr>
                      <w:rFonts w:cs="Times New Roman"/>
                      <w:b w:val="0"/>
                      <w:bCs/>
                    </w:rPr>
                  </w:pPr>
                  <w:r>
                    <w:rPr>
                      <w:rFonts w:cs="Times New Roman"/>
                      <w:b w:val="0"/>
                      <w:bCs/>
                    </w:rPr>
                    <w:t>3.9</w:t>
                  </w:r>
                </w:p>
              </w:tc>
              <w:tc>
                <w:tcPr>
                  <w:tcW w:w="796" w:type="pct"/>
                  <w:vAlign w:val="center"/>
                </w:tcPr>
                <w:p>
                  <w:pPr>
                    <w:pStyle w:val="43"/>
                    <w:rPr>
                      <w:rFonts w:cs="Times New Roman"/>
                      <w:b w:val="0"/>
                      <w:bCs/>
                    </w:rPr>
                  </w:pPr>
                  <w:r>
                    <w:rPr>
                      <w:rFonts w:cs="Times New Roman"/>
                      <w:b w:val="0"/>
                      <w:bCs/>
                    </w:rPr>
                    <w:t>2.7</w:t>
                  </w:r>
                </w:p>
              </w:tc>
              <w:tc>
                <w:tcPr>
                  <w:tcW w:w="797" w:type="pct"/>
                  <w:vAlign w:val="center"/>
                </w:tcPr>
                <w:p>
                  <w:pPr>
                    <w:pStyle w:val="43"/>
                    <w:rPr>
                      <w:rFonts w:cs="Times New Roman"/>
                      <w:b w:val="0"/>
                      <w:bCs/>
                    </w:rPr>
                  </w:pPr>
                  <w:r>
                    <w:rPr>
                      <w:rFonts w:cs="Times New Roman"/>
                      <w:b w:val="0"/>
                      <w:bCs/>
                    </w:rPr>
                    <w:t>3.2</w:t>
                  </w:r>
                </w:p>
              </w:tc>
              <w:tc>
                <w:tcPr>
                  <w:tcW w:w="715" w:type="pct"/>
                  <w:vAlign w:val="center"/>
                </w:tcPr>
                <w:p>
                  <w:pPr>
                    <w:pStyle w:val="43"/>
                    <w:rPr>
                      <w:rFonts w:cs="Times New Roman"/>
                      <w:b w:val="0"/>
                      <w:bCs/>
                    </w:rPr>
                  </w:pPr>
                  <w:r>
                    <w:rPr>
                      <w:rFonts w:cs="Times New Roman"/>
                      <w:b w:val="0"/>
                      <w:bCs/>
                    </w:rPr>
                    <w:t>3.3</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continue"/>
                  <w:vAlign w:val="center"/>
                </w:tcPr>
                <w:p>
                  <w:pPr>
                    <w:pStyle w:val="43"/>
                    <w:rPr>
                      <w:rFonts w:cs="Times New Roman"/>
                      <w:b w:val="0"/>
                      <w:bCs/>
                    </w:rPr>
                  </w:pPr>
                </w:p>
              </w:tc>
              <w:tc>
                <w:tcPr>
                  <w:tcW w:w="956" w:type="pct"/>
                  <w:vAlign w:val="center"/>
                </w:tcPr>
                <w:p>
                  <w:pPr>
                    <w:pStyle w:val="43"/>
                    <w:rPr>
                      <w:rFonts w:cs="Times New Roman"/>
                      <w:b w:val="0"/>
                      <w:bCs/>
                    </w:rPr>
                  </w:pPr>
                  <w:r>
                    <w:rPr>
                      <w:rFonts w:cs="Times New Roman"/>
                      <w:b w:val="0"/>
                      <w:bCs/>
                    </w:rPr>
                    <w:t>折算浓度mg/m</w:t>
                  </w:r>
                  <w:r>
                    <w:rPr>
                      <w:rFonts w:cs="Times New Roman"/>
                      <w:b w:val="0"/>
                      <w:bCs/>
                      <w:vertAlign w:val="superscript"/>
                    </w:rPr>
                    <w:t>3</w:t>
                  </w:r>
                </w:p>
              </w:tc>
              <w:tc>
                <w:tcPr>
                  <w:tcW w:w="716" w:type="pct"/>
                  <w:vAlign w:val="center"/>
                </w:tcPr>
                <w:p>
                  <w:pPr>
                    <w:pStyle w:val="43"/>
                    <w:rPr>
                      <w:rFonts w:cs="Times New Roman"/>
                      <w:b w:val="0"/>
                      <w:bCs/>
                    </w:rPr>
                  </w:pPr>
                  <w:r>
                    <w:rPr>
                      <w:rFonts w:cs="Times New Roman"/>
                      <w:b w:val="0"/>
                      <w:bCs/>
                    </w:rPr>
                    <w:t>4.0</w:t>
                  </w:r>
                </w:p>
              </w:tc>
              <w:tc>
                <w:tcPr>
                  <w:tcW w:w="796" w:type="pct"/>
                  <w:vAlign w:val="center"/>
                </w:tcPr>
                <w:p>
                  <w:pPr>
                    <w:pStyle w:val="43"/>
                    <w:rPr>
                      <w:rFonts w:cs="Times New Roman"/>
                      <w:b w:val="0"/>
                      <w:bCs/>
                    </w:rPr>
                  </w:pPr>
                  <w:r>
                    <w:rPr>
                      <w:rFonts w:cs="Times New Roman"/>
                      <w:b w:val="0"/>
                      <w:bCs/>
                    </w:rPr>
                    <w:t>2.7</w:t>
                  </w:r>
                </w:p>
              </w:tc>
              <w:tc>
                <w:tcPr>
                  <w:tcW w:w="797" w:type="pct"/>
                  <w:vAlign w:val="center"/>
                </w:tcPr>
                <w:p>
                  <w:pPr>
                    <w:pStyle w:val="43"/>
                    <w:rPr>
                      <w:rFonts w:cs="Times New Roman"/>
                      <w:b w:val="0"/>
                      <w:bCs/>
                    </w:rPr>
                  </w:pPr>
                  <w:r>
                    <w:rPr>
                      <w:rFonts w:cs="Times New Roman"/>
                      <w:b w:val="0"/>
                      <w:bCs/>
                    </w:rPr>
                    <w:t>3.2</w:t>
                  </w:r>
                </w:p>
              </w:tc>
              <w:tc>
                <w:tcPr>
                  <w:tcW w:w="715" w:type="pct"/>
                  <w:vAlign w:val="center"/>
                </w:tcPr>
                <w:p>
                  <w:pPr>
                    <w:pStyle w:val="43"/>
                    <w:rPr>
                      <w:rFonts w:cs="Times New Roman"/>
                      <w:b w:val="0"/>
                      <w:bCs/>
                    </w:rPr>
                  </w:pPr>
                  <w:r>
                    <w:rPr>
                      <w:rFonts w:cs="Times New Roman"/>
                      <w:b w:val="0"/>
                      <w:bCs/>
                    </w:rPr>
                    <w:t>3.3</w:t>
                  </w:r>
                </w:p>
              </w:tc>
              <w:tc>
                <w:tcPr>
                  <w:tcW w:w="633" w:type="pct"/>
                  <w:vAlign w:val="center"/>
                </w:tcPr>
                <w:p>
                  <w:pPr>
                    <w:pStyle w:val="43"/>
                    <w:rPr>
                      <w:rFonts w:cs="Times New Roman"/>
                      <w:b w:val="0"/>
                      <w:bCs/>
                    </w:rPr>
                  </w:pPr>
                  <w:r>
                    <w:rPr>
                      <w:rFonts w:cs="Times New Roman"/>
                      <w:b w:val="0"/>
                      <w:bCs/>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continue"/>
                  <w:vAlign w:val="center"/>
                </w:tcPr>
                <w:p>
                  <w:pPr>
                    <w:pStyle w:val="43"/>
                    <w:rPr>
                      <w:rFonts w:cs="Times New Roman"/>
                      <w:b w:val="0"/>
                      <w:bCs/>
                    </w:rPr>
                  </w:pPr>
                </w:p>
              </w:tc>
              <w:tc>
                <w:tcPr>
                  <w:tcW w:w="956" w:type="pct"/>
                  <w:vAlign w:val="center"/>
                </w:tcPr>
                <w:p>
                  <w:pPr>
                    <w:pStyle w:val="43"/>
                    <w:rPr>
                      <w:rFonts w:cs="Times New Roman"/>
                      <w:b w:val="0"/>
                      <w:bCs/>
                    </w:rPr>
                  </w:pPr>
                  <w:r>
                    <w:rPr>
                      <w:rFonts w:cs="Times New Roman"/>
                      <w:b w:val="0"/>
                      <w:bCs/>
                    </w:rPr>
                    <w:t>排放速率kg/h</w:t>
                  </w:r>
                </w:p>
              </w:tc>
              <w:tc>
                <w:tcPr>
                  <w:tcW w:w="716" w:type="pct"/>
                  <w:vAlign w:val="center"/>
                </w:tcPr>
                <w:p>
                  <w:pPr>
                    <w:pStyle w:val="43"/>
                    <w:rPr>
                      <w:rFonts w:cs="Times New Roman"/>
                      <w:b w:val="0"/>
                      <w:bCs/>
                    </w:rPr>
                  </w:pPr>
                  <w:r>
                    <w:rPr>
                      <w:rFonts w:cs="Times New Roman"/>
                      <w:b w:val="0"/>
                      <w:bCs/>
                    </w:rPr>
                    <w:t>5.2×10</w:t>
                  </w:r>
                  <w:r>
                    <w:rPr>
                      <w:rFonts w:cs="Times New Roman"/>
                      <w:b w:val="0"/>
                      <w:bCs/>
                      <w:vertAlign w:val="superscript"/>
                    </w:rPr>
                    <w:t>-3</w:t>
                  </w:r>
                </w:p>
              </w:tc>
              <w:tc>
                <w:tcPr>
                  <w:tcW w:w="796" w:type="pct"/>
                  <w:vAlign w:val="center"/>
                </w:tcPr>
                <w:p>
                  <w:pPr>
                    <w:pStyle w:val="43"/>
                    <w:rPr>
                      <w:rFonts w:cs="Times New Roman"/>
                      <w:b w:val="0"/>
                      <w:bCs/>
                    </w:rPr>
                  </w:pPr>
                  <w:r>
                    <w:rPr>
                      <w:rFonts w:cs="Times New Roman"/>
                      <w:b w:val="0"/>
                      <w:bCs/>
                    </w:rPr>
                    <w:t>3.7×10</w:t>
                  </w:r>
                  <w:r>
                    <w:rPr>
                      <w:rFonts w:cs="Times New Roman"/>
                      <w:b w:val="0"/>
                      <w:bCs/>
                      <w:vertAlign w:val="superscript"/>
                    </w:rPr>
                    <w:t>-3</w:t>
                  </w:r>
                </w:p>
              </w:tc>
              <w:tc>
                <w:tcPr>
                  <w:tcW w:w="797" w:type="pct"/>
                  <w:vAlign w:val="center"/>
                </w:tcPr>
                <w:p>
                  <w:pPr>
                    <w:pStyle w:val="43"/>
                    <w:rPr>
                      <w:rFonts w:cs="Times New Roman"/>
                      <w:b w:val="0"/>
                      <w:bCs/>
                    </w:rPr>
                  </w:pPr>
                  <w:r>
                    <w:rPr>
                      <w:rFonts w:cs="Times New Roman"/>
                      <w:b w:val="0"/>
                      <w:bCs/>
                    </w:rPr>
                    <w:t>4.3×10</w:t>
                  </w:r>
                  <w:r>
                    <w:rPr>
                      <w:rFonts w:cs="Times New Roman"/>
                      <w:b w:val="0"/>
                      <w:bCs/>
                      <w:vertAlign w:val="superscript"/>
                    </w:rPr>
                    <w:t>-3</w:t>
                  </w:r>
                </w:p>
              </w:tc>
              <w:tc>
                <w:tcPr>
                  <w:tcW w:w="715" w:type="pct"/>
                  <w:vAlign w:val="center"/>
                </w:tcPr>
                <w:p>
                  <w:pPr>
                    <w:pStyle w:val="43"/>
                    <w:rPr>
                      <w:rFonts w:cs="Times New Roman"/>
                      <w:b w:val="0"/>
                      <w:bCs/>
                    </w:rPr>
                  </w:pPr>
                  <w:r>
                    <w:rPr>
                      <w:rFonts w:cs="Times New Roman"/>
                      <w:b w:val="0"/>
                      <w:bCs/>
                    </w:rPr>
                    <w:t>4.4×10</w:t>
                  </w:r>
                  <w:r>
                    <w:rPr>
                      <w:rFonts w:cs="Times New Roman"/>
                      <w:b w:val="0"/>
                      <w:bCs/>
                      <w:vertAlign w:val="superscript"/>
                    </w:rPr>
                    <w:t>-3</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restart"/>
                  <w:vAlign w:val="center"/>
                </w:tcPr>
                <w:p>
                  <w:pPr>
                    <w:pStyle w:val="43"/>
                    <w:rPr>
                      <w:rFonts w:cs="Times New Roman"/>
                      <w:b w:val="0"/>
                      <w:bCs/>
                    </w:rPr>
                  </w:pPr>
                  <w:r>
                    <w:rPr>
                      <w:rFonts w:cs="Times New Roman"/>
                      <w:b w:val="0"/>
                      <w:bCs/>
                    </w:rPr>
                    <w:t>二氧化硫</w:t>
                  </w:r>
                </w:p>
              </w:tc>
              <w:tc>
                <w:tcPr>
                  <w:tcW w:w="956" w:type="pct"/>
                  <w:vAlign w:val="center"/>
                </w:tcPr>
                <w:p>
                  <w:pPr>
                    <w:pStyle w:val="43"/>
                    <w:rPr>
                      <w:rFonts w:cs="Times New Roman"/>
                      <w:b w:val="0"/>
                      <w:bCs/>
                    </w:rPr>
                  </w:pPr>
                  <w:r>
                    <w:rPr>
                      <w:rFonts w:cs="Times New Roman"/>
                      <w:b w:val="0"/>
                      <w:bCs/>
                    </w:rPr>
                    <w:t>实测浓度mg/m</w:t>
                  </w:r>
                  <w:r>
                    <w:rPr>
                      <w:rFonts w:cs="Times New Roman"/>
                      <w:b w:val="0"/>
                      <w:bCs/>
                      <w:vertAlign w:val="superscript"/>
                    </w:rPr>
                    <w:t>3</w:t>
                  </w:r>
                </w:p>
              </w:tc>
              <w:tc>
                <w:tcPr>
                  <w:tcW w:w="716" w:type="pct"/>
                  <w:vAlign w:val="center"/>
                </w:tcPr>
                <w:p>
                  <w:pPr>
                    <w:pStyle w:val="43"/>
                    <w:rPr>
                      <w:rFonts w:cs="Times New Roman"/>
                      <w:b w:val="0"/>
                      <w:bCs/>
                    </w:rPr>
                  </w:pPr>
                  <w:r>
                    <w:rPr>
                      <w:rFonts w:cs="Times New Roman"/>
                      <w:b w:val="0"/>
                      <w:bCs/>
                    </w:rPr>
                    <w:t>3ND</w:t>
                  </w:r>
                </w:p>
              </w:tc>
              <w:tc>
                <w:tcPr>
                  <w:tcW w:w="796" w:type="pct"/>
                  <w:vAlign w:val="center"/>
                </w:tcPr>
                <w:p>
                  <w:pPr>
                    <w:pStyle w:val="43"/>
                    <w:rPr>
                      <w:rFonts w:cs="Times New Roman"/>
                      <w:b w:val="0"/>
                      <w:bCs/>
                    </w:rPr>
                  </w:pPr>
                  <w:r>
                    <w:rPr>
                      <w:rFonts w:cs="Times New Roman"/>
                      <w:b w:val="0"/>
                      <w:bCs/>
                    </w:rPr>
                    <w:t>3ND</w:t>
                  </w:r>
                </w:p>
              </w:tc>
              <w:tc>
                <w:tcPr>
                  <w:tcW w:w="797" w:type="pct"/>
                  <w:vAlign w:val="center"/>
                </w:tcPr>
                <w:p>
                  <w:pPr>
                    <w:pStyle w:val="43"/>
                    <w:rPr>
                      <w:rFonts w:cs="Times New Roman"/>
                      <w:b w:val="0"/>
                      <w:bCs/>
                    </w:rPr>
                  </w:pPr>
                  <w:r>
                    <w:rPr>
                      <w:rFonts w:cs="Times New Roman"/>
                      <w:b w:val="0"/>
                      <w:bCs/>
                    </w:rPr>
                    <w:t>3ND</w:t>
                  </w:r>
                </w:p>
              </w:tc>
              <w:tc>
                <w:tcPr>
                  <w:tcW w:w="715" w:type="pct"/>
                  <w:vAlign w:val="center"/>
                </w:tcPr>
                <w:p>
                  <w:pPr>
                    <w:pStyle w:val="43"/>
                    <w:rPr>
                      <w:rFonts w:cs="Times New Roman"/>
                      <w:b w:val="0"/>
                      <w:bCs/>
                    </w:rPr>
                  </w:pPr>
                  <w:r>
                    <w:rPr>
                      <w:rFonts w:cs="Times New Roman"/>
                      <w:b w:val="0"/>
                      <w:bCs/>
                    </w:rPr>
                    <w:t>/</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continue"/>
                  <w:vAlign w:val="center"/>
                </w:tcPr>
                <w:p>
                  <w:pPr>
                    <w:pStyle w:val="43"/>
                    <w:rPr>
                      <w:rFonts w:cs="Times New Roman"/>
                      <w:b w:val="0"/>
                      <w:bCs/>
                    </w:rPr>
                  </w:pPr>
                </w:p>
              </w:tc>
              <w:tc>
                <w:tcPr>
                  <w:tcW w:w="956" w:type="pct"/>
                  <w:vAlign w:val="center"/>
                </w:tcPr>
                <w:p>
                  <w:pPr>
                    <w:pStyle w:val="43"/>
                    <w:rPr>
                      <w:rFonts w:cs="Times New Roman"/>
                      <w:b w:val="0"/>
                      <w:bCs/>
                    </w:rPr>
                  </w:pPr>
                  <w:r>
                    <w:rPr>
                      <w:rFonts w:cs="Times New Roman"/>
                      <w:b w:val="0"/>
                      <w:bCs/>
                    </w:rPr>
                    <w:t>折算浓度mg/m</w:t>
                  </w:r>
                  <w:r>
                    <w:rPr>
                      <w:rFonts w:cs="Times New Roman"/>
                      <w:b w:val="0"/>
                      <w:bCs/>
                      <w:vertAlign w:val="superscript"/>
                    </w:rPr>
                    <w:t>3</w:t>
                  </w:r>
                </w:p>
              </w:tc>
              <w:tc>
                <w:tcPr>
                  <w:tcW w:w="716" w:type="pct"/>
                  <w:vAlign w:val="center"/>
                </w:tcPr>
                <w:p>
                  <w:pPr>
                    <w:pStyle w:val="43"/>
                    <w:rPr>
                      <w:rFonts w:cs="Times New Roman"/>
                      <w:b w:val="0"/>
                      <w:bCs/>
                    </w:rPr>
                  </w:pPr>
                  <w:r>
                    <w:rPr>
                      <w:rFonts w:cs="Times New Roman"/>
                      <w:b w:val="0"/>
                      <w:bCs/>
                    </w:rPr>
                    <w:t>＜3</w:t>
                  </w:r>
                </w:p>
              </w:tc>
              <w:tc>
                <w:tcPr>
                  <w:tcW w:w="796" w:type="pct"/>
                  <w:vAlign w:val="center"/>
                </w:tcPr>
                <w:p>
                  <w:pPr>
                    <w:pStyle w:val="43"/>
                    <w:rPr>
                      <w:rFonts w:cs="Times New Roman"/>
                      <w:b w:val="0"/>
                      <w:bCs/>
                    </w:rPr>
                  </w:pPr>
                  <w:r>
                    <w:rPr>
                      <w:rFonts w:cs="Times New Roman"/>
                      <w:b w:val="0"/>
                      <w:bCs/>
                    </w:rPr>
                    <w:t>＜3</w:t>
                  </w:r>
                </w:p>
              </w:tc>
              <w:tc>
                <w:tcPr>
                  <w:tcW w:w="797" w:type="pct"/>
                  <w:vAlign w:val="center"/>
                </w:tcPr>
                <w:p>
                  <w:pPr>
                    <w:pStyle w:val="43"/>
                    <w:rPr>
                      <w:rFonts w:cs="Times New Roman"/>
                      <w:b w:val="0"/>
                      <w:bCs/>
                    </w:rPr>
                  </w:pPr>
                  <w:r>
                    <w:rPr>
                      <w:rFonts w:cs="Times New Roman"/>
                      <w:b w:val="0"/>
                      <w:bCs/>
                    </w:rPr>
                    <w:t>＜3</w:t>
                  </w:r>
                </w:p>
              </w:tc>
              <w:tc>
                <w:tcPr>
                  <w:tcW w:w="715" w:type="pct"/>
                  <w:vAlign w:val="center"/>
                </w:tcPr>
                <w:p>
                  <w:pPr>
                    <w:pStyle w:val="43"/>
                    <w:rPr>
                      <w:rFonts w:cs="Times New Roman"/>
                      <w:b w:val="0"/>
                      <w:bCs/>
                    </w:rPr>
                  </w:pPr>
                  <w:r>
                    <w:rPr>
                      <w:rFonts w:cs="Times New Roman"/>
                      <w:b w:val="0"/>
                      <w:bCs/>
                    </w:rPr>
                    <w:t>/</w:t>
                  </w:r>
                </w:p>
              </w:tc>
              <w:tc>
                <w:tcPr>
                  <w:tcW w:w="633" w:type="pct"/>
                  <w:vAlign w:val="center"/>
                </w:tcPr>
                <w:p>
                  <w:pPr>
                    <w:pStyle w:val="43"/>
                    <w:rPr>
                      <w:rFonts w:cs="Times New Roman"/>
                      <w:b w:val="0"/>
                      <w:bCs/>
                    </w:rPr>
                  </w:pPr>
                  <w:r>
                    <w:rPr>
                      <w:rFonts w:cs="Times New Roman"/>
                      <w:b w:val="0"/>
                      <w:bCs/>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continue"/>
                  <w:vAlign w:val="center"/>
                </w:tcPr>
                <w:p>
                  <w:pPr>
                    <w:pStyle w:val="43"/>
                    <w:rPr>
                      <w:rFonts w:cs="Times New Roman"/>
                      <w:b w:val="0"/>
                      <w:bCs/>
                    </w:rPr>
                  </w:pPr>
                </w:p>
              </w:tc>
              <w:tc>
                <w:tcPr>
                  <w:tcW w:w="956" w:type="pct"/>
                  <w:vAlign w:val="center"/>
                </w:tcPr>
                <w:p>
                  <w:pPr>
                    <w:pStyle w:val="43"/>
                    <w:rPr>
                      <w:rFonts w:cs="Times New Roman"/>
                      <w:b w:val="0"/>
                      <w:bCs/>
                    </w:rPr>
                  </w:pPr>
                  <w:r>
                    <w:rPr>
                      <w:rFonts w:cs="Times New Roman"/>
                      <w:b w:val="0"/>
                      <w:bCs/>
                    </w:rPr>
                    <w:t>排放速率kg/h</w:t>
                  </w:r>
                </w:p>
              </w:tc>
              <w:tc>
                <w:tcPr>
                  <w:tcW w:w="716" w:type="pct"/>
                  <w:vAlign w:val="center"/>
                </w:tcPr>
                <w:p>
                  <w:pPr>
                    <w:pStyle w:val="43"/>
                    <w:rPr>
                      <w:rFonts w:cs="Times New Roman"/>
                      <w:b w:val="0"/>
                      <w:bCs/>
                    </w:rPr>
                  </w:pPr>
                  <w:r>
                    <w:rPr>
                      <w:rFonts w:cs="Times New Roman"/>
                      <w:b w:val="0"/>
                      <w:bCs/>
                    </w:rPr>
                    <w:t>＜4.0×10</w:t>
                  </w:r>
                  <w:r>
                    <w:rPr>
                      <w:rFonts w:cs="Times New Roman"/>
                      <w:b w:val="0"/>
                      <w:bCs/>
                      <w:vertAlign w:val="superscript"/>
                    </w:rPr>
                    <w:t>-3</w:t>
                  </w:r>
                </w:p>
              </w:tc>
              <w:tc>
                <w:tcPr>
                  <w:tcW w:w="796" w:type="pct"/>
                  <w:vAlign w:val="center"/>
                </w:tcPr>
                <w:p>
                  <w:pPr>
                    <w:pStyle w:val="43"/>
                    <w:rPr>
                      <w:rFonts w:cs="Times New Roman"/>
                      <w:b w:val="0"/>
                      <w:bCs/>
                    </w:rPr>
                  </w:pPr>
                  <w:r>
                    <w:rPr>
                      <w:rFonts w:cs="Times New Roman"/>
                      <w:b w:val="0"/>
                      <w:bCs/>
                    </w:rPr>
                    <w:t>＜4.1×10</w:t>
                  </w:r>
                  <w:r>
                    <w:rPr>
                      <w:rFonts w:cs="Times New Roman"/>
                      <w:b w:val="0"/>
                      <w:bCs/>
                      <w:vertAlign w:val="superscript"/>
                    </w:rPr>
                    <w:t>-3</w:t>
                  </w:r>
                </w:p>
              </w:tc>
              <w:tc>
                <w:tcPr>
                  <w:tcW w:w="797" w:type="pct"/>
                  <w:vAlign w:val="center"/>
                </w:tcPr>
                <w:p>
                  <w:pPr>
                    <w:pStyle w:val="43"/>
                    <w:rPr>
                      <w:rFonts w:cs="Times New Roman"/>
                      <w:b w:val="0"/>
                      <w:bCs/>
                    </w:rPr>
                  </w:pPr>
                  <w:r>
                    <w:rPr>
                      <w:rFonts w:cs="Times New Roman"/>
                      <w:b w:val="0"/>
                      <w:bCs/>
                    </w:rPr>
                    <w:t>＜4.1×10</w:t>
                  </w:r>
                  <w:r>
                    <w:rPr>
                      <w:rFonts w:cs="Times New Roman"/>
                      <w:b w:val="0"/>
                      <w:bCs/>
                      <w:vertAlign w:val="superscript"/>
                    </w:rPr>
                    <w:t>-3</w:t>
                  </w:r>
                </w:p>
              </w:tc>
              <w:tc>
                <w:tcPr>
                  <w:tcW w:w="715" w:type="pct"/>
                  <w:vAlign w:val="center"/>
                </w:tcPr>
                <w:p>
                  <w:pPr>
                    <w:pStyle w:val="43"/>
                    <w:rPr>
                      <w:rFonts w:cs="Times New Roman"/>
                      <w:b w:val="0"/>
                      <w:bCs/>
                    </w:rPr>
                  </w:pPr>
                  <w:r>
                    <w:rPr>
                      <w:rFonts w:cs="Times New Roman"/>
                      <w:b w:val="0"/>
                      <w:bCs/>
                    </w:rPr>
                    <w:t>/</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restart"/>
                  <w:vAlign w:val="center"/>
                </w:tcPr>
                <w:p>
                  <w:pPr>
                    <w:pStyle w:val="43"/>
                    <w:rPr>
                      <w:rFonts w:cs="Times New Roman"/>
                      <w:b w:val="0"/>
                      <w:bCs/>
                    </w:rPr>
                  </w:pPr>
                  <w:r>
                    <w:rPr>
                      <w:rFonts w:cs="Times New Roman"/>
                      <w:b w:val="0"/>
                      <w:bCs/>
                    </w:rPr>
                    <w:t>氮氧化物</w:t>
                  </w:r>
                </w:p>
              </w:tc>
              <w:tc>
                <w:tcPr>
                  <w:tcW w:w="956" w:type="pct"/>
                  <w:vAlign w:val="center"/>
                </w:tcPr>
                <w:p>
                  <w:pPr>
                    <w:pStyle w:val="43"/>
                    <w:rPr>
                      <w:rFonts w:cs="Times New Roman"/>
                      <w:b w:val="0"/>
                      <w:bCs/>
                    </w:rPr>
                  </w:pPr>
                  <w:r>
                    <w:rPr>
                      <w:rFonts w:cs="Times New Roman"/>
                      <w:b w:val="0"/>
                      <w:bCs/>
                    </w:rPr>
                    <w:t>实测浓度mg/m</w:t>
                  </w:r>
                  <w:r>
                    <w:rPr>
                      <w:rFonts w:cs="Times New Roman"/>
                      <w:b w:val="0"/>
                      <w:bCs/>
                      <w:vertAlign w:val="superscript"/>
                    </w:rPr>
                    <w:t>3</w:t>
                  </w:r>
                </w:p>
              </w:tc>
              <w:tc>
                <w:tcPr>
                  <w:tcW w:w="716" w:type="pct"/>
                  <w:vAlign w:val="center"/>
                </w:tcPr>
                <w:p>
                  <w:pPr>
                    <w:pStyle w:val="43"/>
                    <w:rPr>
                      <w:rFonts w:cs="Times New Roman"/>
                      <w:b w:val="0"/>
                      <w:bCs/>
                    </w:rPr>
                  </w:pPr>
                  <w:r>
                    <w:rPr>
                      <w:rFonts w:cs="Times New Roman"/>
                      <w:b w:val="0"/>
                      <w:bCs/>
                    </w:rPr>
                    <w:t>24</w:t>
                  </w:r>
                </w:p>
              </w:tc>
              <w:tc>
                <w:tcPr>
                  <w:tcW w:w="796" w:type="pct"/>
                  <w:vAlign w:val="center"/>
                </w:tcPr>
                <w:p>
                  <w:pPr>
                    <w:pStyle w:val="43"/>
                    <w:rPr>
                      <w:rFonts w:cs="Times New Roman"/>
                      <w:b w:val="0"/>
                      <w:bCs/>
                    </w:rPr>
                  </w:pPr>
                  <w:r>
                    <w:rPr>
                      <w:rFonts w:cs="Times New Roman"/>
                      <w:b w:val="0"/>
                      <w:bCs/>
                    </w:rPr>
                    <w:t>24</w:t>
                  </w:r>
                </w:p>
              </w:tc>
              <w:tc>
                <w:tcPr>
                  <w:tcW w:w="797" w:type="pct"/>
                  <w:vAlign w:val="center"/>
                </w:tcPr>
                <w:p>
                  <w:pPr>
                    <w:pStyle w:val="43"/>
                    <w:rPr>
                      <w:rFonts w:cs="Times New Roman"/>
                      <w:b w:val="0"/>
                      <w:bCs/>
                    </w:rPr>
                  </w:pPr>
                  <w:r>
                    <w:rPr>
                      <w:rFonts w:cs="Times New Roman"/>
                      <w:b w:val="0"/>
                      <w:bCs/>
                    </w:rPr>
                    <w:t>25</w:t>
                  </w:r>
                </w:p>
              </w:tc>
              <w:tc>
                <w:tcPr>
                  <w:tcW w:w="715" w:type="pct"/>
                  <w:vAlign w:val="center"/>
                </w:tcPr>
                <w:p>
                  <w:pPr>
                    <w:pStyle w:val="43"/>
                    <w:rPr>
                      <w:rFonts w:cs="Times New Roman"/>
                      <w:b w:val="0"/>
                      <w:bCs/>
                    </w:rPr>
                  </w:pPr>
                  <w:r>
                    <w:rPr>
                      <w:rFonts w:cs="Times New Roman"/>
                      <w:b w:val="0"/>
                      <w:bCs/>
                    </w:rPr>
                    <w:t>24</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continue"/>
                  <w:vAlign w:val="center"/>
                </w:tcPr>
                <w:p>
                  <w:pPr>
                    <w:pStyle w:val="43"/>
                    <w:rPr>
                      <w:rFonts w:cs="Times New Roman"/>
                      <w:b w:val="0"/>
                      <w:bCs/>
                    </w:rPr>
                  </w:pPr>
                </w:p>
              </w:tc>
              <w:tc>
                <w:tcPr>
                  <w:tcW w:w="956" w:type="pct"/>
                  <w:vAlign w:val="center"/>
                </w:tcPr>
                <w:p>
                  <w:pPr>
                    <w:pStyle w:val="43"/>
                    <w:rPr>
                      <w:rFonts w:cs="Times New Roman"/>
                      <w:b w:val="0"/>
                      <w:bCs/>
                    </w:rPr>
                  </w:pPr>
                  <w:r>
                    <w:rPr>
                      <w:rFonts w:cs="Times New Roman"/>
                      <w:b w:val="0"/>
                      <w:bCs/>
                    </w:rPr>
                    <w:t>折算浓度mg/m</w:t>
                  </w:r>
                  <w:r>
                    <w:rPr>
                      <w:rFonts w:cs="Times New Roman"/>
                      <w:b w:val="0"/>
                      <w:bCs/>
                      <w:vertAlign w:val="superscript"/>
                    </w:rPr>
                    <w:t>3</w:t>
                  </w:r>
                </w:p>
              </w:tc>
              <w:tc>
                <w:tcPr>
                  <w:tcW w:w="716" w:type="pct"/>
                  <w:vAlign w:val="center"/>
                </w:tcPr>
                <w:p>
                  <w:pPr>
                    <w:pStyle w:val="43"/>
                    <w:rPr>
                      <w:rFonts w:cs="Times New Roman"/>
                      <w:b w:val="0"/>
                      <w:bCs/>
                    </w:rPr>
                  </w:pPr>
                  <w:r>
                    <w:rPr>
                      <w:rFonts w:cs="Times New Roman"/>
                      <w:b w:val="0"/>
                      <w:bCs/>
                    </w:rPr>
                    <w:t>25</w:t>
                  </w:r>
                </w:p>
              </w:tc>
              <w:tc>
                <w:tcPr>
                  <w:tcW w:w="796" w:type="pct"/>
                  <w:vAlign w:val="center"/>
                </w:tcPr>
                <w:p>
                  <w:pPr>
                    <w:pStyle w:val="43"/>
                    <w:rPr>
                      <w:rFonts w:cs="Times New Roman"/>
                      <w:b w:val="0"/>
                      <w:bCs/>
                    </w:rPr>
                  </w:pPr>
                  <w:r>
                    <w:rPr>
                      <w:rFonts w:cs="Times New Roman"/>
                      <w:b w:val="0"/>
                      <w:bCs/>
                    </w:rPr>
                    <w:t>24</w:t>
                  </w:r>
                </w:p>
              </w:tc>
              <w:tc>
                <w:tcPr>
                  <w:tcW w:w="797" w:type="pct"/>
                  <w:vAlign w:val="center"/>
                </w:tcPr>
                <w:p>
                  <w:pPr>
                    <w:pStyle w:val="43"/>
                    <w:rPr>
                      <w:rFonts w:cs="Times New Roman"/>
                      <w:b w:val="0"/>
                      <w:bCs/>
                    </w:rPr>
                  </w:pPr>
                  <w:r>
                    <w:rPr>
                      <w:rFonts w:cs="Times New Roman"/>
                      <w:b w:val="0"/>
                      <w:bCs/>
                    </w:rPr>
                    <w:t>25</w:t>
                  </w:r>
                </w:p>
              </w:tc>
              <w:tc>
                <w:tcPr>
                  <w:tcW w:w="715" w:type="pct"/>
                  <w:vAlign w:val="center"/>
                </w:tcPr>
                <w:p>
                  <w:pPr>
                    <w:pStyle w:val="43"/>
                    <w:rPr>
                      <w:rFonts w:cs="Times New Roman"/>
                      <w:b w:val="0"/>
                      <w:bCs/>
                    </w:rPr>
                  </w:pPr>
                  <w:r>
                    <w:rPr>
                      <w:rFonts w:cs="Times New Roman"/>
                      <w:b w:val="0"/>
                      <w:bCs/>
                    </w:rPr>
                    <w:t>24</w:t>
                  </w:r>
                </w:p>
              </w:tc>
              <w:tc>
                <w:tcPr>
                  <w:tcW w:w="633" w:type="pct"/>
                  <w:vAlign w:val="center"/>
                </w:tcPr>
                <w:p>
                  <w:pPr>
                    <w:pStyle w:val="43"/>
                    <w:rPr>
                      <w:rFonts w:cs="Times New Roman"/>
                      <w:b w:val="0"/>
                      <w:bCs/>
                    </w:rPr>
                  </w:pPr>
                  <w:r>
                    <w:rPr>
                      <w:rFonts w:cs="Times New Roman"/>
                      <w:b w:val="0"/>
                      <w:bCs/>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7" w:type="pct"/>
                  <w:vMerge w:val="continue"/>
                  <w:vAlign w:val="center"/>
                </w:tcPr>
                <w:p>
                  <w:pPr>
                    <w:pStyle w:val="43"/>
                    <w:rPr>
                      <w:rFonts w:cs="Times New Roman"/>
                      <w:b w:val="0"/>
                      <w:bCs/>
                    </w:rPr>
                  </w:pPr>
                </w:p>
              </w:tc>
              <w:tc>
                <w:tcPr>
                  <w:tcW w:w="956" w:type="pct"/>
                  <w:vAlign w:val="center"/>
                </w:tcPr>
                <w:p>
                  <w:pPr>
                    <w:pStyle w:val="43"/>
                    <w:rPr>
                      <w:rFonts w:cs="Times New Roman"/>
                      <w:b w:val="0"/>
                      <w:bCs/>
                    </w:rPr>
                  </w:pPr>
                  <w:r>
                    <w:rPr>
                      <w:rFonts w:cs="Times New Roman"/>
                      <w:b w:val="0"/>
                      <w:bCs/>
                    </w:rPr>
                    <w:t>排放速率kg/h</w:t>
                  </w:r>
                </w:p>
              </w:tc>
              <w:tc>
                <w:tcPr>
                  <w:tcW w:w="716" w:type="pct"/>
                  <w:vAlign w:val="center"/>
                </w:tcPr>
                <w:p>
                  <w:pPr>
                    <w:pStyle w:val="43"/>
                    <w:rPr>
                      <w:rFonts w:cs="Times New Roman"/>
                      <w:b w:val="0"/>
                      <w:bCs/>
                    </w:rPr>
                  </w:pPr>
                  <w:r>
                    <w:rPr>
                      <w:rFonts w:cs="Times New Roman"/>
                      <w:b w:val="0"/>
                      <w:bCs/>
                    </w:rPr>
                    <w:t>0.032</w:t>
                  </w:r>
                </w:p>
              </w:tc>
              <w:tc>
                <w:tcPr>
                  <w:tcW w:w="796" w:type="pct"/>
                  <w:vAlign w:val="center"/>
                </w:tcPr>
                <w:p>
                  <w:pPr>
                    <w:pStyle w:val="43"/>
                    <w:rPr>
                      <w:rFonts w:cs="Times New Roman"/>
                      <w:b w:val="0"/>
                      <w:bCs/>
                    </w:rPr>
                  </w:pPr>
                  <w:r>
                    <w:rPr>
                      <w:rFonts w:cs="Times New Roman"/>
                      <w:b w:val="0"/>
                      <w:bCs/>
                    </w:rPr>
                    <w:t>0.032</w:t>
                  </w:r>
                </w:p>
              </w:tc>
              <w:tc>
                <w:tcPr>
                  <w:tcW w:w="797" w:type="pct"/>
                  <w:vAlign w:val="center"/>
                </w:tcPr>
                <w:p>
                  <w:pPr>
                    <w:pStyle w:val="43"/>
                    <w:rPr>
                      <w:rFonts w:cs="Times New Roman"/>
                      <w:b w:val="0"/>
                      <w:bCs/>
                    </w:rPr>
                  </w:pPr>
                  <w:r>
                    <w:rPr>
                      <w:rFonts w:cs="Times New Roman"/>
                      <w:b w:val="0"/>
                      <w:bCs/>
                    </w:rPr>
                    <w:t>0.033</w:t>
                  </w:r>
                </w:p>
              </w:tc>
              <w:tc>
                <w:tcPr>
                  <w:tcW w:w="715" w:type="pct"/>
                  <w:vAlign w:val="center"/>
                </w:tcPr>
                <w:p>
                  <w:pPr>
                    <w:pStyle w:val="43"/>
                    <w:rPr>
                      <w:rFonts w:cs="Times New Roman"/>
                      <w:b w:val="0"/>
                      <w:bCs/>
                    </w:rPr>
                  </w:pPr>
                  <w:r>
                    <w:rPr>
                      <w:rFonts w:cs="Times New Roman"/>
                      <w:b w:val="0"/>
                      <w:bCs/>
                    </w:rPr>
                    <w:t>0.033</w:t>
                  </w:r>
                </w:p>
              </w:tc>
              <w:tc>
                <w:tcPr>
                  <w:tcW w:w="633"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3" w:type="pct"/>
                  <w:gridSpan w:val="2"/>
                  <w:vAlign w:val="center"/>
                </w:tcPr>
                <w:p>
                  <w:pPr>
                    <w:pStyle w:val="43"/>
                    <w:rPr>
                      <w:rFonts w:cs="Times New Roman"/>
                      <w:b w:val="0"/>
                      <w:bCs/>
                    </w:rPr>
                  </w:pPr>
                  <w:r>
                    <w:rPr>
                      <w:rFonts w:cs="Times New Roman"/>
                      <w:b w:val="0"/>
                      <w:bCs/>
                    </w:rPr>
                    <w:t>烟气黑度（级）</w:t>
                  </w:r>
                </w:p>
              </w:tc>
              <w:tc>
                <w:tcPr>
                  <w:tcW w:w="716" w:type="pct"/>
                  <w:vAlign w:val="center"/>
                </w:tcPr>
                <w:p>
                  <w:pPr>
                    <w:pStyle w:val="43"/>
                    <w:rPr>
                      <w:rFonts w:cs="Times New Roman"/>
                      <w:b w:val="0"/>
                      <w:bCs/>
                    </w:rPr>
                  </w:pPr>
                  <w:r>
                    <w:rPr>
                      <w:rFonts w:cs="Times New Roman"/>
                      <w:b w:val="0"/>
                      <w:bCs/>
                    </w:rPr>
                    <w:t>＜1</w:t>
                  </w:r>
                </w:p>
              </w:tc>
              <w:tc>
                <w:tcPr>
                  <w:tcW w:w="796" w:type="pct"/>
                  <w:vAlign w:val="center"/>
                </w:tcPr>
                <w:p>
                  <w:pPr>
                    <w:pStyle w:val="43"/>
                    <w:rPr>
                      <w:rFonts w:cs="Times New Roman"/>
                      <w:b w:val="0"/>
                      <w:bCs/>
                    </w:rPr>
                  </w:pPr>
                  <w:r>
                    <w:rPr>
                      <w:rFonts w:cs="Times New Roman"/>
                      <w:b w:val="0"/>
                      <w:bCs/>
                    </w:rPr>
                    <w:t>＜1</w:t>
                  </w:r>
                </w:p>
              </w:tc>
              <w:tc>
                <w:tcPr>
                  <w:tcW w:w="797" w:type="pct"/>
                  <w:vAlign w:val="center"/>
                </w:tcPr>
                <w:p>
                  <w:pPr>
                    <w:pStyle w:val="43"/>
                    <w:rPr>
                      <w:rFonts w:cs="Times New Roman"/>
                      <w:b w:val="0"/>
                      <w:bCs/>
                    </w:rPr>
                  </w:pPr>
                  <w:r>
                    <w:rPr>
                      <w:rFonts w:cs="Times New Roman"/>
                      <w:b w:val="0"/>
                      <w:bCs/>
                    </w:rPr>
                    <w:t>＜1</w:t>
                  </w:r>
                </w:p>
              </w:tc>
              <w:tc>
                <w:tcPr>
                  <w:tcW w:w="715" w:type="pct"/>
                  <w:vAlign w:val="center"/>
                </w:tcPr>
                <w:p>
                  <w:pPr>
                    <w:pStyle w:val="43"/>
                    <w:rPr>
                      <w:rFonts w:cs="Times New Roman"/>
                      <w:b w:val="0"/>
                      <w:bCs/>
                    </w:rPr>
                  </w:pPr>
                  <w:r>
                    <w:rPr>
                      <w:rFonts w:cs="Times New Roman"/>
                      <w:b w:val="0"/>
                      <w:bCs/>
                    </w:rPr>
                    <w:t>/</w:t>
                  </w:r>
                </w:p>
              </w:tc>
              <w:tc>
                <w:tcPr>
                  <w:tcW w:w="633" w:type="pct"/>
                  <w:vAlign w:val="center"/>
                </w:tcPr>
                <w:p>
                  <w:pPr>
                    <w:pStyle w:val="43"/>
                    <w:rPr>
                      <w:rFonts w:cs="Times New Roman"/>
                      <w:b w:val="0"/>
                      <w:bCs/>
                    </w:rPr>
                  </w:pPr>
                  <w:r>
                    <w:rPr>
                      <w:rFonts w:cs="Times New Roman"/>
                      <w:b w:val="0"/>
                      <w:bCs/>
                    </w:rPr>
                    <w:t>1</w:t>
                  </w:r>
                </w:p>
              </w:tc>
            </w:tr>
          </w:tbl>
          <w:p>
            <w:pPr>
              <w:ind w:firstLine="480" w:firstLineChars="200"/>
              <w:rPr>
                <w:rFonts w:eastAsia="宋体" w:cs="Times New Roman"/>
                <w:szCs w:val="24"/>
              </w:rPr>
            </w:pPr>
            <w:r>
              <w:rPr>
                <w:rFonts w:eastAsia="宋体" w:cs="Times New Roman"/>
                <w:szCs w:val="24"/>
              </w:rPr>
              <w:t>根据以上监测结果可知，本项目现有工程导热油炉排气筒废气中排放的颗粒物、二氧化硫、氮氧化物满足《锅炉大气污染物排放标准》（DB61/1226-2018）表3中的标准限值要求，烟气黑度监测结果符合《锅炉大气污染物排放标准》（GB13271-2014）表2中的标准限值要求。</w:t>
            </w:r>
          </w:p>
          <w:p>
            <w:pPr>
              <w:ind w:firstLine="480" w:firstLineChars="200"/>
              <w:rPr>
                <w:rFonts w:eastAsia="宋体" w:cs="Times New Roman"/>
                <w:szCs w:val="24"/>
              </w:rPr>
            </w:pPr>
            <w:r>
              <w:rPr>
                <w:rFonts w:eastAsia="宋体" w:cs="Times New Roman"/>
                <w:szCs w:val="24"/>
              </w:rPr>
              <w:t>本项目现有工程</w:t>
            </w:r>
            <w:r>
              <w:rPr>
                <w:rFonts w:hint="eastAsia" w:eastAsia="宋体" w:cs="Times New Roman"/>
                <w:szCs w:val="24"/>
              </w:rPr>
              <w:t>导热油炉</w:t>
            </w:r>
            <w:r>
              <w:rPr>
                <w:rFonts w:eastAsia="宋体" w:cs="Times New Roman"/>
                <w:szCs w:val="24"/>
              </w:rPr>
              <w:t>最大年运行时间以700h计，则项目导热油炉废气排放口中颗粒物排放量为0.003t/a，氮氧化物排放量为0.023t/a。由于监测报告中二氧化硫未检出，参照《环境空气质量监测规范》（试行） 中“附件五 数据处理方法”现有工程DA001排气筒废气二氧化硫污染物排放量核算采用检出限的1/2进行核算。则二氧化硫排放量为0.001t/a。</w:t>
            </w:r>
          </w:p>
          <w:p>
            <w:pPr>
              <w:ind w:firstLine="480" w:firstLineChars="200"/>
              <w:rPr>
                <w:rFonts w:eastAsia="宋体" w:cs="Times New Roman"/>
                <w:szCs w:val="24"/>
              </w:rPr>
            </w:pPr>
            <w:r>
              <w:rPr>
                <w:rFonts w:hint="eastAsia" w:eastAsia="宋体" w:cs="Times New Roman"/>
                <w:szCs w:val="24"/>
              </w:rPr>
              <w:t>③沥青烟治理设施废气</w:t>
            </w:r>
          </w:p>
          <w:p>
            <w:pPr>
              <w:ind w:firstLine="480" w:firstLineChars="200"/>
              <w:rPr>
                <w:rFonts w:eastAsia="宋体" w:cs="Times New Roman"/>
                <w:szCs w:val="24"/>
              </w:rPr>
            </w:pPr>
            <w:r>
              <w:rPr>
                <w:rFonts w:hint="eastAsia" w:eastAsia="宋体" w:cs="Times New Roman"/>
                <w:szCs w:val="24"/>
              </w:rPr>
              <w:t>根据建设单位提供的监测报告《沥青烟气废气处理设施废气排放口污染源监测》（环（监）SXHX</w:t>
            </w:r>
            <w:r>
              <w:rPr>
                <w:rFonts w:eastAsia="宋体" w:cs="Times New Roman"/>
                <w:szCs w:val="24"/>
              </w:rPr>
              <w:t>202401133FQ</w:t>
            </w:r>
            <w:r>
              <w:rPr>
                <w:rFonts w:hint="eastAsia" w:eastAsia="宋体" w:cs="Times New Roman"/>
                <w:szCs w:val="24"/>
              </w:rPr>
              <w:t>号），陕西恒信检测有限公司于202</w:t>
            </w:r>
            <w:r>
              <w:rPr>
                <w:rFonts w:eastAsia="宋体" w:cs="Times New Roman"/>
                <w:szCs w:val="24"/>
              </w:rPr>
              <w:t>4</w:t>
            </w:r>
            <w:r>
              <w:rPr>
                <w:rFonts w:hint="eastAsia" w:eastAsia="宋体" w:cs="Times New Roman"/>
                <w:szCs w:val="24"/>
              </w:rPr>
              <w:t>年</w:t>
            </w:r>
            <w:r>
              <w:rPr>
                <w:rFonts w:eastAsia="宋体" w:cs="Times New Roman"/>
                <w:szCs w:val="24"/>
              </w:rPr>
              <w:t>1</w:t>
            </w:r>
            <w:r>
              <w:rPr>
                <w:rFonts w:hint="eastAsia" w:eastAsia="宋体" w:cs="Times New Roman"/>
                <w:szCs w:val="24"/>
              </w:rPr>
              <w:t>月</w:t>
            </w:r>
            <w:r>
              <w:rPr>
                <w:rFonts w:eastAsia="宋体" w:cs="Times New Roman"/>
                <w:szCs w:val="24"/>
              </w:rPr>
              <w:t>6</w:t>
            </w:r>
            <w:r>
              <w:rPr>
                <w:rFonts w:hint="eastAsia" w:eastAsia="宋体" w:cs="Times New Roman"/>
                <w:szCs w:val="24"/>
              </w:rPr>
              <w:t>日对项目现有工程沥青烟处理设施排气筒（DA00</w:t>
            </w:r>
            <w:r>
              <w:rPr>
                <w:rFonts w:eastAsia="宋体" w:cs="Times New Roman"/>
                <w:szCs w:val="24"/>
              </w:rPr>
              <w:t>3</w:t>
            </w:r>
            <w:r>
              <w:rPr>
                <w:rFonts w:hint="eastAsia" w:eastAsia="宋体" w:cs="Times New Roman"/>
                <w:szCs w:val="24"/>
              </w:rPr>
              <w:t>）开展了监测，监测结果见下表：</w:t>
            </w:r>
          </w:p>
          <w:p>
            <w:pPr>
              <w:pStyle w:val="24"/>
              <w:rPr>
                <w:rFonts w:cs="Times New Roman"/>
              </w:rPr>
            </w:pPr>
            <w:r>
              <w:rPr>
                <w:rFonts w:cs="Times New Roman"/>
              </w:rPr>
              <w:t>表2-12  导热油炉废气排放口例行监测情况一览表</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2072"/>
              <w:gridCol w:w="1550"/>
              <w:gridCol w:w="1724"/>
              <w:gridCol w:w="1726"/>
              <w:gridCol w:w="13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67" w:type="pct"/>
                  <w:gridSpan w:val="2"/>
                  <w:vAlign w:val="center"/>
                </w:tcPr>
                <w:p>
                  <w:pPr>
                    <w:pStyle w:val="43"/>
                    <w:rPr>
                      <w:rFonts w:cs="Times New Roman"/>
                    </w:rPr>
                  </w:pPr>
                  <w:r>
                    <w:rPr>
                      <w:rFonts w:cs="Times New Roman"/>
                    </w:rPr>
                    <w:t>监测项目</w:t>
                  </w:r>
                </w:p>
              </w:tc>
              <w:tc>
                <w:tcPr>
                  <w:tcW w:w="835" w:type="pct"/>
                  <w:vAlign w:val="center"/>
                </w:tcPr>
                <w:p>
                  <w:pPr>
                    <w:pStyle w:val="43"/>
                    <w:rPr>
                      <w:rFonts w:cs="Times New Roman"/>
                    </w:rPr>
                  </w:pPr>
                  <w:r>
                    <w:rPr>
                      <w:rFonts w:cs="Times New Roman"/>
                    </w:rPr>
                    <w:t>第一次</w:t>
                  </w:r>
                </w:p>
              </w:tc>
              <w:tc>
                <w:tcPr>
                  <w:tcW w:w="929" w:type="pct"/>
                  <w:vAlign w:val="center"/>
                </w:tcPr>
                <w:p>
                  <w:pPr>
                    <w:pStyle w:val="43"/>
                    <w:rPr>
                      <w:rFonts w:cs="Times New Roman"/>
                    </w:rPr>
                  </w:pPr>
                  <w:r>
                    <w:rPr>
                      <w:rFonts w:cs="Times New Roman"/>
                    </w:rPr>
                    <w:t>第二次</w:t>
                  </w:r>
                </w:p>
              </w:tc>
              <w:tc>
                <w:tcPr>
                  <w:tcW w:w="930" w:type="pct"/>
                  <w:vAlign w:val="center"/>
                </w:tcPr>
                <w:p>
                  <w:pPr>
                    <w:pStyle w:val="43"/>
                    <w:rPr>
                      <w:rFonts w:cs="Times New Roman"/>
                    </w:rPr>
                  </w:pPr>
                  <w:r>
                    <w:rPr>
                      <w:rFonts w:cs="Times New Roman"/>
                    </w:rPr>
                    <w:t>第三次</w:t>
                  </w:r>
                </w:p>
              </w:tc>
              <w:tc>
                <w:tcPr>
                  <w:tcW w:w="739" w:type="pct"/>
                  <w:vAlign w:val="center"/>
                </w:tcPr>
                <w:p>
                  <w:pPr>
                    <w:pStyle w:val="43"/>
                    <w:rPr>
                      <w:rFonts w:cs="Times New Roman"/>
                    </w:rPr>
                  </w:pPr>
                  <w:r>
                    <w:rPr>
                      <w:rFonts w:cs="Times New Roman"/>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67" w:type="pct"/>
                  <w:gridSpan w:val="2"/>
                  <w:vAlign w:val="center"/>
                </w:tcPr>
                <w:p>
                  <w:pPr>
                    <w:pStyle w:val="43"/>
                    <w:rPr>
                      <w:rFonts w:cs="Times New Roman"/>
                      <w:b w:val="0"/>
                      <w:bCs/>
                    </w:rPr>
                  </w:pPr>
                  <w:r>
                    <w:rPr>
                      <w:rFonts w:hint="eastAsia" w:cs="Times New Roman"/>
                      <w:b w:val="0"/>
                      <w:bCs/>
                    </w:rPr>
                    <w:t>平均</w:t>
                  </w:r>
                  <w:r>
                    <w:rPr>
                      <w:rFonts w:cs="Times New Roman"/>
                      <w:b w:val="0"/>
                      <w:bCs/>
                    </w:rPr>
                    <w:t>烟气温度（</w:t>
                  </w:r>
                  <w:r>
                    <w:rPr>
                      <w:rFonts w:hint="eastAsia" w:cs="Times New Roman"/>
                      <w:b w:val="0"/>
                      <w:bCs/>
                    </w:rPr>
                    <w:t>℃</w:t>
                  </w:r>
                  <w:r>
                    <w:rPr>
                      <w:rFonts w:cs="Times New Roman"/>
                      <w:b w:val="0"/>
                      <w:bCs/>
                    </w:rPr>
                    <w:t>）</w:t>
                  </w:r>
                </w:p>
              </w:tc>
              <w:tc>
                <w:tcPr>
                  <w:tcW w:w="835" w:type="pct"/>
                  <w:vAlign w:val="center"/>
                </w:tcPr>
                <w:p>
                  <w:pPr>
                    <w:pStyle w:val="43"/>
                    <w:rPr>
                      <w:rFonts w:cs="Times New Roman"/>
                      <w:b w:val="0"/>
                      <w:bCs/>
                    </w:rPr>
                  </w:pPr>
                  <w:r>
                    <w:rPr>
                      <w:rFonts w:hint="eastAsia" w:cs="Times New Roman"/>
                      <w:b w:val="0"/>
                      <w:bCs/>
                    </w:rPr>
                    <w:t>8</w:t>
                  </w:r>
                  <w:r>
                    <w:rPr>
                      <w:rFonts w:cs="Times New Roman"/>
                      <w:b w:val="0"/>
                      <w:bCs/>
                    </w:rPr>
                    <w:t>.1</w:t>
                  </w:r>
                </w:p>
              </w:tc>
              <w:tc>
                <w:tcPr>
                  <w:tcW w:w="929" w:type="pct"/>
                  <w:vAlign w:val="center"/>
                </w:tcPr>
                <w:p>
                  <w:pPr>
                    <w:pStyle w:val="43"/>
                    <w:rPr>
                      <w:rFonts w:cs="Times New Roman"/>
                      <w:b w:val="0"/>
                      <w:bCs/>
                    </w:rPr>
                  </w:pPr>
                  <w:r>
                    <w:rPr>
                      <w:rFonts w:hint="eastAsia" w:cs="Times New Roman"/>
                      <w:b w:val="0"/>
                      <w:bCs/>
                    </w:rPr>
                    <w:t>7</w:t>
                  </w:r>
                  <w:r>
                    <w:rPr>
                      <w:rFonts w:cs="Times New Roman"/>
                      <w:b w:val="0"/>
                      <w:bCs/>
                    </w:rPr>
                    <w:t>.7</w:t>
                  </w:r>
                </w:p>
              </w:tc>
              <w:tc>
                <w:tcPr>
                  <w:tcW w:w="930" w:type="pct"/>
                  <w:vAlign w:val="center"/>
                </w:tcPr>
                <w:p>
                  <w:pPr>
                    <w:pStyle w:val="43"/>
                    <w:rPr>
                      <w:rFonts w:cs="Times New Roman"/>
                      <w:b w:val="0"/>
                      <w:bCs/>
                    </w:rPr>
                  </w:pPr>
                  <w:r>
                    <w:rPr>
                      <w:rFonts w:hint="eastAsia" w:cs="Times New Roman"/>
                      <w:b w:val="0"/>
                      <w:bCs/>
                    </w:rPr>
                    <w:t>9</w:t>
                  </w:r>
                  <w:r>
                    <w:rPr>
                      <w:rFonts w:cs="Times New Roman"/>
                      <w:b w:val="0"/>
                      <w:bCs/>
                    </w:rPr>
                    <w:t>.3</w:t>
                  </w:r>
                </w:p>
              </w:tc>
              <w:tc>
                <w:tcPr>
                  <w:tcW w:w="739" w:type="pct"/>
                  <w:vAlign w:val="center"/>
                </w:tcPr>
                <w:p>
                  <w:pPr>
                    <w:pStyle w:val="43"/>
                    <w:rPr>
                      <w:rFonts w:cs="Times New Roman"/>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567" w:type="pct"/>
                  <w:gridSpan w:val="2"/>
                  <w:vAlign w:val="center"/>
                </w:tcPr>
                <w:p>
                  <w:pPr>
                    <w:pStyle w:val="43"/>
                    <w:rPr>
                      <w:rFonts w:cs="Times New Roman"/>
                      <w:b w:val="0"/>
                      <w:bCs/>
                    </w:rPr>
                  </w:pPr>
                  <w:r>
                    <w:rPr>
                      <w:rFonts w:cs="Times New Roman"/>
                      <w:b w:val="0"/>
                      <w:bCs/>
                    </w:rPr>
                    <w:t>烟气流速（m/s）</w:t>
                  </w:r>
                </w:p>
              </w:tc>
              <w:tc>
                <w:tcPr>
                  <w:tcW w:w="835" w:type="pct"/>
                  <w:vAlign w:val="center"/>
                </w:tcPr>
                <w:p>
                  <w:pPr>
                    <w:pStyle w:val="43"/>
                    <w:rPr>
                      <w:rFonts w:cs="Times New Roman"/>
                      <w:b w:val="0"/>
                      <w:bCs/>
                    </w:rPr>
                  </w:pPr>
                  <w:r>
                    <w:rPr>
                      <w:rFonts w:hint="eastAsia" w:cs="Times New Roman"/>
                      <w:b w:val="0"/>
                      <w:bCs/>
                    </w:rPr>
                    <w:t>1</w:t>
                  </w:r>
                  <w:r>
                    <w:rPr>
                      <w:rFonts w:cs="Times New Roman"/>
                      <w:b w:val="0"/>
                      <w:bCs/>
                    </w:rPr>
                    <w:t>5.1</w:t>
                  </w:r>
                </w:p>
              </w:tc>
              <w:tc>
                <w:tcPr>
                  <w:tcW w:w="929" w:type="pct"/>
                  <w:vAlign w:val="center"/>
                </w:tcPr>
                <w:p>
                  <w:pPr>
                    <w:pStyle w:val="43"/>
                    <w:rPr>
                      <w:rFonts w:cs="Times New Roman"/>
                      <w:b w:val="0"/>
                      <w:bCs/>
                    </w:rPr>
                  </w:pPr>
                  <w:r>
                    <w:rPr>
                      <w:rFonts w:hint="eastAsia" w:cs="Times New Roman"/>
                      <w:b w:val="0"/>
                      <w:bCs/>
                    </w:rPr>
                    <w:t>1</w:t>
                  </w:r>
                  <w:r>
                    <w:rPr>
                      <w:rFonts w:cs="Times New Roman"/>
                      <w:b w:val="0"/>
                      <w:bCs/>
                    </w:rPr>
                    <w:t>5.0</w:t>
                  </w:r>
                </w:p>
              </w:tc>
              <w:tc>
                <w:tcPr>
                  <w:tcW w:w="930" w:type="pct"/>
                  <w:vAlign w:val="center"/>
                </w:tcPr>
                <w:p>
                  <w:pPr>
                    <w:pStyle w:val="43"/>
                    <w:rPr>
                      <w:rFonts w:cs="Times New Roman"/>
                      <w:b w:val="0"/>
                      <w:bCs/>
                    </w:rPr>
                  </w:pPr>
                  <w:r>
                    <w:rPr>
                      <w:rFonts w:hint="eastAsia" w:cs="Times New Roman"/>
                      <w:b w:val="0"/>
                      <w:bCs/>
                    </w:rPr>
                    <w:t>1</w:t>
                  </w:r>
                  <w:r>
                    <w:rPr>
                      <w:rFonts w:cs="Times New Roman"/>
                      <w:b w:val="0"/>
                      <w:bCs/>
                    </w:rPr>
                    <w:t>5.2</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567" w:type="pct"/>
                  <w:gridSpan w:val="2"/>
                  <w:vAlign w:val="center"/>
                </w:tcPr>
                <w:p>
                  <w:pPr>
                    <w:pStyle w:val="43"/>
                    <w:rPr>
                      <w:rFonts w:cs="Times New Roman"/>
                      <w:b w:val="0"/>
                      <w:bCs/>
                    </w:rPr>
                  </w:pPr>
                  <w:r>
                    <w:rPr>
                      <w:rFonts w:cs="Times New Roman"/>
                      <w:b w:val="0"/>
                      <w:bCs/>
                    </w:rPr>
                    <w:t>废气量（m</w:t>
                  </w:r>
                  <w:r>
                    <w:rPr>
                      <w:rFonts w:cs="Times New Roman"/>
                      <w:b w:val="0"/>
                      <w:bCs/>
                      <w:vertAlign w:val="superscript"/>
                    </w:rPr>
                    <w:t>3</w:t>
                  </w:r>
                  <w:r>
                    <w:rPr>
                      <w:rFonts w:cs="Times New Roman"/>
                      <w:b w:val="0"/>
                      <w:bCs/>
                    </w:rPr>
                    <w:t>/h）</w:t>
                  </w:r>
                </w:p>
              </w:tc>
              <w:tc>
                <w:tcPr>
                  <w:tcW w:w="835" w:type="pct"/>
                  <w:vAlign w:val="center"/>
                </w:tcPr>
                <w:p>
                  <w:pPr>
                    <w:pStyle w:val="43"/>
                    <w:rPr>
                      <w:rFonts w:cs="Times New Roman"/>
                      <w:b w:val="0"/>
                      <w:bCs/>
                    </w:rPr>
                  </w:pPr>
                  <w:r>
                    <w:rPr>
                      <w:rFonts w:hint="eastAsia" w:cs="Times New Roman"/>
                      <w:b w:val="0"/>
                      <w:bCs/>
                    </w:rPr>
                    <w:t>1</w:t>
                  </w:r>
                  <w:r>
                    <w:rPr>
                      <w:rFonts w:cs="Times New Roman"/>
                      <w:b w:val="0"/>
                      <w:bCs/>
                    </w:rPr>
                    <w:t>6461</w:t>
                  </w:r>
                </w:p>
              </w:tc>
              <w:tc>
                <w:tcPr>
                  <w:tcW w:w="929" w:type="pct"/>
                  <w:vAlign w:val="center"/>
                </w:tcPr>
                <w:p>
                  <w:pPr>
                    <w:pStyle w:val="43"/>
                    <w:rPr>
                      <w:rFonts w:cs="Times New Roman"/>
                      <w:b w:val="0"/>
                      <w:bCs/>
                    </w:rPr>
                  </w:pPr>
                  <w:r>
                    <w:rPr>
                      <w:rFonts w:hint="eastAsia" w:cs="Times New Roman"/>
                      <w:b w:val="0"/>
                      <w:bCs/>
                    </w:rPr>
                    <w:t>1</w:t>
                  </w:r>
                  <w:r>
                    <w:rPr>
                      <w:rFonts w:cs="Times New Roman"/>
                      <w:b w:val="0"/>
                      <w:bCs/>
                    </w:rPr>
                    <w:t>6398</w:t>
                  </w:r>
                </w:p>
              </w:tc>
              <w:tc>
                <w:tcPr>
                  <w:tcW w:w="930" w:type="pct"/>
                  <w:vAlign w:val="center"/>
                </w:tcPr>
                <w:p>
                  <w:pPr>
                    <w:pStyle w:val="43"/>
                    <w:rPr>
                      <w:rFonts w:cs="Times New Roman"/>
                      <w:b w:val="0"/>
                      <w:bCs/>
                    </w:rPr>
                  </w:pPr>
                  <w:r>
                    <w:rPr>
                      <w:rFonts w:hint="eastAsia" w:cs="Times New Roman"/>
                      <w:b w:val="0"/>
                      <w:bCs/>
                    </w:rPr>
                    <w:t>1</w:t>
                  </w:r>
                  <w:r>
                    <w:rPr>
                      <w:rFonts w:cs="Times New Roman"/>
                      <w:b w:val="0"/>
                      <w:bCs/>
                    </w:rPr>
                    <w:t>6564</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567" w:type="pct"/>
                  <w:gridSpan w:val="2"/>
                  <w:vAlign w:val="center"/>
                </w:tcPr>
                <w:p>
                  <w:pPr>
                    <w:pStyle w:val="43"/>
                    <w:rPr>
                      <w:rFonts w:cs="Times New Roman"/>
                      <w:b w:val="0"/>
                      <w:bCs/>
                    </w:rPr>
                  </w:pPr>
                  <w:r>
                    <w:rPr>
                      <w:rFonts w:cs="Times New Roman"/>
                      <w:b w:val="0"/>
                      <w:bCs/>
                    </w:rPr>
                    <w:t>烟气含湿量（%）</w:t>
                  </w:r>
                </w:p>
              </w:tc>
              <w:tc>
                <w:tcPr>
                  <w:tcW w:w="835" w:type="pct"/>
                  <w:vAlign w:val="center"/>
                </w:tcPr>
                <w:p>
                  <w:pPr>
                    <w:pStyle w:val="43"/>
                    <w:rPr>
                      <w:rFonts w:cs="Times New Roman"/>
                      <w:b w:val="0"/>
                      <w:bCs/>
                    </w:rPr>
                  </w:pPr>
                  <w:r>
                    <w:rPr>
                      <w:rFonts w:hint="eastAsia" w:cs="Times New Roman"/>
                      <w:b w:val="0"/>
                      <w:bCs/>
                    </w:rPr>
                    <w:t>2</w:t>
                  </w:r>
                  <w:r>
                    <w:rPr>
                      <w:rFonts w:cs="Times New Roman"/>
                      <w:b w:val="0"/>
                      <w:bCs/>
                    </w:rPr>
                    <w:t>.82</w:t>
                  </w:r>
                </w:p>
              </w:tc>
              <w:tc>
                <w:tcPr>
                  <w:tcW w:w="929" w:type="pct"/>
                  <w:vAlign w:val="center"/>
                </w:tcPr>
                <w:p>
                  <w:pPr>
                    <w:pStyle w:val="43"/>
                    <w:rPr>
                      <w:rFonts w:cs="Times New Roman"/>
                      <w:b w:val="0"/>
                      <w:bCs/>
                    </w:rPr>
                  </w:pPr>
                  <w:r>
                    <w:rPr>
                      <w:rFonts w:hint="eastAsia" w:cs="Times New Roman"/>
                      <w:b w:val="0"/>
                      <w:bCs/>
                    </w:rPr>
                    <w:t>2</w:t>
                  </w:r>
                  <w:r>
                    <w:rPr>
                      <w:rFonts w:cs="Times New Roman"/>
                      <w:b w:val="0"/>
                      <w:bCs/>
                    </w:rPr>
                    <w:t>.91</w:t>
                  </w:r>
                </w:p>
              </w:tc>
              <w:tc>
                <w:tcPr>
                  <w:tcW w:w="930" w:type="pct"/>
                  <w:vAlign w:val="center"/>
                </w:tcPr>
                <w:p>
                  <w:pPr>
                    <w:pStyle w:val="43"/>
                    <w:rPr>
                      <w:rFonts w:cs="Times New Roman"/>
                      <w:b w:val="0"/>
                      <w:bCs/>
                    </w:rPr>
                  </w:pPr>
                  <w:r>
                    <w:rPr>
                      <w:rFonts w:hint="eastAsia" w:cs="Times New Roman"/>
                      <w:b w:val="0"/>
                      <w:bCs/>
                    </w:rPr>
                    <w:t>2</w:t>
                  </w:r>
                  <w:r>
                    <w:rPr>
                      <w:rFonts w:cs="Times New Roman"/>
                      <w:b w:val="0"/>
                      <w:bCs/>
                    </w:rPr>
                    <w:t>.87</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451" w:type="pct"/>
                  <w:vMerge w:val="restart"/>
                  <w:vAlign w:val="center"/>
                </w:tcPr>
                <w:p>
                  <w:pPr>
                    <w:pStyle w:val="43"/>
                    <w:rPr>
                      <w:rFonts w:cs="Times New Roman"/>
                      <w:b w:val="0"/>
                      <w:bCs/>
                    </w:rPr>
                  </w:pPr>
                  <w:r>
                    <w:rPr>
                      <w:rFonts w:hint="eastAsia" w:cs="Times New Roman"/>
                      <w:b w:val="0"/>
                      <w:bCs/>
                    </w:rPr>
                    <w:t>沥青烟</w:t>
                  </w:r>
                </w:p>
              </w:tc>
              <w:tc>
                <w:tcPr>
                  <w:tcW w:w="1116" w:type="pct"/>
                  <w:vAlign w:val="center"/>
                </w:tcPr>
                <w:p>
                  <w:pPr>
                    <w:pStyle w:val="43"/>
                    <w:rPr>
                      <w:rFonts w:cs="Times New Roman"/>
                      <w:b w:val="0"/>
                      <w:bCs/>
                    </w:rPr>
                  </w:pPr>
                  <w:r>
                    <w:rPr>
                      <w:rFonts w:cs="Times New Roman"/>
                      <w:b w:val="0"/>
                      <w:bCs/>
                    </w:rPr>
                    <w:t>实测浓度mg/m</w:t>
                  </w:r>
                  <w:r>
                    <w:rPr>
                      <w:rFonts w:cs="Times New Roman"/>
                      <w:b w:val="0"/>
                      <w:bCs/>
                      <w:vertAlign w:val="superscript"/>
                    </w:rPr>
                    <w:t>3</w:t>
                  </w:r>
                </w:p>
              </w:tc>
              <w:tc>
                <w:tcPr>
                  <w:tcW w:w="835" w:type="pct"/>
                  <w:vAlign w:val="center"/>
                </w:tcPr>
                <w:p>
                  <w:pPr>
                    <w:pStyle w:val="43"/>
                    <w:rPr>
                      <w:rFonts w:cs="Times New Roman"/>
                      <w:b w:val="0"/>
                      <w:bCs/>
                    </w:rPr>
                  </w:pPr>
                  <w:r>
                    <w:rPr>
                      <w:rFonts w:hint="eastAsia" w:cs="Times New Roman"/>
                      <w:b w:val="0"/>
                      <w:bCs/>
                    </w:rPr>
                    <w:t>9</w:t>
                  </w:r>
                  <w:r>
                    <w:rPr>
                      <w:rFonts w:cs="Times New Roman"/>
                      <w:b w:val="0"/>
                      <w:bCs/>
                    </w:rPr>
                    <w:t>.4</w:t>
                  </w:r>
                </w:p>
              </w:tc>
              <w:tc>
                <w:tcPr>
                  <w:tcW w:w="929" w:type="pct"/>
                  <w:vAlign w:val="center"/>
                </w:tcPr>
                <w:p>
                  <w:pPr>
                    <w:pStyle w:val="43"/>
                    <w:rPr>
                      <w:rFonts w:cs="Times New Roman"/>
                      <w:b w:val="0"/>
                      <w:bCs/>
                    </w:rPr>
                  </w:pPr>
                  <w:r>
                    <w:rPr>
                      <w:rFonts w:hint="eastAsia" w:cs="Times New Roman"/>
                      <w:b w:val="0"/>
                      <w:bCs/>
                    </w:rPr>
                    <w:t>9</w:t>
                  </w:r>
                  <w:r>
                    <w:rPr>
                      <w:rFonts w:cs="Times New Roman"/>
                      <w:b w:val="0"/>
                      <w:bCs/>
                    </w:rPr>
                    <w:t>.7</w:t>
                  </w:r>
                </w:p>
              </w:tc>
              <w:tc>
                <w:tcPr>
                  <w:tcW w:w="930" w:type="pct"/>
                  <w:vAlign w:val="center"/>
                </w:tcPr>
                <w:p>
                  <w:pPr>
                    <w:pStyle w:val="43"/>
                    <w:rPr>
                      <w:rFonts w:cs="Times New Roman"/>
                      <w:b w:val="0"/>
                      <w:bCs/>
                    </w:rPr>
                  </w:pPr>
                  <w:r>
                    <w:rPr>
                      <w:rFonts w:hint="eastAsia" w:cs="Times New Roman"/>
                      <w:b w:val="0"/>
                      <w:bCs/>
                    </w:rPr>
                    <w:t>8</w:t>
                  </w:r>
                  <w:r>
                    <w:rPr>
                      <w:rFonts w:cs="Times New Roman"/>
                      <w:b w:val="0"/>
                      <w:bCs/>
                    </w:rPr>
                    <w:t>.9</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451" w:type="pct"/>
                  <w:vMerge w:val="continue"/>
                  <w:vAlign w:val="center"/>
                </w:tcPr>
                <w:p>
                  <w:pPr>
                    <w:pStyle w:val="43"/>
                    <w:rPr>
                      <w:rFonts w:cs="Times New Roman"/>
                      <w:b w:val="0"/>
                      <w:bCs/>
                    </w:rPr>
                  </w:pPr>
                </w:p>
              </w:tc>
              <w:tc>
                <w:tcPr>
                  <w:tcW w:w="1116" w:type="pct"/>
                  <w:vAlign w:val="center"/>
                </w:tcPr>
                <w:p>
                  <w:pPr>
                    <w:pStyle w:val="43"/>
                    <w:rPr>
                      <w:rFonts w:cs="Times New Roman"/>
                      <w:b w:val="0"/>
                      <w:bCs/>
                    </w:rPr>
                  </w:pPr>
                  <w:r>
                    <w:rPr>
                      <w:rFonts w:cs="Times New Roman"/>
                      <w:b w:val="0"/>
                      <w:bCs/>
                    </w:rPr>
                    <w:t>排放速率kg/h</w:t>
                  </w:r>
                </w:p>
              </w:tc>
              <w:tc>
                <w:tcPr>
                  <w:tcW w:w="835" w:type="pct"/>
                  <w:vAlign w:val="center"/>
                </w:tcPr>
                <w:p>
                  <w:pPr>
                    <w:pStyle w:val="43"/>
                    <w:rPr>
                      <w:rFonts w:cs="Times New Roman"/>
                      <w:b w:val="0"/>
                      <w:bCs/>
                    </w:rPr>
                  </w:pPr>
                  <w:r>
                    <w:rPr>
                      <w:rFonts w:hint="eastAsia" w:cs="Times New Roman"/>
                      <w:b w:val="0"/>
                      <w:bCs/>
                    </w:rPr>
                    <w:t>0</w:t>
                  </w:r>
                  <w:r>
                    <w:rPr>
                      <w:rFonts w:cs="Times New Roman"/>
                      <w:b w:val="0"/>
                      <w:bCs/>
                    </w:rPr>
                    <w:t>.155</w:t>
                  </w:r>
                </w:p>
              </w:tc>
              <w:tc>
                <w:tcPr>
                  <w:tcW w:w="929" w:type="pct"/>
                  <w:vAlign w:val="center"/>
                </w:tcPr>
                <w:p>
                  <w:pPr>
                    <w:pStyle w:val="43"/>
                    <w:rPr>
                      <w:rFonts w:cs="Times New Roman"/>
                      <w:b w:val="0"/>
                      <w:bCs/>
                    </w:rPr>
                  </w:pPr>
                  <w:r>
                    <w:rPr>
                      <w:rFonts w:hint="eastAsia" w:cs="Times New Roman"/>
                      <w:b w:val="0"/>
                      <w:bCs/>
                    </w:rPr>
                    <w:t>0</w:t>
                  </w:r>
                  <w:r>
                    <w:rPr>
                      <w:rFonts w:cs="Times New Roman"/>
                      <w:b w:val="0"/>
                      <w:bCs/>
                    </w:rPr>
                    <w:t>.159</w:t>
                  </w:r>
                </w:p>
              </w:tc>
              <w:tc>
                <w:tcPr>
                  <w:tcW w:w="930" w:type="pct"/>
                  <w:vAlign w:val="center"/>
                </w:tcPr>
                <w:p>
                  <w:pPr>
                    <w:pStyle w:val="43"/>
                    <w:rPr>
                      <w:rFonts w:cs="Times New Roman"/>
                      <w:b w:val="0"/>
                      <w:bCs/>
                    </w:rPr>
                  </w:pPr>
                  <w:r>
                    <w:rPr>
                      <w:rFonts w:cs="Times New Roman"/>
                      <w:b w:val="0"/>
                      <w:bCs/>
                    </w:rPr>
                    <w:t>0</w:t>
                  </w:r>
                  <w:r>
                    <w:rPr>
                      <w:rFonts w:hint="eastAsia" w:cs="Times New Roman"/>
                      <w:b w:val="0"/>
                      <w:bCs/>
                    </w:rPr>
                    <w:t>.</w:t>
                  </w:r>
                  <w:r>
                    <w:rPr>
                      <w:rFonts w:cs="Times New Roman"/>
                      <w:b w:val="0"/>
                      <w:bCs/>
                    </w:rPr>
                    <w:t>147</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567" w:type="pct"/>
                  <w:gridSpan w:val="2"/>
                  <w:vAlign w:val="center"/>
                </w:tcPr>
                <w:p>
                  <w:pPr>
                    <w:pStyle w:val="43"/>
                    <w:rPr>
                      <w:rFonts w:cs="Times New Roman"/>
                      <w:b w:val="0"/>
                      <w:bCs/>
                    </w:rPr>
                  </w:pPr>
                  <w:r>
                    <w:rPr>
                      <w:rFonts w:hint="eastAsia" w:cs="Times New Roman"/>
                      <w:b w:val="0"/>
                      <w:bCs/>
                    </w:rPr>
                    <w:t>平均</w:t>
                  </w:r>
                  <w:r>
                    <w:rPr>
                      <w:rFonts w:cs="Times New Roman"/>
                      <w:b w:val="0"/>
                      <w:bCs/>
                    </w:rPr>
                    <w:t>烟气温度（</w:t>
                  </w:r>
                  <w:r>
                    <w:rPr>
                      <w:rFonts w:hint="eastAsia" w:cs="Times New Roman"/>
                      <w:b w:val="0"/>
                      <w:bCs/>
                    </w:rPr>
                    <w:t>℃</w:t>
                  </w:r>
                  <w:r>
                    <w:rPr>
                      <w:rFonts w:cs="Times New Roman"/>
                      <w:b w:val="0"/>
                      <w:bCs/>
                    </w:rPr>
                    <w:t>）</w:t>
                  </w:r>
                </w:p>
              </w:tc>
              <w:tc>
                <w:tcPr>
                  <w:tcW w:w="835" w:type="pct"/>
                  <w:vAlign w:val="center"/>
                </w:tcPr>
                <w:p>
                  <w:pPr>
                    <w:pStyle w:val="43"/>
                    <w:rPr>
                      <w:rFonts w:cs="Times New Roman"/>
                      <w:b w:val="0"/>
                      <w:bCs/>
                    </w:rPr>
                  </w:pPr>
                  <w:r>
                    <w:rPr>
                      <w:rFonts w:hint="eastAsia" w:cs="Times New Roman"/>
                      <w:b w:val="0"/>
                      <w:bCs/>
                    </w:rPr>
                    <w:t>8</w:t>
                  </w:r>
                  <w:r>
                    <w:rPr>
                      <w:rFonts w:cs="Times New Roman"/>
                      <w:b w:val="0"/>
                      <w:bCs/>
                    </w:rPr>
                    <w:t>.4</w:t>
                  </w:r>
                </w:p>
              </w:tc>
              <w:tc>
                <w:tcPr>
                  <w:tcW w:w="929" w:type="pct"/>
                  <w:vAlign w:val="center"/>
                </w:tcPr>
                <w:p>
                  <w:pPr>
                    <w:pStyle w:val="43"/>
                    <w:rPr>
                      <w:rFonts w:cs="Times New Roman"/>
                      <w:b w:val="0"/>
                      <w:bCs/>
                    </w:rPr>
                  </w:pPr>
                  <w:r>
                    <w:rPr>
                      <w:rFonts w:cs="Times New Roman"/>
                      <w:b w:val="0"/>
                      <w:bCs/>
                    </w:rPr>
                    <w:t>10.6</w:t>
                  </w:r>
                </w:p>
              </w:tc>
              <w:tc>
                <w:tcPr>
                  <w:tcW w:w="930" w:type="pct"/>
                  <w:vAlign w:val="center"/>
                </w:tcPr>
                <w:p>
                  <w:pPr>
                    <w:pStyle w:val="43"/>
                    <w:rPr>
                      <w:rFonts w:cs="Times New Roman"/>
                      <w:b w:val="0"/>
                      <w:bCs/>
                    </w:rPr>
                  </w:pPr>
                  <w:r>
                    <w:rPr>
                      <w:rFonts w:cs="Times New Roman"/>
                      <w:b w:val="0"/>
                      <w:bCs/>
                    </w:rPr>
                    <w:t>9.8</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567" w:type="pct"/>
                  <w:gridSpan w:val="2"/>
                  <w:vAlign w:val="center"/>
                </w:tcPr>
                <w:p>
                  <w:pPr>
                    <w:pStyle w:val="43"/>
                    <w:rPr>
                      <w:rFonts w:cs="Times New Roman"/>
                      <w:b w:val="0"/>
                      <w:bCs/>
                    </w:rPr>
                  </w:pPr>
                  <w:r>
                    <w:rPr>
                      <w:rFonts w:cs="Times New Roman"/>
                      <w:b w:val="0"/>
                      <w:bCs/>
                    </w:rPr>
                    <w:t>烟气流速（m/s）</w:t>
                  </w:r>
                </w:p>
              </w:tc>
              <w:tc>
                <w:tcPr>
                  <w:tcW w:w="835" w:type="pct"/>
                  <w:vAlign w:val="center"/>
                </w:tcPr>
                <w:p>
                  <w:pPr>
                    <w:pStyle w:val="43"/>
                    <w:rPr>
                      <w:rFonts w:cs="Times New Roman"/>
                      <w:b w:val="0"/>
                      <w:bCs/>
                    </w:rPr>
                  </w:pPr>
                  <w:r>
                    <w:rPr>
                      <w:rFonts w:cs="Times New Roman"/>
                      <w:b w:val="0"/>
                      <w:bCs/>
                    </w:rPr>
                    <w:t>14.9</w:t>
                  </w:r>
                </w:p>
              </w:tc>
              <w:tc>
                <w:tcPr>
                  <w:tcW w:w="929" w:type="pct"/>
                  <w:vAlign w:val="center"/>
                </w:tcPr>
                <w:p>
                  <w:pPr>
                    <w:pStyle w:val="43"/>
                    <w:rPr>
                      <w:rFonts w:cs="Times New Roman"/>
                      <w:b w:val="0"/>
                      <w:bCs/>
                    </w:rPr>
                  </w:pPr>
                  <w:r>
                    <w:rPr>
                      <w:rFonts w:hint="eastAsia" w:cs="Times New Roman"/>
                      <w:b w:val="0"/>
                      <w:bCs/>
                    </w:rPr>
                    <w:t>1</w:t>
                  </w:r>
                  <w:r>
                    <w:rPr>
                      <w:rFonts w:cs="Times New Roman"/>
                      <w:b w:val="0"/>
                      <w:bCs/>
                    </w:rPr>
                    <w:t>5.1</w:t>
                  </w:r>
                </w:p>
              </w:tc>
              <w:tc>
                <w:tcPr>
                  <w:tcW w:w="930" w:type="pct"/>
                  <w:vAlign w:val="center"/>
                </w:tcPr>
                <w:p>
                  <w:pPr>
                    <w:pStyle w:val="43"/>
                    <w:rPr>
                      <w:rFonts w:cs="Times New Roman"/>
                      <w:b w:val="0"/>
                      <w:bCs/>
                    </w:rPr>
                  </w:pPr>
                  <w:r>
                    <w:rPr>
                      <w:rFonts w:hint="eastAsia" w:cs="Times New Roman"/>
                      <w:b w:val="0"/>
                      <w:bCs/>
                    </w:rPr>
                    <w:t>1</w:t>
                  </w:r>
                  <w:r>
                    <w:rPr>
                      <w:rFonts w:cs="Times New Roman"/>
                      <w:b w:val="0"/>
                      <w:bCs/>
                    </w:rPr>
                    <w:t>4.9</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567" w:type="pct"/>
                  <w:gridSpan w:val="2"/>
                  <w:vAlign w:val="center"/>
                </w:tcPr>
                <w:p>
                  <w:pPr>
                    <w:pStyle w:val="43"/>
                    <w:rPr>
                      <w:rFonts w:cs="Times New Roman"/>
                      <w:b w:val="0"/>
                      <w:bCs/>
                    </w:rPr>
                  </w:pPr>
                  <w:r>
                    <w:rPr>
                      <w:rFonts w:cs="Times New Roman"/>
                      <w:b w:val="0"/>
                      <w:bCs/>
                    </w:rPr>
                    <w:t>废气量（m</w:t>
                  </w:r>
                  <w:r>
                    <w:rPr>
                      <w:rFonts w:cs="Times New Roman"/>
                      <w:b w:val="0"/>
                      <w:bCs/>
                      <w:vertAlign w:val="superscript"/>
                    </w:rPr>
                    <w:t>3</w:t>
                  </w:r>
                  <w:r>
                    <w:rPr>
                      <w:rFonts w:cs="Times New Roman"/>
                      <w:b w:val="0"/>
                      <w:bCs/>
                    </w:rPr>
                    <w:t>/h）</w:t>
                  </w:r>
                </w:p>
              </w:tc>
              <w:tc>
                <w:tcPr>
                  <w:tcW w:w="835" w:type="pct"/>
                  <w:vAlign w:val="center"/>
                </w:tcPr>
                <w:p>
                  <w:pPr>
                    <w:pStyle w:val="43"/>
                    <w:rPr>
                      <w:rFonts w:cs="Times New Roman"/>
                      <w:b w:val="0"/>
                      <w:bCs/>
                    </w:rPr>
                  </w:pPr>
                  <w:r>
                    <w:rPr>
                      <w:rFonts w:hint="eastAsia" w:cs="Times New Roman"/>
                      <w:b w:val="0"/>
                      <w:bCs/>
                    </w:rPr>
                    <w:t>1</w:t>
                  </w:r>
                  <w:r>
                    <w:rPr>
                      <w:rFonts w:cs="Times New Roman"/>
                      <w:b w:val="0"/>
                      <w:bCs/>
                    </w:rPr>
                    <w:t>6198</w:t>
                  </w:r>
                </w:p>
              </w:tc>
              <w:tc>
                <w:tcPr>
                  <w:tcW w:w="929" w:type="pct"/>
                  <w:vAlign w:val="center"/>
                </w:tcPr>
                <w:p>
                  <w:pPr>
                    <w:pStyle w:val="43"/>
                    <w:rPr>
                      <w:rFonts w:cs="Times New Roman"/>
                      <w:b w:val="0"/>
                      <w:bCs/>
                    </w:rPr>
                  </w:pPr>
                  <w:r>
                    <w:rPr>
                      <w:rFonts w:hint="eastAsia" w:cs="Times New Roman"/>
                      <w:b w:val="0"/>
                      <w:bCs/>
                    </w:rPr>
                    <w:t>1</w:t>
                  </w:r>
                  <w:r>
                    <w:rPr>
                      <w:rFonts w:cs="Times New Roman"/>
                      <w:b w:val="0"/>
                      <w:bCs/>
                    </w:rPr>
                    <w:t>6361</w:t>
                  </w:r>
                </w:p>
              </w:tc>
              <w:tc>
                <w:tcPr>
                  <w:tcW w:w="930" w:type="pct"/>
                  <w:vAlign w:val="center"/>
                </w:tcPr>
                <w:p>
                  <w:pPr>
                    <w:pStyle w:val="43"/>
                    <w:rPr>
                      <w:rFonts w:cs="Times New Roman"/>
                      <w:b w:val="0"/>
                      <w:bCs/>
                    </w:rPr>
                  </w:pPr>
                  <w:r>
                    <w:rPr>
                      <w:rFonts w:hint="eastAsia" w:cs="Times New Roman"/>
                      <w:b w:val="0"/>
                      <w:bCs/>
                    </w:rPr>
                    <w:t>1</w:t>
                  </w:r>
                  <w:r>
                    <w:rPr>
                      <w:rFonts w:cs="Times New Roman"/>
                      <w:b w:val="0"/>
                      <w:bCs/>
                    </w:rPr>
                    <w:t>6131</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567" w:type="pct"/>
                  <w:gridSpan w:val="2"/>
                  <w:vAlign w:val="center"/>
                </w:tcPr>
                <w:p>
                  <w:pPr>
                    <w:pStyle w:val="43"/>
                    <w:rPr>
                      <w:rFonts w:cs="Times New Roman"/>
                      <w:b w:val="0"/>
                      <w:bCs/>
                    </w:rPr>
                  </w:pPr>
                  <w:r>
                    <w:rPr>
                      <w:rFonts w:cs="Times New Roman"/>
                      <w:b w:val="0"/>
                      <w:bCs/>
                    </w:rPr>
                    <w:t>烟气含湿量（%）</w:t>
                  </w:r>
                </w:p>
              </w:tc>
              <w:tc>
                <w:tcPr>
                  <w:tcW w:w="835" w:type="pct"/>
                  <w:vAlign w:val="center"/>
                </w:tcPr>
                <w:p>
                  <w:pPr>
                    <w:pStyle w:val="43"/>
                    <w:rPr>
                      <w:rFonts w:cs="Times New Roman"/>
                      <w:b w:val="0"/>
                      <w:bCs/>
                    </w:rPr>
                  </w:pPr>
                  <w:r>
                    <w:rPr>
                      <w:rFonts w:hint="eastAsia" w:cs="Times New Roman"/>
                      <w:b w:val="0"/>
                      <w:bCs/>
                    </w:rPr>
                    <w:t>2</w:t>
                  </w:r>
                  <w:r>
                    <w:rPr>
                      <w:rFonts w:cs="Times New Roman"/>
                      <w:b w:val="0"/>
                      <w:bCs/>
                    </w:rPr>
                    <w:t>.95</w:t>
                  </w:r>
                </w:p>
              </w:tc>
              <w:tc>
                <w:tcPr>
                  <w:tcW w:w="929" w:type="pct"/>
                  <w:vAlign w:val="center"/>
                </w:tcPr>
                <w:p>
                  <w:pPr>
                    <w:pStyle w:val="43"/>
                    <w:rPr>
                      <w:rFonts w:cs="Times New Roman"/>
                      <w:b w:val="0"/>
                      <w:bCs/>
                    </w:rPr>
                  </w:pPr>
                  <w:r>
                    <w:rPr>
                      <w:rFonts w:hint="eastAsia" w:cs="Times New Roman"/>
                      <w:b w:val="0"/>
                      <w:bCs/>
                    </w:rPr>
                    <w:t>2</w:t>
                  </w:r>
                  <w:r>
                    <w:rPr>
                      <w:rFonts w:cs="Times New Roman"/>
                      <w:b w:val="0"/>
                      <w:bCs/>
                    </w:rPr>
                    <w:t>.89</w:t>
                  </w:r>
                </w:p>
              </w:tc>
              <w:tc>
                <w:tcPr>
                  <w:tcW w:w="930" w:type="pct"/>
                  <w:vAlign w:val="center"/>
                </w:tcPr>
                <w:p>
                  <w:pPr>
                    <w:pStyle w:val="43"/>
                    <w:rPr>
                      <w:rFonts w:cs="Times New Roman"/>
                      <w:b w:val="0"/>
                      <w:bCs/>
                    </w:rPr>
                  </w:pPr>
                  <w:r>
                    <w:rPr>
                      <w:rFonts w:hint="eastAsia" w:cs="Times New Roman"/>
                      <w:b w:val="0"/>
                      <w:bCs/>
                    </w:rPr>
                    <w:t>2</w:t>
                  </w:r>
                  <w:r>
                    <w:rPr>
                      <w:rFonts w:cs="Times New Roman"/>
                      <w:b w:val="0"/>
                      <w:bCs/>
                    </w:rPr>
                    <w:t>.84</w:t>
                  </w:r>
                </w:p>
              </w:tc>
              <w:tc>
                <w:tcPr>
                  <w:tcW w:w="739" w:type="pct"/>
                  <w:vAlign w:val="center"/>
                </w:tcPr>
                <w:p>
                  <w:pPr>
                    <w:pStyle w:val="43"/>
                    <w:rPr>
                      <w:rFonts w:cs="Times New Roman"/>
                      <w:b w:val="0"/>
                      <w:bCs/>
                    </w:rPr>
                  </w:pPr>
                  <w:r>
                    <w:rPr>
                      <w:rFonts w:cs="Times New Roman"/>
                      <w:b w:val="0"/>
                      <w:bCs/>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451" w:type="pct"/>
                  <w:vMerge w:val="restart"/>
                  <w:vAlign w:val="center"/>
                </w:tcPr>
                <w:p>
                  <w:pPr>
                    <w:pStyle w:val="43"/>
                    <w:rPr>
                      <w:rFonts w:cs="Times New Roman"/>
                      <w:b w:val="0"/>
                      <w:bCs/>
                    </w:rPr>
                  </w:pPr>
                  <w:r>
                    <w:rPr>
                      <w:rFonts w:hint="eastAsia" w:cs="Times New Roman"/>
                      <w:b w:val="0"/>
                      <w:bCs/>
                    </w:rPr>
                    <w:t>苯并[</w:t>
                  </w:r>
                  <w:r>
                    <w:rPr>
                      <w:rFonts w:cs="Times New Roman"/>
                      <w:b w:val="0"/>
                      <w:bCs/>
                    </w:rPr>
                    <w:t>a]</w:t>
                  </w:r>
                  <w:r>
                    <w:rPr>
                      <w:rFonts w:hint="eastAsia" w:cs="Times New Roman"/>
                      <w:b w:val="0"/>
                      <w:bCs/>
                    </w:rPr>
                    <w:t>芘</w:t>
                  </w:r>
                </w:p>
              </w:tc>
              <w:tc>
                <w:tcPr>
                  <w:tcW w:w="1116" w:type="pct"/>
                  <w:vAlign w:val="center"/>
                </w:tcPr>
                <w:p>
                  <w:pPr>
                    <w:pStyle w:val="43"/>
                    <w:rPr>
                      <w:rFonts w:cs="Times New Roman"/>
                      <w:b w:val="0"/>
                      <w:bCs/>
                    </w:rPr>
                  </w:pPr>
                  <w:r>
                    <w:rPr>
                      <w:rFonts w:cs="Times New Roman"/>
                      <w:b w:val="0"/>
                      <w:bCs/>
                    </w:rPr>
                    <w:t>实测浓度mg/m</w:t>
                  </w:r>
                  <w:r>
                    <w:rPr>
                      <w:rFonts w:cs="Times New Roman"/>
                      <w:b w:val="0"/>
                      <w:bCs/>
                      <w:vertAlign w:val="superscript"/>
                    </w:rPr>
                    <w:t>3</w:t>
                  </w:r>
                </w:p>
              </w:tc>
              <w:tc>
                <w:tcPr>
                  <w:tcW w:w="835" w:type="pct"/>
                  <w:vAlign w:val="center"/>
                </w:tcPr>
                <w:p>
                  <w:pPr>
                    <w:pStyle w:val="43"/>
                    <w:rPr>
                      <w:rFonts w:cs="Times New Roman"/>
                      <w:b w:val="0"/>
                      <w:bCs/>
                    </w:rPr>
                  </w:pPr>
                  <w:r>
                    <w:rPr>
                      <w:rFonts w:hint="eastAsia" w:cs="Times New Roman"/>
                      <w:b w:val="0"/>
                      <w:bCs/>
                    </w:rPr>
                    <w:t>2</w:t>
                  </w:r>
                  <w:r>
                    <w:rPr>
                      <w:rFonts w:cs="Times New Roman"/>
                      <w:b w:val="0"/>
                      <w:bCs/>
                    </w:rPr>
                    <w:t>.0×10</w:t>
                  </w:r>
                  <w:r>
                    <w:rPr>
                      <w:rFonts w:cs="Times New Roman"/>
                      <w:b w:val="0"/>
                      <w:bCs/>
                      <w:vertAlign w:val="superscript"/>
                    </w:rPr>
                    <w:t>-6</w:t>
                  </w:r>
                  <w:r>
                    <w:rPr>
                      <w:rFonts w:cs="Times New Roman"/>
                      <w:b w:val="0"/>
                      <w:bCs/>
                    </w:rPr>
                    <w:t>ND</w:t>
                  </w:r>
                </w:p>
              </w:tc>
              <w:tc>
                <w:tcPr>
                  <w:tcW w:w="929" w:type="pct"/>
                  <w:vAlign w:val="center"/>
                </w:tcPr>
                <w:p>
                  <w:pPr>
                    <w:pStyle w:val="43"/>
                    <w:rPr>
                      <w:rFonts w:cs="Times New Roman"/>
                      <w:b w:val="0"/>
                      <w:bCs/>
                    </w:rPr>
                  </w:pPr>
                  <w:r>
                    <w:rPr>
                      <w:rFonts w:hint="eastAsia" w:cs="Times New Roman"/>
                      <w:b w:val="0"/>
                      <w:bCs/>
                    </w:rPr>
                    <w:t>2</w:t>
                  </w:r>
                  <w:r>
                    <w:rPr>
                      <w:rFonts w:cs="Times New Roman"/>
                      <w:b w:val="0"/>
                      <w:bCs/>
                    </w:rPr>
                    <w:t>.0×10</w:t>
                  </w:r>
                  <w:r>
                    <w:rPr>
                      <w:rFonts w:cs="Times New Roman"/>
                      <w:b w:val="0"/>
                      <w:bCs/>
                      <w:vertAlign w:val="superscript"/>
                    </w:rPr>
                    <w:t>-6</w:t>
                  </w:r>
                  <w:r>
                    <w:rPr>
                      <w:rFonts w:cs="Times New Roman"/>
                      <w:b w:val="0"/>
                      <w:bCs/>
                    </w:rPr>
                    <w:t>ND</w:t>
                  </w:r>
                </w:p>
              </w:tc>
              <w:tc>
                <w:tcPr>
                  <w:tcW w:w="930" w:type="pct"/>
                  <w:vAlign w:val="center"/>
                </w:tcPr>
                <w:p>
                  <w:pPr>
                    <w:pStyle w:val="43"/>
                    <w:rPr>
                      <w:rFonts w:cs="Times New Roman"/>
                      <w:b w:val="0"/>
                      <w:bCs/>
                    </w:rPr>
                  </w:pPr>
                  <w:r>
                    <w:rPr>
                      <w:rFonts w:hint="eastAsia" w:cs="Times New Roman"/>
                      <w:b w:val="0"/>
                      <w:bCs/>
                    </w:rPr>
                    <w:t>2</w:t>
                  </w:r>
                  <w:r>
                    <w:rPr>
                      <w:rFonts w:cs="Times New Roman"/>
                      <w:b w:val="0"/>
                      <w:bCs/>
                    </w:rPr>
                    <w:t>.0×10</w:t>
                  </w:r>
                  <w:r>
                    <w:rPr>
                      <w:rFonts w:cs="Times New Roman"/>
                      <w:b w:val="0"/>
                      <w:bCs/>
                      <w:vertAlign w:val="superscript"/>
                    </w:rPr>
                    <w:t>-6</w:t>
                  </w:r>
                  <w:r>
                    <w:rPr>
                      <w:rFonts w:cs="Times New Roman"/>
                      <w:b w:val="0"/>
                      <w:bCs/>
                    </w:rPr>
                    <w:t>ND</w:t>
                  </w:r>
                </w:p>
              </w:tc>
              <w:tc>
                <w:tcPr>
                  <w:tcW w:w="739" w:type="pct"/>
                  <w:vAlign w:val="center"/>
                </w:tcPr>
                <w:p>
                  <w:pPr>
                    <w:pStyle w:val="43"/>
                    <w:rPr>
                      <w:rFonts w:cs="Times New Roman"/>
                      <w:b w:val="0"/>
                      <w:bCs/>
                    </w:rPr>
                  </w:pPr>
                  <w:r>
                    <w:rPr>
                      <w:rFonts w:cs="Times New Roman"/>
                      <w:b w:val="0"/>
                      <w:bCs/>
                    </w:rPr>
                    <w:t>3.0×10</w:t>
                  </w:r>
                  <w:r>
                    <w:rPr>
                      <w:rFonts w:cs="Times New Roman"/>
                      <w:b w:val="0"/>
                      <w:bCs/>
                      <w:vertAlign w:val="superscript"/>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1" w:type="pct"/>
                  <w:vMerge w:val="continue"/>
                  <w:vAlign w:val="center"/>
                </w:tcPr>
                <w:p>
                  <w:pPr>
                    <w:pStyle w:val="43"/>
                    <w:rPr>
                      <w:rFonts w:cs="Times New Roman"/>
                      <w:b w:val="0"/>
                      <w:bCs/>
                    </w:rPr>
                  </w:pPr>
                </w:p>
              </w:tc>
              <w:tc>
                <w:tcPr>
                  <w:tcW w:w="1116" w:type="pct"/>
                  <w:vAlign w:val="center"/>
                </w:tcPr>
                <w:p>
                  <w:pPr>
                    <w:pStyle w:val="43"/>
                    <w:rPr>
                      <w:rFonts w:cs="Times New Roman"/>
                      <w:b w:val="0"/>
                      <w:bCs/>
                    </w:rPr>
                  </w:pPr>
                  <w:r>
                    <w:rPr>
                      <w:rFonts w:cs="Times New Roman"/>
                      <w:b w:val="0"/>
                      <w:bCs/>
                    </w:rPr>
                    <w:t>排放速率kg/h</w:t>
                  </w:r>
                </w:p>
              </w:tc>
              <w:tc>
                <w:tcPr>
                  <w:tcW w:w="835" w:type="pct"/>
                  <w:vAlign w:val="center"/>
                </w:tcPr>
                <w:p>
                  <w:pPr>
                    <w:pStyle w:val="43"/>
                    <w:rPr>
                      <w:rFonts w:cs="Times New Roman"/>
                      <w:b w:val="0"/>
                      <w:bCs/>
                    </w:rPr>
                  </w:pPr>
                  <w:r>
                    <w:rPr>
                      <w:rFonts w:hint="eastAsia" w:cs="Times New Roman"/>
                      <w:b w:val="0"/>
                      <w:bCs/>
                    </w:rPr>
                    <w:t>＜3</w:t>
                  </w:r>
                  <w:r>
                    <w:rPr>
                      <w:rFonts w:cs="Times New Roman"/>
                      <w:b w:val="0"/>
                      <w:bCs/>
                    </w:rPr>
                    <w:t>×10</w:t>
                  </w:r>
                  <w:r>
                    <w:rPr>
                      <w:rFonts w:cs="Times New Roman"/>
                      <w:b w:val="0"/>
                      <w:bCs/>
                      <w:vertAlign w:val="superscript"/>
                    </w:rPr>
                    <w:t>-8</w:t>
                  </w:r>
                </w:p>
              </w:tc>
              <w:tc>
                <w:tcPr>
                  <w:tcW w:w="929" w:type="pct"/>
                  <w:vAlign w:val="center"/>
                </w:tcPr>
                <w:p>
                  <w:pPr>
                    <w:pStyle w:val="43"/>
                    <w:rPr>
                      <w:rFonts w:cs="Times New Roman"/>
                      <w:b w:val="0"/>
                      <w:bCs/>
                    </w:rPr>
                  </w:pPr>
                  <w:r>
                    <w:rPr>
                      <w:rFonts w:hint="eastAsia" w:cs="Times New Roman"/>
                      <w:b w:val="0"/>
                      <w:bCs/>
                    </w:rPr>
                    <w:t>＜3</w:t>
                  </w:r>
                  <w:r>
                    <w:rPr>
                      <w:rFonts w:cs="Times New Roman"/>
                      <w:b w:val="0"/>
                      <w:bCs/>
                    </w:rPr>
                    <w:t>×10</w:t>
                  </w:r>
                  <w:r>
                    <w:rPr>
                      <w:rFonts w:cs="Times New Roman"/>
                      <w:b w:val="0"/>
                      <w:bCs/>
                      <w:vertAlign w:val="superscript"/>
                    </w:rPr>
                    <w:t>-8</w:t>
                  </w:r>
                </w:p>
              </w:tc>
              <w:tc>
                <w:tcPr>
                  <w:tcW w:w="930" w:type="pct"/>
                  <w:vAlign w:val="center"/>
                </w:tcPr>
                <w:p>
                  <w:pPr>
                    <w:pStyle w:val="43"/>
                    <w:rPr>
                      <w:rFonts w:cs="Times New Roman"/>
                      <w:b w:val="0"/>
                      <w:bCs/>
                    </w:rPr>
                  </w:pPr>
                  <w:r>
                    <w:rPr>
                      <w:rFonts w:hint="eastAsia" w:cs="Times New Roman"/>
                      <w:b w:val="0"/>
                      <w:bCs/>
                    </w:rPr>
                    <w:t>＜3</w:t>
                  </w:r>
                  <w:r>
                    <w:rPr>
                      <w:rFonts w:cs="Times New Roman"/>
                      <w:b w:val="0"/>
                      <w:bCs/>
                    </w:rPr>
                    <w:t>×10</w:t>
                  </w:r>
                  <w:r>
                    <w:rPr>
                      <w:rFonts w:cs="Times New Roman"/>
                      <w:b w:val="0"/>
                      <w:bCs/>
                      <w:vertAlign w:val="superscript"/>
                    </w:rPr>
                    <w:t>-8</w:t>
                  </w:r>
                </w:p>
              </w:tc>
              <w:tc>
                <w:tcPr>
                  <w:tcW w:w="739" w:type="pct"/>
                  <w:vAlign w:val="center"/>
                </w:tcPr>
                <w:p>
                  <w:pPr>
                    <w:pStyle w:val="43"/>
                    <w:rPr>
                      <w:rFonts w:cs="Times New Roman"/>
                      <w:b w:val="0"/>
                      <w:bCs/>
                    </w:rPr>
                  </w:pPr>
                  <w:r>
                    <w:rPr>
                      <w:rFonts w:cs="Times New Roman"/>
                      <w:b w:val="0"/>
                      <w:bCs/>
                    </w:rPr>
                    <w:t>5.0×10</w:t>
                  </w:r>
                  <w:r>
                    <w:rPr>
                      <w:rFonts w:cs="Times New Roman"/>
                      <w:b w:val="0"/>
                      <w:bCs/>
                      <w:vertAlign w:val="superscript"/>
                    </w:rPr>
                    <w:t>-5</w:t>
                  </w:r>
                </w:p>
              </w:tc>
            </w:tr>
          </w:tbl>
          <w:p>
            <w:pPr>
              <w:ind w:firstLine="480" w:firstLineChars="200"/>
              <w:rPr>
                <w:rFonts w:eastAsia="宋体" w:cs="Times New Roman"/>
                <w:szCs w:val="24"/>
              </w:rPr>
            </w:pPr>
            <w:r>
              <w:rPr>
                <w:rFonts w:hint="eastAsia" w:eastAsia="宋体" w:cs="Times New Roman"/>
                <w:szCs w:val="24"/>
              </w:rPr>
              <w:t>根据以上监测结果可知，本项目现有工程沥青烟处理设施排气筒排放的废气满足《大气污染物综合排放标准》（GB16297-1996）表2中的标准要求。本项目现有工程则沥青烟治理设施排放口沥青烟年排放量为</w:t>
            </w:r>
            <w:r>
              <w:rPr>
                <w:rFonts w:eastAsia="宋体" w:cs="Times New Roman"/>
                <w:szCs w:val="24"/>
              </w:rPr>
              <w:t>0.107t/a</w:t>
            </w:r>
            <w:r>
              <w:rPr>
                <w:rFonts w:hint="eastAsia" w:eastAsia="宋体" w:cs="Times New Roman"/>
                <w:szCs w:val="24"/>
              </w:rPr>
              <w:t>。由于监测报告中苯并[a]芘未检出，故排放量采用系数法进行核算污染物产排量。</w:t>
            </w:r>
          </w:p>
          <w:p>
            <w:pPr>
              <w:ind w:firstLine="480" w:firstLineChars="200"/>
            </w:pPr>
            <w:r>
              <w:rPr>
                <w:rFonts w:hint="eastAsia"/>
              </w:rPr>
              <w:t>参考《工业生产中的有害物质手册》第一卷（化学工业出版社，</w:t>
            </w:r>
            <w:r>
              <w:t>1987</w:t>
            </w:r>
            <w:r>
              <w:rPr>
                <w:rFonts w:hint="eastAsia"/>
              </w:rPr>
              <w:t>年</w:t>
            </w:r>
            <w:r>
              <w:t>12</w:t>
            </w:r>
            <w:r>
              <w:rPr>
                <w:rFonts w:hint="eastAsia"/>
              </w:rPr>
              <w:t>月出版）及《有机化合物污染化学》（清华大学出版社，</w:t>
            </w:r>
            <w:r>
              <w:t>1990</w:t>
            </w:r>
            <w:r>
              <w:rPr>
                <w:rFonts w:hint="eastAsia"/>
              </w:rPr>
              <w:t>年</w:t>
            </w:r>
            <w:r>
              <w:t>8</w:t>
            </w:r>
            <w:r>
              <w:rPr>
                <w:rFonts w:hint="eastAsia"/>
              </w:rPr>
              <w:t>月出版），每吨沥青在加热过程中产生苯并</w:t>
            </w:r>
            <w:r>
              <w:t>[a]</w:t>
            </w:r>
            <w:r>
              <w:rPr>
                <w:rFonts w:hint="eastAsia"/>
              </w:rPr>
              <w:t>芘气体约</w:t>
            </w:r>
            <w:r>
              <w:t>0.10g/t~0.15g/t</w:t>
            </w:r>
            <w:r>
              <w:rPr>
                <w:rFonts w:hint="eastAsia"/>
              </w:rPr>
              <w:t>。项目现有工程沥青年用量为</w:t>
            </w:r>
            <w:r>
              <w:t>12150t/a</w:t>
            </w:r>
            <w:r>
              <w:rPr>
                <w:rFonts w:hint="eastAsia"/>
              </w:rPr>
              <w:t>，则生产过程中释放苯并</w:t>
            </w:r>
            <w:r>
              <w:t>[a]</w:t>
            </w:r>
            <w:r>
              <w:rPr>
                <w:rFonts w:hint="eastAsia"/>
              </w:rPr>
              <w:t>芘的量约为</w:t>
            </w:r>
            <w:r>
              <w:t>8.43×10</w:t>
            </w:r>
            <w:r>
              <w:rPr>
                <w:vertAlign w:val="superscript"/>
              </w:rPr>
              <w:t>-6</w:t>
            </w:r>
            <w:r>
              <w:t>t/a</w:t>
            </w:r>
            <w:r>
              <w:rPr>
                <w:rFonts w:hint="eastAsia"/>
              </w:rPr>
              <w:t>，沥青加热时会有少量沥青烟气从沥青罐呼吸口逸散，以</w:t>
            </w:r>
            <w:r>
              <w:t>10%</w:t>
            </w:r>
            <w:r>
              <w:rPr>
                <w:rFonts w:hint="eastAsia"/>
              </w:rPr>
              <w:t>计。则沥青罐呼吸口苯并</w:t>
            </w:r>
            <w:r>
              <w:t>[a]</w:t>
            </w:r>
            <w:r>
              <w:rPr>
                <w:rFonts w:hint="eastAsia"/>
              </w:rPr>
              <w:t>芘产生总量为</w:t>
            </w:r>
            <w:r>
              <w:t>8.43×10</w:t>
            </w:r>
            <w:r>
              <w:rPr>
                <w:vertAlign w:val="superscript"/>
              </w:rPr>
              <w:t>-7</w:t>
            </w:r>
            <w:r>
              <w:t>t/a</w:t>
            </w:r>
            <w:r>
              <w:rPr>
                <w:rFonts w:hint="eastAsia"/>
              </w:rPr>
              <w:t>；其余沥青烟气在沥青搅拌楼卸料时挥发，沥青搅拌楼卸料口苯并</w:t>
            </w:r>
            <w:r>
              <w:t>[a]</w:t>
            </w:r>
            <w:r>
              <w:rPr>
                <w:rFonts w:hint="eastAsia"/>
              </w:rPr>
              <w:t>芘产生总量为</w:t>
            </w:r>
            <w:r>
              <w:t>7.59×10</w:t>
            </w:r>
            <w:r>
              <w:rPr>
                <w:vertAlign w:val="superscript"/>
              </w:rPr>
              <w:t>-6</w:t>
            </w:r>
            <w:r>
              <w:t>t/a</w:t>
            </w:r>
            <w:r>
              <w:rPr>
                <w:rFonts w:hint="eastAsia"/>
              </w:rPr>
              <w:t>。</w:t>
            </w:r>
          </w:p>
          <w:p>
            <w:pPr>
              <w:ind w:firstLine="480" w:firstLineChars="200"/>
              <w:rPr>
                <w:rFonts w:eastAsia="宋体" w:cs="Times New Roman"/>
                <w:szCs w:val="24"/>
              </w:rPr>
            </w:pPr>
            <w:r>
              <w:rPr>
                <w:rFonts w:hint="eastAsia" w:eastAsia="宋体" w:cs="Times New Roman"/>
                <w:szCs w:val="24"/>
              </w:rPr>
              <w:t>经调查，沥青搅拌楼卸料口设置有密闭卸料棚，卸料时车辆停放在卸料棚内进行卸料，在卸料时处卸料棚于微负压状态，故收集效率以</w:t>
            </w:r>
            <w:r>
              <w:rPr>
                <w:rFonts w:eastAsia="宋体" w:cs="Times New Roman"/>
                <w:szCs w:val="24"/>
              </w:rPr>
              <w:t>95%</w:t>
            </w:r>
            <w:r>
              <w:rPr>
                <w:rFonts w:hint="eastAsia" w:eastAsia="宋体" w:cs="Times New Roman"/>
                <w:szCs w:val="24"/>
              </w:rPr>
              <w:t>计。项目现有沥青烟处理系统采用“气旋混动喷淋塔+电捕焦油器+活性炭吸附”组合处理工艺，根据《主要污染物总量减排核算技术指南（2022年修订）》中表2-3，采用“一次活性炭吸附-集中再生并活化”工艺时VOCs去除率为50%，采用“喷淋吸收-非水溶性VOCs废气”工艺时VOCs去除率为10%。根据企业提供的资料，采用“电捕法”工艺时VOCs去除率为50%。</w:t>
            </w:r>
          </w:p>
          <w:p>
            <w:pPr>
              <w:ind w:firstLine="480" w:firstLineChars="200"/>
              <w:rPr>
                <w:rFonts w:eastAsia="宋体" w:cs="Times New Roman"/>
                <w:szCs w:val="24"/>
              </w:rPr>
            </w:pPr>
            <w:r>
              <w:rPr>
                <w:rFonts w:hint="eastAsia" w:eastAsia="宋体" w:cs="Times New Roman"/>
                <w:szCs w:val="24"/>
              </w:rPr>
              <w:t>则该处理系统针对沥青烟及苯并[a]芘的综合处理效率为77.5%，则</w:t>
            </w:r>
            <w:bookmarkStart w:id="4" w:name="_Hlk156420730"/>
            <w:r>
              <w:rPr>
                <w:rFonts w:hint="eastAsia" w:eastAsia="宋体" w:cs="Times New Roman"/>
                <w:szCs w:val="24"/>
              </w:rPr>
              <w:t>苯并[a]芘的排放量约为1.</w:t>
            </w:r>
            <w:r>
              <w:rPr>
                <w:rFonts w:eastAsia="宋体" w:cs="Times New Roman"/>
                <w:szCs w:val="24"/>
              </w:rPr>
              <w:t>81</w:t>
            </w:r>
            <w:r>
              <w:rPr>
                <w:rFonts w:hint="eastAsia" w:eastAsia="宋体" w:cs="Times New Roman"/>
                <w:szCs w:val="24"/>
              </w:rPr>
              <w:t>×10</w:t>
            </w:r>
            <w:r>
              <w:rPr>
                <w:rFonts w:hint="eastAsia" w:eastAsia="宋体" w:cs="Times New Roman"/>
                <w:szCs w:val="24"/>
                <w:vertAlign w:val="superscript"/>
              </w:rPr>
              <w:t>-</w:t>
            </w:r>
            <w:r>
              <w:rPr>
                <w:rFonts w:eastAsia="宋体" w:cs="Times New Roman"/>
                <w:szCs w:val="24"/>
                <w:vertAlign w:val="superscript"/>
              </w:rPr>
              <w:t>6</w:t>
            </w:r>
            <w:r>
              <w:rPr>
                <w:rFonts w:hint="eastAsia" w:eastAsia="宋体" w:cs="Times New Roman"/>
                <w:szCs w:val="24"/>
              </w:rPr>
              <w:t>t/a，</w:t>
            </w:r>
            <w:bookmarkEnd w:id="4"/>
            <w:r>
              <w:rPr>
                <w:rFonts w:hint="eastAsia" w:eastAsia="宋体" w:cs="Times New Roman"/>
                <w:szCs w:val="24"/>
              </w:rPr>
              <w:t>排放浓度为4</w:t>
            </w:r>
            <w:r>
              <w:rPr>
                <w:rFonts w:eastAsia="宋体" w:cs="Times New Roman"/>
                <w:szCs w:val="24"/>
              </w:rPr>
              <w:t>.44</w:t>
            </w:r>
            <w:r>
              <w:rPr>
                <w:rFonts w:hint="eastAsia" w:eastAsia="宋体" w:cs="Times New Roman"/>
                <w:szCs w:val="24"/>
              </w:rPr>
              <w:t>×10</w:t>
            </w:r>
            <w:r>
              <w:rPr>
                <w:rFonts w:hint="eastAsia" w:eastAsia="宋体" w:cs="Times New Roman"/>
                <w:szCs w:val="24"/>
                <w:vertAlign w:val="superscript"/>
              </w:rPr>
              <w:t>-</w:t>
            </w:r>
            <w:r>
              <w:rPr>
                <w:rFonts w:eastAsia="宋体" w:cs="Times New Roman"/>
                <w:szCs w:val="24"/>
                <w:vertAlign w:val="superscript"/>
              </w:rPr>
              <w:t>5</w:t>
            </w:r>
            <w:r>
              <w:rPr>
                <w:rFonts w:eastAsia="宋体" w:cs="Times New Roman"/>
                <w:szCs w:val="24"/>
              </w:rPr>
              <w:t>mg</w:t>
            </w:r>
            <w:r>
              <w:rPr>
                <w:rFonts w:hint="eastAsia" w:eastAsia="宋体" w:cs="Times New Roman"/>
                <w:szCs w:val="24"/>
              </w:rPr>
              <w:t>/</w:t>
            </w:r>
            <w:r>
              <w:rPr>
                <w:rFonts w:eastAsia="宋体" w:cs="Times New Roman"/>
                <w:szCs w:val="24"/>
              </w:rPr>
              <w:t>m</w:t>
            </w:r>
            <w:r>
              <w:rPr>
                <w:rFonts w:eastAsia="宋体" w:cs="Times New Roman"/>
                <w:szCs w:val="24"/>
                <w:vertAlign w:val="superscript"/>
              </w:rPr>
              <w:t>3</w:t>
            </w:r>
            <w:r>
              <w:rPr>
                <w:rFonts w:hint="eastAsia" w:eastAsia="宋体" w:cs="Times New Roman"/>
                <w:szCs w:val="24"/>
              </w:rPr>
              <w:t>，排放速率为7</w:t>
            </w:r>
            <w:r>
              <w:rPr>
                <w:rFonts w:eastAsia="宋体" w:cs="Times New Roman"/>
                <w:szCs w:val="24"/>
              </w:rPr>
              <w:t>.55</w:t>
            </w:r>
            <w:bookmarkStart w:id="5" w:name="_Hlk156420771"/>
            <w:r>
              <w:rPr>
                <w:rFonts w:hint="eastAsia" w:eastAsia="宋体" w:cs="Times New Roman"/>
                <w:szCs w:val="24"/>
              </w:rPr>
              <w:t>×10</w:t>
            </w:r>
            <w:r>
              <w:rPr>
                <w:rFonts w:hint="eastAsia" w:eastAsia="宋体" w:cs="Times New Roman"/>
                <w:szCs w:val="24"/>
                <w:vertAlign w:val="superscript"/>
              </w:rPr>
              <w:t>-</w:t>
            </w:r>
            <w:r>
              <w:rPr>
                <w:rFonts w:eastAsia="宋体" w:cs="Times New Roman"/>
                <w:szCs w:val="24"/>
                <w:vertAlign w:val="superscript"/>
              </w:rPr>
              <w:t>7</w:t>
            </w:r>
            <w:r>
              <w:rPr>
                <w:rFonts w:eastAsia="宋体" w:cs="Times New Roman"/>
                <w:szCs w:val="24"/>
              </w:rPr>
              <w:t>kg</w:t>
            </w:r>
            <w:r>
              <w:rPr>
                <w:rFonts w:hint="eastAsia" w:eastAsia="宋体" w:cs="Times New Roman"/>
                <w:szCs w:val="24"/>
              </w:rPr>
              <w:t>/</w:t>
            </w:r>
            <w:r>
              <w:rPr>
                <w:rFonts w:eastAsia="宋体" w:cs="Times New Roman"/>
                <w:szCs w:val="24"/>
              </w:rPr>
              <w:t>h</w:t>
            </w:r>
            <w:r>
              <w:rPr>
                <w:rFonts w:hint="eastAsia" w:eastAsia="宋体" w:cs="Times New Roman"/>
                <w:szCs w:val="24"/>
              </w:rPr>
              <w:t>。</w:t>
            </w:r>
            <w:bookmarkEnd w:id="5"/>
          </w:p>
          <w:p>
            <w:pPr>
              <w:ind w:firstLine="480" w:firstLineChars="200"/>
              <w:rPr>
                <w:rFonts w:eastAsia="宋体" w:cs="Times New Roman"/>
                <w:szCs w:val="24"/>
              </w:rPr>
            </w:pPr>
            <w:r>
              <w:rPr>
                <w:rFonts w:eastAsia="宋体" w:cs="Times New Roman"/>
                <w:szCs w:val="24"/>
              </w:rPr>
              <w:t>综上，现有工程大气污染物处理措施及排放情况汇总见下表。</w:t>
            </w:r>
          </w:p>
          <w:p>
            <w:pPr>
              <w:pStyle w:val="43"/>
              <w:rPr>
                <w:rFonts w:cs="Times New Roman"/>
              </w:rPr>
            </w:pPr>
            <w:r>
              <w:rPr>
                <w:rFonts w:cs="Times New Roman"/>
              </w:rPr>
              <w:t>表2-13  现有废气处理措施及排放情况汇总表</w:t>
            </w:r>
          </w:p>
          <w:tbl>
            <w:tblPr>
              <w:tblStyle w:val="19"/>
              <w:tblW w:w="5000"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711"/>
              <w:gridCol w:w="1559"/>
              <w:gridCol w:w="1284"/>
              <w:gridCol w:w="1028"/>
              <w:gridCol w:w="2365"/>
              <w:gridCol w:w="1132"/>
              <w:gridCol w:w="52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5" w:type="pct"/>
                  <w:gridSpan w:val="2"/>
                  <w:vMerge w:val="restar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污染源及污染因子</w:t>
                  </w:r>
                </w:p>
              </w:tc>
              <w:tc>
                <w:tcPr>
                  <w:tcW w:w="840" w:type="pct"/>
                  <w:vMerge w:val="restar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环保</w:t>
                  </w:r>
                </w:p>
                <w:p>
                  <w:pPr>
                    <w:spacing w:line="240" w:lineRule="auto"/>
                    <w:jc w:val="center"/>
                    <w:rPr>
                      <w:rFonts w:eastAsia="宋体" w:cs="Times New Roman"/>
                      <w:b/>
                      <w:bCs/>
                      <w:sz w:val="21"/>
                      <w:szCs w:val="21"/>
                    </w:rPr>
                  </w:pPr>
                  <w:r>
                    <w:rPr>
                      <w:rFonts w:eastAsia="宋体" w:cs="Times New Roman"/>
                      <w:b/>
                      <w:bCs/>
                      <w:sz w:val="21"/>
                      <w:szCs w:val="21"/>
                    </w:rPr>
                    <w:t>措施</w:t>
                  </w:r>
                </w:p>
              </w:tc>
              <w:tc>
                <w:tcPr>
                  <w:tcW w:w="1246" w:type="pct"/>
                  <w:gridSpan w:val="2"/>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例行监测情况/系数核算情况</w:t>
                  </w:r>
                </w:p>
              </w:tc>
              <w:tc>
                <w:tcPr>
                  <w:tcW w:w="1274" w:type="pct"/>
                  <w:vMerge w:val="restar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执行标准</w:t>
                  </w:r>
                </w:p>
              </w:tc>
              <w:tc>
                <w:tcPr>
                  <w:tcW w:w="610" w:type="pct"/>
                  <w:vMerge w:val="restar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标准限值mg/m</w:t>
                  </w:r>
                  <w:r>
                    <w:rPr>
                      <w:rFonts w:eastAsia="宋体" w:cs="Times New Roman"/>
                      <w:b/>
                      <w:bCs/>
                      <w:sz w:val="21"/>
                      <w:szCs w:val="21"/>
                      <w:vertAlign w:val="superscript"/>
                    </w:rPr>
                    <w:t>3</w:t>
                  </w:r>
                </w:p>
              </w:tc>
              <w:tc>
                <w:tcPr>
                  <w:tcW w:w="285" w:type="pct"/>
                  <w:vMerge w:val="restar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是否达标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5" w:type="pct"/>
                  <w:gridSpan w:val="2"/>
                  <w:vMerge w:val="continue"/>
                  <w:tcBorders>
                    <w:tl2br w:val="nil"/>
                    <w:tr2bl w:val="nil"/>
                  </w:tcBorders>
                  <w:vAlign w:val="center"/>
                </w:tcPr>
                <w:p>
                  <w:pPr>
                    <w:spacing w:line="240" w:lineRule="auto"/>
                    <w:jc w:val="center"/>
                    <w:rPr>
                      <w:rFonts w:eastAsia="宋体" w:cs="Times New Roman"/>
                      <w:sz w:val="21"/>
                      <w:szCs w:val="21"/>
                    </w:rPr>
                  </w:pPr>
                </w:p>
              </w:tc>
              <w:tc>
                <w:tcPr>
                  <w:tcW w:w="840" w:type="pct"/>
                  <w:vMerge w:val="continue"/>
                  <w:tcBorders>
                    <w:tl2br w:val="nil"/>
                    <w:tr2bl w:val="nil"/>
                  </w:tcBorders>
                  <w:vAlign w:val="center"/>
                </w:tcPr>
                <w:p>
                  <w:pPr>
                    <w:spacing w:line="240" w:lineRule="auto"/>
                    <w:jc w:val="center"/>
                    <w:rPr>
                      <w:rFonts w:eastAsia="宋体" w:cs="Times New Roman"/>
                      <w:sz w:val="21"/>
                      <w:szCs w:val="21"/>
                    </w:rPr>
                  </w:pPr>
                </w:p>
              </w:tc>
              <w:tc>
                <w:tcPr>
                  <w:tcW w:w="692"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排放浓度mg/m</w:t>
                  </w:r>
                  <w:r>
                    <w:rPr>
                      <w:rFonts w:eastAsia="宋体" w:cs="Times New Roman"/>
                      <w:b/>
                      <w:bCs/>
                      <w:sz w:val="21"/>
                      <w:szCs w:val="21"/>
                      <w:vertAlign w:val="superscript"/>
                    </w:rPr>
                    <w:t>3</w:t>
                  </w:r>
                </w:p>
              </w:tc>
              <w:tc>
                <w:tcPr>
                  <w:tcW w:w="554" w:type="pct"/>
                  <w:tcBorders>
                    <w:tl2br w:val="nil"/>
                    <w:tr2bl w:val="nil"/>
                  </w:tcBorders>
                  <w:vAlign w:val="center"/>
                </w:tcPr>
                <w:p>
                  <w:pPr>
                    <w:spacing w:line="240" w:lineRule="auto"/>
                    <w:jc w:val="center"/>
                    <w:rPr>
                      <w:rFonts w:eastAsia="宋体" w:cs="Times New Roman"/>
                      <w:b/>
                      <w:bCs/>
                      <w:sz w:val="21"/>
                      <w:szCs w:val="21"/>
                    </w:rPr>
                  </w:pPr>
                  <w:r>
                    <w:rPr>
                      <w:rFonts w:eastAsia="宋体" w:cs="Times New Roman"/>
                      <w:b/>
                      <w:bCs/>
                      <w:sz w:val="21"/>
                      <w:szCs w:val="21"/>
                    </w:rPr>
                    <w:t>年排放量t/a</w:t>
                  </w:r>
                </w:p>
              </w:tc>
              <w:tc>
                <w:tcPr>
                  <w:tcW w:w="1274" w:type="pct"/>
                  <w:vMerge w:val="continue"/>
                  <w:tcBorders>
                    <w:tl2br w:val="nil"/>
                    <w:tr2bl w:val="nil"/>
                  </w:tcBorders>
                  <w:vAlign w:val="center"/>
                </w:tcPr>
                <w:p>
                  <w:pPr>
                    <w:spacing w:line="240" w:lineRule="auto"/>
                    <w:jc w:val="center"/>
                    <w:rPr>
                      <w:rFonts w:eastAsia="宋体" w:cs="Times New Roman"/>
                      <w:sz w:val="21"/>
                      <w:szCs w:val="21"/>
                    </w:rPr>
                  </w:pPr>
                </w:p>
              </w:tc>
              <w:tc>
                <w:tcPr>
                  <w:tcW w:w="610" w:type="pct"/>
                  <w:vMerge w:val="continue"/>
                  <w:tcBorders>
                    <w:tl2br w:val="nil"/>
                    <w:tr2bl w:val="nil"/>
                  </w:tcBorders>
                  <w:vAlign w:val="center"/>
                </w:tcPr>
                <w:p>
                  <w:pPr>
                    <w:spacing w:line="240" w:lineRule="auto"/>
                    <w:jc w:val="center"/>
                    <w:rPr>
                      <w:rFonts w:eastAsia="宋体" w:cs="Times New Roman"/>
                      <w:sz w:val="21"/>
                      <w:szCs w:val="21"/>
                    </w:rPr>
                  </w:pPr>
                </w:p>
              </w:tc>
              <w:tc>
                <w:tcPr>
                  <w:tcW w:w="285" w:type="pct"/>
                  <w:vMerge w:val="continue"/>
                  <w:tcBorders>
                    <w:tl2br w:val="nil"/>
                    <w:tr2bl w:val="nil"/>
                  </w:tcBorders>
                  <w:vAlign w:val="center"/>
                </w:tcPr>
                <w:p>
                  <w:pPr>
                    <w:spacing w:line="240" w:lineRule="auto"/>
                    <w:jc w:val="center"/>
                    <w:rPr>
                      <w:rFonts w:eastAsia="宋体" w:cs="Times New Roman"/>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搅拌楼废气排气筒</w:t>
                  </w: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颗粒物</w:t>
                  </w:r>
                </w:p>
              </w:tc>
              <w:tc>
                <w:tcPr>
                  <w:tcW w:w="840"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废气采用“重力沉降室+布袋除尘器+活性炭吸附”设施处理后于DA001排气筒（15m）排放</w:t>
                  </w: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5.0</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0.16</w:t>
                  </w:r>
                </w:p>
              </w:tc>
              <w:tc>
                <w:tcPr>
                  <w:tcW w:w="1274"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《陕西省工业炉窑大气污染综合治理实施方案》</w:t>
                  </w: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30</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continue"/>
                  <w:tcBorders>
                    <w:tl2br w:val="nil"/>
                    <w:tr2bl w:val="nil"/>
                  </w:tcBorders>
                  <w:vAlign w:val="center"/>
                </w:tcPr>
                <w:p>
                  <w:pPr>
                    <w:spacing w:line="240" w:lineRule="auto"/>
                    <w:jc w:val="center"/>
                    <w:rPr>
                      <w:rFonts w:eastAsia="宋体" w:cs="Times New Roman"/>
                      <w:b/>
                      <w:bCs/>
                      <w:sz w:val="21"/>
                      <w:szCs w:val="21"/>
                    </w:rPr>
                  </w:pP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二氧化硫</w:t>
                  </w:r>
                </w:p>
              </w:tc>
              <w:tc>
                <w:tcPr>
                  <w:tcW w:w="840" w:type="pct"/>
                  <w:vMerge w:val="continue"/>
                  <w:tcBorders>
                    <w:tl2br w:val="nil"/>
                    <w:tr2bl w:val="nil"/>
                  </w:tcBorders>
                  <w:vAlign w:val="center"/>
                </w:tcPr>
                <w:p>
                  <w:pPr>
                    <w:spacing w:line="240" w:lineRule="auto"/>
                    <w:rPr>
                      <w:rFonts w:eastAsia="宋体" w:cs="Times New Roman"/>
                      <w:sz w:val="21"/>
                      <w:szCs w:val="21"/>
                    </w:rPr>
                  </w:pP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1.5</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0.05</w:t>
                  </w:r>
                </w:p>
              </w:tc>
              <w:tc>
                <w:tcPr>
                  <w:tcW w:w="1274" w:type="pct"/>
                  <w:vMerge w:val="continue"/>
                  <w:tcBorders>
                    <w:tl2br w:val="nil"/>
                    <w:tr2bl w:val="nil"/>
                  </w:tcBorders>
                  <w:vAlign w:val="center"/>
                </w:tcPr>
                <w:p>
                  <w:pPr>
                    <w:spacing w:line="240" w:lineRule="auto"/>
                    <w:jc w:val="center"/>
                    <w:rPr>
                      <w:rFonts w:eastAsia="宋体" w:cs="Times New Roman"/>
                      <w:sz w:val="21"/>
                      <w:szCs w:val="21"/>
                    </w:rPr>
                  </w:pP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200</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continue"/>
                  <w:tcBorders>
                    <w:tl2br w:val="nil"/>
                    <w:tr2bl w:val="nil"/>
                  </w:tcBorders>
                  <w:vAlign w:val="center"/>
                </w:tcPr>
                <w:p>
                  <w:pPr>
                    <w:spacing w:line="240" w:lineRule="auto"/>
                    <w:jc w:val="center"/>
                    <w:rPr>
                      <w:rFonts w:eastAsia="宋体" w:cs="Times New Roman"/>
                      <w:b/>
                      <w:bCs/>
                      <w:sz w:val="21"/>
                      <w:szCs w:val="21"/>
                    </w:rPr>
                  </w:pP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氮氧化物</w:t>
                  </w:r>
                </w:p>
              </w:tc>
              <w:tc>
                <w:tcPr>
                  <w:tcW w:w="840" w:type="pct"/>
                  <w:vMerge w:val="continue"/>
                  <w:tcBorders>
                    <w:tl2br w:val="nil"/>
                    <w:tr2bl w:val="nil"/>
                  </w:tcBorders>
                  <w:vAlign w:val="center"/>
                </w:tcPr>
                <w:p>
                  <w:pPr>
                    <w:spacing w:line="240" w:lineRule="auto"/>
                    <w:jc w:val="center"/>
                    <w:rPr>
                      <w:rFonts w:eastAsia="宋体" w:cs="Times New Roman"/>
                      <w:sz w:val="21"/>
                      <w:szCs w:val="21"/>
                    </w:rPr>
                  </w:pP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50</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1.61</w:t>
                  </w:r>
                </w:p>
              </w:tc>
              <w:tc>
                <w:tcPr>
                  <w:tcW w:w="1274" w:type="pct"/>
                  <w:vMerge w:val="continue"/>
                  <w:tcBorders>
                    <w:tl2br w:val="nil"/>
                    <w:tr2bl w:val="nil"/>
                  </w:tcBorders>
                  <w:vAlign w:val="center"/>
                </w:tcPr>
                <w:p>
                  <w:pPr>
                    <w:spacing w:line="240" w:lineRule="auto"/>
                    <w:jc w:val="center"/>
                    <w:rPr>
                      <w:rFonts w:eastAsia="宋体" w:cs="Times New Roman"/>
                      <w:sz w:val="21"/>
                      <w:szCs w:val="21"/>
                    </w:rPr>
                  </w:pPr>
                </w:p>
              </w:tc>
              <w:tc>
                <w:tcPr>
                  <w:tcW w:w="610" w:type="pct"/>
                  <w:tcBorders>
                    <w:tl2br w:val="nil"/>
                    <w:tr2bl w:val="nil"/>
                  </w:tcBorders>
                  <w:vAlign w:val="center"/>
                </w:tcPr>
                <w:p>
                  <w:pPr>
                    <w:jc w:val="center"/>
                    <w:rPr>
                      <w:rFonts w:eastAsia="宋体" w:cs="Times New Roman"/>
                      <w:sz w:val="21"/>
                      <w:szCs w:val="21"/>
                    </w:rPr>
                  </w:pPr>
                  <w:r>
                    <w:rPr>
                      <w:rFonts w:eastAsia="宋体" w:cs="Times New Roman"/>
                      <w:sz w:val="21"/>
                      <w:szCs w:val="21"/>
                    </w:rPr>
                    <w:t>300</w:t>
                  </w:r>
                </w:p>
              </w:tc>
              <w:tc>
                <w:tcPr>
                  <w:tcW w:w="285" w:type="pct"/>
                  <w:tcBorders>
                    <w:tl2br w:val="nil"/>
                    <w:tr2bl w:val="nil"/>
                  </w:tcBorders>
                  <w:vAlign w:val="center"/>
                </w:tcPr>
                <w:p>
                  <w:pPr>
                    <w:jc w:val="center"/>
                    <w:rPr>
                      <w:rFonts w:cs="Times New Roman"/>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导热油炉废气排气筒</w:t>
                  </w: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颗粒物</w:t>
                  </w:r>
                </w:p>
              </w:tc>
              <w:tc>
                <w:tcPr>
                  <w:tcW w:w="840"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低氮燃烧+8m高排气筒排放</w:t>
                  </w: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3.3</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0.003</w:t>
                  </w:r>
                </w:p>
              </w:tc>
              <w:tc>
                <w:tcPr>
                  <w:tcW w:w="1274"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《锅炉大气污染物排放标准》（DB61/1226-2018）表3中的标准限值要求</w:t>
                  </w: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10</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continue"/>
                  <w:tcBorders>
                    <w:tl2br w:val="nil"/>
                    <w:tr2bl w:val="nil"/>
                  </w:tcBorders>
                  <w:vAlign w:val="center"/>
                </w:tcPr>
                <w:p>
                  <w:pPr>
                    <w:spacing w:line="240" w:lineRule="auto"/>
                    <w:jc w:val="center"/>
                    <w:rPr>
                      <w:rFonts w:eastAsia="宋体" w:cs="Times New Roman"/>
                      <w:sz w:val="21"/>
                      <w:szCs w:val="21"/>
                    </w:rPr>
                  </w:pP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二氧化硫</w:t>
                  </w:r>
                </w:p>
              </w:tc>
              <w:tc>
                <w:tcPr>
                  <w:tcW w:w="840" w:type="pct"/>
                  <w:vMerge w:val="continue"/>
                  <w:tcBorders>
                    <w:tl2br w:val="nil"/>
                    <w:tr2bl w:val="nil"/>
                  </w:tcBorders>
                  <w:vAlign w:val="center"/>
                </w:tcPr>
                <w:p>
                  <w:pPr>
                    <w:spacing w:line="240" w:lineRule="auto"/>
                    <w:jc w:val="center"/>
                    <w:rPr>
                      <w:rFonts w:eastAsia="宋体" w:cs="Times New Roman"/>
                      <w:sz w:val="21"/>
                      <w:szCs w:val="21"/>
                    </w:rPr>
                  </w:pP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1.5</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0.001</w:t>
                  </w:r>
                </w:p>
              </w:tc>
              <w:tc>
                <w:tcPr>
                  <w:tcW w:w="1274" w:type="pct"/>
                  <w:vMerge w:val="continue"/>
                  <w:tcBorders>
                    <w:tl2br w:val="nil"/>
                    <w:tr2bl w:val="nil"/>
                  </w:tcBorders>
                  <w:vAlign w:val="center"/>
                </w:tcPr>
                <w:p>
                  <w:pPr>
                    <w:spacing w:line="240" w:lineRule="auto"/>
                    <w:jc w:val="center"/>
                    <w:rPr>
                      <w:rFonts w:eastAsia="宋体" w:cs="Times New Roman"/>
                      <w:sz w:val="21"/>
                      <w:szCs w:val="21"/>
                    </w:rPr>
                  </w:pP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20</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continue"/>
                  <w:tcBorders>
                    <w:tl2br w:val="nil"/>
                    <w:tr2bl w:val="nil"/>
                  </w:tcBorders>
                  <w:vAlign w:val="center"/>
                </w:tcPr>
                <w:p>
                  <w:pPr>
                    <w:spacing w:line="240" w:lineRule="auto"/>
                    <w:jc w:val="center"/>
                    <w:rPr>
                      <w:rFonts w:eastAsia="宋体" w:cs="Times New Roman"/>
                      <w:b/>
                      <w:bCs/>
                      <w:sz w:val="21"/>
                      <w:szCs w:val="21"/>
                    </w:rPr>
                  </w:pP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氮氧化物</w:t>
                  </w:r>
                </w:p>
              </w:tc>
              <w:tc>
                <w:tcPr>
                  <w:tcW w:w="840" w:type="pct"/>
                  <w:vMerge w:val="continue"/>
                  <w:tcBorders>
                    <w:tl2br w:val="nil"/>
                    <w:tr2bl w:val="nil"/>
                  </w:tcBorders>
                  <w:vAlign w:val="center"/>
                </w:tcPr>
                <w:p>
                  <w:pPr>
                    <w:spacing w:line="240" w:lineRule="auto"/>
                    <w:jc w:val="center"/>
                    <w:rPr>
                      <w:rFonts w:eastAsia="宋体" w:cs="Times New Roman"/>
                      <w:sz w:val="21"/>
                      <w:szCs w:val="21"/>
                    </w:rPr>
                  </w:pP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24</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0.023</w:t>
                  </w:r>
                </w:p>
              </w:tc>
              <w:tc>
                <w:tcPr>
                  <w:tcW w:w="1274" w:type="pct"/>
                  <w:vMerge w:val="continue"/>
                  <w:tcBorders>
                    <w:tl2br w:val="nil"/>
                    <w:tr2bl w:val="nil"/>
                  </w:tcBorders>
                  <w:vAlign w:val="center"/>
                </w:tcPr>
                <w:p>
                  <w:pPr>
                    <w:spacing w:line="240" w:lineRule="auto"/>
                    <w:jc w:val="center"/>
                    <w:rPr>
                      <w:rFonts w:eastAsia="宋体" w:cs="Times New Roman"/>
                      <w:sz w:val="21"/>
                      <w:szCs w:val="21"/>
                    </w:rPr>
                  </w:pP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50</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continue"/>
                  <w:tcBorders>
                    <w:tl2br w:val="nil"/>
                    <w:tr2bl w:val="nil"/>
                  </w:tcBorders>
                  <w:vAlign w:val="center"/>
                </w:tcPr>
                <w:p>
                  <w:pPr>
                    <w:spacing w:line="240" w:lineRule="auto"/>
                    <w:jc w:val="center"/>
                    <w:rPr>
                      <w:rFonts w:eastAsia="宋体" w:cs="Times New Roman"/>
                      <w:b/>
                      <w:bCs/>
                      <w:sz w:val="21"/>
                      <w:szCs w:val="21"/>
                    </w:rPr>
                  </w:pP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烟气黑度</w:t>
                  </w:r>
                </w:p>
              </w:tc>
              <w:tc>
                <w:tcPr>
                  <w:tcW w:w="840" w:type="pct"/>
                  <w:vMerge w:val="continue"/>
                  <w:tcBorders>
                    <w:tl2br w:val="nil"/>
                    <w:tr2bl w:val="nil"/>
                  </w:tcBorders>
                  <w:vAlign w:val="center"/>
                </w:tcPr>
                <w:p>
                  <w:pPr>
                    <w:spacing w:line="240" w:lineRule="auto"/>
                    <w:jc w:val="center"/>
                    <w:rPr>
                      <w:rFonts w:eastAsia="宋体" w:cs="Times New Roman"/>
                      <w:sz w:val="21"/>
                      <w:szCs w:val="21"/>
                    </w:rPr>
                  </w:pP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w:t>
                  </w:r>
                </w:p>
              </w:tc>
              <w:tc>
                <w:tcPr>
                  <w:tcW w:w="127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《锅炉大气污染物排放标准》（GB13271-2014）表2中的限值</w:t>
                  </w: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restart"/>
                  <w:tcBorders>
                    <w:tl2br w:val="nil"/>
                    <w:tr2bl w:val="nil"/>
                  </w:tcBorders>
                  <w:vAlign w:val="center"/>
                </w:tcPr>
                <w:p>
                  <w:pPr>
                    <w:spacing w:line="240" w:lineRule="auto"/>
                    <w:jc w:val="center"/>
                    <w:rPr>
                      <w:rFonts w:eastAsia="宋体" w:cs="Times New Roman"/>
                      <w:b/>
                      <w:bCs/>
                      <w:sz w:val="21"/>
                      <w:szCs w:val="21"/>
                    </w:rPr>
                  </w:pPr>
                  <w:r>
                    <w:rPr>
                      <w:rFonts w:hint="eastAsia" w:eastAsia="宋体" w:cs="Times New Roman"/>
                      <w:sz w:val="21"/>
                      <w:szCs w:val="21"/>
                    </w:rPr>
                    <w:t>沥青烟处理设施排气筒</w:t>
                  </w: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沥青烟</w:t>
                  </w:r>
                </w:p>
              </w:tc>
              <w:tc>
                <w:tcPr>
                  <w:tcW w:w="840" w:type="pct"/>
                  <w:vMerge w:val="restart"/>
                  <w:tcBorders>
                    <w:tl2br w:val="nil"/>
                    <w:tr2bl w:val="nil"/>
                  </w:tcBorders>
                  <w:vAlign w:val="center"/>
                </w:tcPr>
                <w:p>
                  <w:pPr>
                    <w:spacing w:line="240" w:lineRule="auto"/>
                    <w:jc w:val="center"/>
                    <w:rPr>
                      <w:rFonts w:eastAsia="宋体" w:cs="Times New Roman"/>
                      <w:sz w:val="21"/>
                      <w:szCs w:val="21"/>
                    </w:rPr>
                  </w:pPr>
                  <w:r>
                    <w:rPr>
                      <w:rFonts w:hint="eastAsia" w:eastAsia="宋体" w:cs="Times New Roman"/>
                      <w:sz w:val="21"/>
                      <w:szCs w:val="21"/>
                    </w:rPr>
                    <w:t>沥青烟气采用“气旋+电捕+活性炭”处理装置处理后于1</w:t>
                  </w:r>
                  <w:r>
                    <w:rPr>
                      <w:rFonts w:eastAsia="宋体" w:cs="Times New Roman"/>
                      <w:sz w:val="21"/>
                      <w:szCs w:val="21"/>
                    </w:rPr>
                    <w:t>5.3m</w:t>
                  </w:r>
                  <w:r>
                    <w:rPr>
                      <w:rFonts w:hint="eastAsia" w:eastAsia="宋体" w:cs="Times New Roman"/>
                      <w:sz w:val="21"/>
                      <w:szCs w:val="21"/>
                    </w:rPr>
                    <w:t>高排气筒排放</w:t>
                  </w: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9.7</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0.107</w:t>
                  </w:r>
                </w:p>
              </w:tc>
              <w:tc>
                <w:tcPr>
                  <w:tcW w:w="1274"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《大气污染物综合排放标准》（GB16297-1996）表2中浓度限值要求</w:t>
                  </w:r>
                </w:p>
              </w:tc>
              <w:tc>
                <w:tcPr>
                  <w:tcW w:w="610" w:type="pct"/>
                  <w:tcBorders>
                    <w:tl2br w:val="nil"/>
                    <w:tr2bl w:val="nil"/>
                  </w:tcBorders>
                  <w:vAlign w:val="center"/>
                </w:tcPr>
                <w:p>
                  <w:pPr>
                    <w:jc w:val="center"/>
                    <w:rPr>
                      <w:rFonts w:eastAsia="宋体" w:cs="Times New Roman"/>
                      <w:sz w:val="21"/>
                      <w:szCs w:val="21"/>
                    </w:rPr>
                  </w:pPr>
                  <w:r>
                    <w:rPr>
                      <w:rFonts w:eastAsia="宋体" w:cs="Times New Roman"/>
                      <w:sz w:val="21"/>
                      <w:szCs w:val="21"/>
                    </w:rPr>
                    <w:t>75</w:t>
                  </w:r>
                </w:p>
              </w:tc>
              <w:tc>
                <w:tcPr>
                  <w:tcW w:w="285" w:type="pct"/>
                  <w:tcBorders>
                    <w:tl2br w:val="nil"/>
                    <w:tr2bl w:val="nil"/>
                  </w:tcBorders>
                  <w:vAlign w:val="center"/>
                </w:tcPr>
                <w:p>
                  <w:pPr>
                    <w:jc w:val="center"/>
                    <w:rPr>
                      <w:rFonts w:cs="Times New Roman"/>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continue"/>
                  <w:tcBorders>
                    <w:tl2br w:val="nil"/>
                    <w:tr2bl w:val="nil"/>
                  </w:tcBorders>
                  <w:vAlign w:val="center"/>
                </w:tcPr>
                <w:p>
                  <w:pPr>
                    <w:spacing w:line="240" w:lineRule="auto"/>
                    <w:jc w:val="center"/>
                    <w:rPr>
                      <w:rFonts w:eastAsia="宋体" w:cs="Times New Roman"/>
                      <w:b/>
                      <w:bCs/>
                      <w:sz w:val="21"/>
                      <w:szCs w:val="21"/>
                    </w:rPr>
                  </w:pP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苯并[a]芘</w:t>
                  </w:r>
                </w:p>
              </w:tc>
              <w:tc>
                <w:tcPr>
                  <w:tcW w:w="840" w:type="pct"/>
                  <w:vMerge w:val="continue"/>
                  <w:tcBorders>
                    <w:tl2br w:val="nil"/>
                    <w:tr2bl w:val="nil"/>
                  </w:tcBorders>
                  <w:vAlign w:val="center"/>
                </w:tcPr>
                <w:p>
                  <w:pPr>
                    <w:spacing w:line="240" w:lineRule="auto"/>
                    <w:jc w:val="center"/>
                    <w:rPr>
                      <w:rFonts w:eastAsia="宋体" w:cs="Times New Roman"/>
                      <w:sz w:val="21"/>
                      <w:szCs w:val="21"/>
                    </w:rPr>
                  </w:pP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4.44×10</w:t>
                  </w:r>
                  <w:r>
                    <w:rPr>
                      <w:rFonts w:eastAsia="宋体" w:cs="Times New Roman"/>
                      <w:sz w:val="21"/>
                      <w:szCs w:val="21"/>
                      <w:vertAlign w:val="superscript"/>
                    </w:rPr>
                    <w:t>-5</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7.55×10</w:t>
                  </w:r>
                  <w:r>
                    <w:rPr>
                      <w:rFonts w:eastAsia="宋体" w:cs="Times New Roman"/>
                      <w:sz w:val="21"/>
                      <w:szCs w:val="21"/>
                      <w:vertAlign w:val="superscript"/>
                    </w:rPr>
                    <w:t>-7</w:t>
                  </w:r>
                </w:p>
              </w:tc>
              <w:tc>
                <w:tcPr>
                  <w:tcW w:w="1274" w:type="pct"/>
                  <w:vMerge w:val="continue"/>
                  <w:tcBorders>
                    <w:tl2br w:val="nil"/>
                    <w:tr2bl w:val="nil"/>
                  </w:tcBorders>
                  <w:vAlign w:val="center"/>
                </w:tcPr>
                <w:p>
                  <w:pPr>
                    <w:spacing w:line="240" w:lineRule="auto"/>
                    <w:jc w:val="center"/>
                    <w:rPr>
                      <w:rFonts w:eastAsia="宋体" w:cs="Times New Roman"/>
                      <w:sz w:val="21"/>
                      <w:szCs w:val="21"/>
                    </w:rPr>
                  </w:pPr>
                </w:p>
              </w:tc>
              <w:tc>
                <w:tcPr>
                  <w:tcW w:w="610" w:type="pct"/>
                  <w:tcBorders>
                    <w:tl2br w:val="nil"/>
                    <w:tr2bl w:val="nil"/>
                  </w:tcBorders>
                  <w:vAlign w:val="center"/>
                </w:tcPr>
                <w:p>
                  <w:pPr>
                    <w:jc w:val="center"/>
                    <w:rPr>
                      <w:rFonts w:eastAsia="宋体" w:cs="Times New Roman"/>
                      <w:sz w:val="21"/>
                      <w:szCs w:val="21"/>
                    </w:rPr>
                  </w:pPr>
                  <w:r>
                    <w:rPr>
                      <w:rFonts w:eastAsia="宋体" w:cs="Times New Roman"/>
                      <w:sz w:val="21"/>
                      <w:szCs w:val="21"/>
                    </w:rPr>
                    <w:t>0.3×10</w:t>
                  </w:r>
                  <w:r>
                    <w:rPr>
                      <w:rFonts w:eastAsia="宋体" w:cs="Times New Roman"/>
                      <w:sz w:val="21"/>
                      <w:szCs w:val="21"/>
                      <w:vertAlign w:val="superscript"/>
                    </w:rPr>
                    <w:t>-3</w:t>
                  </w:r>
                </w:p>
              </w:tc>
              <w:tc>
                <w:tcPr>
                  <w:tcW w:w="285" w:type="pct"/>
                  <w:tcBorders>
                    <w:tl2br w:val="nil"/>
                    <w:tr2bl w:val="nil"/>
                  </w:tcBorders>
                  <w:vAlign w:val="center"/>
                </w:tcPr>
                <w:p>
                  <w:pPr>
                    <w:jc w:val="center"/>
                    <w:rPr>
                      <w:rFonts w:cs="Times New Roman"/>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无组织排放</w:t>
                  </w: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颗粒物</w:t>
                  </w:r>
                </w:p>
              </w:tc>
              <w:tc>
                <w:tcPr>
                  <w:tcW w:w="84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无组织</w:t>
                  </w: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厂界下风向最大浓度0.378mg/m</w:t>
                  </w:r>
                  <w:r>
                    <w:rPr>
                      <w:rFonts w:eastAsia="宋体" w:cs="Times New Roman"/>
                      <w:sz w:val="21"/>
                      <w:szCs w:val="21"/>
                      <w:vertAlign w:val="superscript"/>
                    </w:rPr>
                    <w:t>3</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w:t>
                  </w:r>
                </w:p>
              </w:tc>
              <w:tc>
                <w:tcPr>
                  <w:tcW w:w="1274"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《大气污染物综合排放标准》（GB16297-1996）表2中浓度限值要求</w:t>
                  </w: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1.0</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3" w:type="pct"/>
                  <w:vMerge w:val="continue"/>
                  <w:tcBorders>
                    <w:tl2br w:val="nil"/>
                    <w:tr2bl w:val="nil"/>
                  </w:tcBorders>
                  <w:vAlign w:val="center"/>
                </w:tcPr>
                <w:p>
                  <w:pPr>
                    <w:spacing w:line="240" w:lineRule="auto"/>
                    <w:jc w:val="center"/>
                    <w:rPr>
                      <w:rFonts w:eastAsia="宋体" w:cs="Times New Roman"/>
                      <w:sz w:val="21"/>
                      <w:szCs w:val="21"/>
                    </w:rPr>
                  </w:pPr>
                </w:p>
              </w:tc>
              <w:tc>
                <w:tcPr>
                  <w:tcW w:w="38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苯并[a]芘</w:t>
                  </w:r>
                </w:p>
              </w:tc>
              <w:tc>
                <w:tcPr>
                  <w:tcW w:w="84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无组织</w:t>
                  </w:r>
                </w:p>
              </w:tc>
              <w:tc>
                <w:tcPr>
                  <w:tcW w:w="692"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厂界下风向最大浓度1.6×10</w:t>
                  </w:r>
                  <w:r>
                    <w:rPr>
                      <w:rFonts w:eastAsia="宋体" w:cs="Times New Roman"/>
                      <w:sz w:val="21"/>
                      <w:szCs w:val="21"/>
                      <w:vertAlign w:val="superscript"/>
                    </w:rPr>
                    <w:t>-6</w:t>
                  </w:r>
                  <w:r>
                    <w:rPr>
                      <w:rFonts w:eastAsia="宋体" w:cs="Times New Roman"/>
                      <w:sz w:val="21"/>
                      <w:szCs w:val="21"/>
                    </w:rPr>
                    <w:t>ND</w:t>
                  </w:r>
                </w:p>
              </w:tc>
              <w:tc>
                <w:tcPr>
                  <w:tcW w:w="554"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w:t>
                  </w:r>
                </w:p>
              </w:tc>
              <w:tc>
                <w:tcPr>
                  <w:tcW w:w="1274" w:type="pct"/>
                  <w:vMerge w:val="continue"/>
                  <w:tcBorders>
                    <w:tl2br w:val="nil"/>
                    <w:tr2bl w:val="nil"/>
                  </w:tcBorders>
                  <w:vAlign w:val="center"/>
                </w:tcPr>
                <w:p>
                  <w:pPr>
                    <w:spacing w:line="240" w:lineRule="auto"/>
                    <w:jc w:val="center"/>
                    <w:rPr>
                      <w:rFonts w:eastAsia="宋体" w:cs="Times New Roman"/>
                      <w:sz w:val="21"/>
                      <w:szCs w:val="21"/>
                    </w:rPr>
                  </w:pPr>
                </w:p>
              </w:tc>
              <w:tc>
                <w:tcPr>
                  <w:tcW w:w="610"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8.0×10</w:t>
                  </w:r>
                  <w:r>
                    <w:rPr>
                      <w:rFonts w:eastAsia="宋体" w:cs="Times New Roman"/>
                      <w:sz w:val="21"/>
                      <w:szCs w:val="21"/>
                      <w:vertAlign w:val="superscript"/>
                    </w:rPr>
                    <w:t>-6</w:t>
                  </w:r>
                </w:p>
              </w:tc>
              <w:tc>
                <w:tcPr>
                  <w:tcW w:w="285"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是</w:t>
                  </w:r>
                </w:p>
              </w:tc>
            </w:tr>
          </w:tbl>
          <w:p>
            <w:pPr>
              <w:spacing w:before="120" w:beforeLines="50"/>
              <w:ind w:firstLine="482" w:firstLineChars="200"/>
              <w:rPr>
                <w:rFonts w:eastAsia="宋体" w:cs="Times New Roman"/>
                <w:b/>
                <w:bCs/>
                <w:szCs w:val="24"/>
              </w:rPr>
            </w:pPr>
            <w:r>
              <w:rPr>
                <w:rFonts w:eastAsia="宋体" w:cs="Times New Roman"/>
                <w:b/>
                <w:bCs/>
                <w:szCs w:val="24"/>
              </w:rPr>
              <w:t>2、废水</w:t>
            </w:r>
          </w:p>
          <w:p>
            <w:pPr>
              <w:ind w:firstLine="480" w:firstLineChars="200"/>
              <w:rPr>
                <w:rFonts w:eastAsia="宋体" w:cs="Times New Roman"/>
                <w:szCs w:val="24"/>
              </w:rPr>
            </w:pPr>
            <w:r>
              <w:rPr>
                <w:rFonts w:eastAsia="宋体" w:cs="Times New Roman"/>
                <w:szCs w:val="24"/>
              </w:rPr>
              <w:t>根据企业提供资料，结合现场勘查情况，企业产生的废水主要为职工的生活污水、车辆冲洗废水、路面洒水及喷淋用水。职工生活年用水量约为100m</w:t>
            </w:r>
            <w:r>
              <w:rPr>
                <w:rFonts w:eastAsia="宋体" w:cs="Times New Roman"/>
                <w:szCs w:val="24"/>
                <w:vertAlign w:val="superscript"/>
              </w:rPr>
              <w:t>3</w:t>
            </w:r>
            <w:r>
              <w:rPr>
                <w:rFonts w:eastAsia="宋体" w:cs="Times New Roman"/>
                <w:szCs w:val="24"/>
              </w:rPr>
              <w:t>/a，生活污水经化粪池沉淀处理后定期清掏肥田，不外排；车辆冲洗年补充水量约为60m</w:t>
            </w:r>
            <w:r>
              <w:rPr>
                <w:rFonts w:eastAsia="宋体" w:cs="Times New Roman"/>
                <w:szCs w:val="24"/>
                <w:vertAlign w:val="superscript"/>
              </w:rPr>
              <w:t>3</w:t>
            </w:r>
            <w:r>
              <w:rPr>
                <w:rFonts w:eastAsia="宋体" w:cs="Times New Roman"/>
                <w:szCs w:val="24"/>
              </w:rPr>
              <w:t>/a，车辆冲洗废水经沉淀池处理后回用，不外排；厂内道路定期采用洒水车洒水，年用水量约为160m</w:t>
            </w:r>
            <w:r>
              <w:rPr>
                <w:rFonts w:eastAsia="宋体" w:cs="Times New Roman"/>
                <w:szCs w:val="24"/>
                <w:vertAlign w:val="superscript"/>
              </w:rPr>
              <w:t>3</w:t>
            </w:r>
            <w:r>
              <w:rPr>
                <w:rFonts w:eastAsia="宋体" w:cs="Times New Roman"/>
                <w:szCs w:val="24"/>
              </w:rPr>
              <w:t>/a；现有骨料堆场顶部喷淋用水约为180m</w:t>
            </w:r>
            <w:r>
              <w:rPr>
                <w:rFonts w:eastAsia="宋体" w:cs="Times New Roman"/>
                <w:szCs w:val="24"/>
                <w:vertAlign w:val="superscript"/>
              </w:rPr>
              <w:t>3</w:t>
            </w:r>
            <w:r>
              <w:rPr>
                <w:rFonts w:eastAsia="宋体" w:cs="Times New Roman"/>
                <w:szCs w:val="24"/>
              </w:rPr>
              <w:t>/a，合计本项目现有工程年用水量约为500m</w:t>
            </w:r>
            <w:r>
              <w:rPr>
                <w:rFonts w:eastAsia="宋体" w:cs="Times New Roman"/>
                <w:szCs w:val="24"/>
                <w:vertAlign w:val="superscript"/>
              </w:rPr>
              <w:t>3</w:t>
            </w:r>
            <w:r>
              <w:rPr>
                <w:rFonts w:eastAsia="宋体" w:cs="Times New Roman"/>
                <w:szCs w:val="24"/>
              </w:rPr>
              <w:t>/a。</w:t>
            </w:r>
          </w:p>
          <w:p>
            <w:pPr>
              <w:ind w:firstLine="482" w:firstLineChars="200"/>
              <w:rPr>
                <w:rFonts w:eastAsia="宋体" w:cs="Times New Roman"/>
                <w:b/>
                <w:bCs/>
                <w:szCs w:val="24"/>
              </w:rPr>
            </w:pPr>
            <w:r>
              <w:rPr>
                <w:rFonts w:eastAsia="宋体" w:cs="Times New Roman"/>
                <w:b/>
                <w:bCs/>
                <w:szCs w:val="24"/>
              </w:rPr>
              <w:t>3、噪声</w:t>
            </w:r>
          </w:p>
          <w:p>
            <w:pPr>
              <w:ind w:firstLine="480" w:firstLineChars="200"/>
              <w:rPr>
                <w:rFonts w:eastAsia="宋体" w:cs="Times New Roman"/>
                <w:kern w:val="0"/>
                <w:szCs w:val="24"/>
                <w:lang w:bidi="he-IL"/>
              </w:rPr>
            </w:pPr>
            <w:r>
              <w:rPr>
                <w:rFonts w:eastAsia="宋体" w:cs="Times New Roman"/>
                <w:kern w:val="0"/>
                <w:szCs w:val="24"/>
                <w:lang w:bidi="he-IL"/>
              </w:rPr>
              <w:t>企业现有工程噪声主要来源于生产中机械设备运行时产生的机械噪声，通过采取选用低噪声设备、基础减振等措施减少机械振动带来的噪声，再通过厂房隔声、距离衰减等措施，能有效的减少设备运行的机械噪声对周围环境的影响。</w:t>
            </w:r>
          </w:p>
          <w:p>
            <w:pPr>
              <w:ind w:firstLine="480" w:firstLineChars="200"/>
              <w:rPr>
                <w:rFonts w:eastAsia="宋体" w:cs="Times New Roman"/>
                <w:szCs w:val="24"/>
              </w:rPr>
            </w:pPr>
            <w:r>
              <w:rPr>
                <w:rFonts w:eastAsia="宋体" w:cs="Times New Roman"/>
                <w:szCs w:val="24"/>
              </w:rPr>
              <w:t>根据建设单位提供的例行监测报告《周至科达路面建设材料有限公司自行监测》（泽希检测（综）202310098号），陕西泽希检测服务有限公司于2023年10月30日对项目厂界四周噪声开展了监测，监测结果见下表：</w:t>
            </w:r>
          </w:p>
          <w:p>
            <w:pPr>
              <w:pStyle w:val="24"/>
              <w:rPr>
                <w:rFonts w:cs="Times New Roman"/>
              </w:rPr>
            </w:pPr>
            <w:r>
              <w:rPr>
                <w:rFonts w:cs="Times New Roman"/>
              </w:rPr>
              <w:t>表2-14  噪声例行监测情况一览表</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2404"/>
              <w:gridCol w:w="2836"/>
              <w:gridCol w:w="3070"/>
              <w:gridCol w:w="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9" w:type="pct"/>
                  <w:vAlign w:val="center"/>
                </w:tcPr>
                <w:p>
                  <w:pPr>
                    <w:spacing w:line="240" w:lineRule="auto"/>
                    <w:jc w:val="center"/>
                    <w:rPr>
                      <w:rFonts w:eastAsia="宋体" w:cs="Times New Roman"/>
                      <w:sz w:val="21"/>
                      <w:szCs w:val="21"/>
                    </w:rPr>
                  </w:pPr>
                  <w:r>
                    <w:rPr>
                      <w:rFonts w:eastAsia="宋体" w:cs="Times New Roman"/>
                      <w:sz w:val="21"/>
                      <w:szCs w:val="21"/>
                    </w:rPr>
                    <w:t>监测日期</w:t>
                  </w:r>
                </w:p>
              </w:tc>
              <w:tc>
                <w:tcPr>
                  <w:tcW w:w="1295" w:type="pct"/>
                  <w:vAlign w:val="center"/>
                </w:tcPr>
                <w:p>
                  <w:pPr>
                    <w:spacing w:line="240" w:lineRule="auto"/>
                    <w:jc w:val="center"/>
                    <w:rPr>
                      <w:rFonts w:eastAsia="宋体" w:cs="Times New Roman"/>
                      <w:sz w:val="21"/>
                      <w:szCs w:val="21"/>
                    </w:rPr>
                  </w:pPr>
                  <w:r>
                    <w:rPr>
                      <w:rFonts w:eastAsia="宋体" w:cs="Times New Roman"/>
                      <w:sz w:val="21"/>
                      <w:szCs w:val="21"/>
                    </w:rPr>
                    <w:t>监测点位</w:t>
                  </w:r>
                </w:p>
              </w:tc>
              <w:tc>
                <w:tcPr>
                  <w:tcW w:w="1528" w:type="pct"/>
                  <w:vAlign w:val="center"/>
                </w:tcPr>
                <w:p>
                  <w:pPr>
                    <w:spacing w:line="240" w:lineRule="auto"/>
                    <w:jc w:val="center"/>
                    <w:rPr>
                      <w:rFonts w:eastAsia="宋体" w:cs="Times New Roman"/>
                      <w:sz w:val="21"/>
                      <w:szCs w:val="21"/>
                    </w:rPr>
                  </w:pPr>
                  <w:r>
                    <w:rPr>
                      <w:rFonts w:eastAsia="宋体" w:cs="Times New Roman"/>
                      <w:sz w:val="21"/>
                      <w:szCs w:val="21"/>
                    </w:rPr>
                    <w:t>测定值dB（A）</w:t>
                  </w:r>
                </w:p>
                <w:p>
                  <w:pPr>
                    <w:spacing w:line="240" w:lineRule="auto"/>
                    <w:jc w:val="center"/>
                    <w:rPr>
                      <w:rFonts w:eastAsia="宋体" w:cs="Times New Roman"/>
                      <w:sz w:val="21"/>
                      <w:szCs w:val="21"/>
                    </w:rPr>
                  </w:pPr>
                  <w:r>
                    <w:rPr>
                      <w:rFonts w:eastAsia="宋体" w:cs="Times New Roman"/>
                      <w:sz w:val="21"/>
                      <w:szCs w:val="21"/>
                    </w:rPr>
                    <w:t>（昼间）</w:t>
                  </w:r>
                </w:p>
              </w:tc>
              <w:tc>
                <w:tcPr>
                  <w:tcW w:w="1659" w:type="pct"/>
                  <w:gridSpan w:val="2"/>
                  <w:vAlign w:val="center"/>
                </w:tcPr>
                <w:p>
                  <w:pPr>
                    <w:spacing w:line="240" w:lineRule="auto"/>
                    <w:jc w:val="center"/>
                    <w:rPr>
                      <w:rFonts w:eastAsia="宋体" w:cs="Times New Roman"/>
                      <w:sz w:val="21"/>
                      <w:szCs w:val="21"/>
                    </w:rPr>
                  </w:pPr>
                  <w:r>
                    <w:rPr>
                      <w:rFonts w:eastAsia="宋体" w:cs="Times New Roman"/>
                      <w:sz w:val="21"/>
                      <w:szCs w:val="21"/>
                    </w:rPr>
                    <w:t>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54" w:hRule="atLeast"/>
              </w:trPr>
              <w:tc>
                <w:tcPr>
                  <w:tcW w:w="519" w:type="pct"/>
                  <w:vMerge w:val="restart"/>
                  <w:vAlign w:val="center"/>
                </w:tcPr>
                <w:p>
                  <w:pPr>
                    <w:spacing w:line="240" w:lineRule="auto"/>
                    <w:jc w:val="center"/>
                    <w:rPr>
                      <w:rFonts w:eastAsia="宋体" w:cs="Times New Roman"/>
                      <w:sz w:val="21"/>
                      <w:szCs w:val="21"/>
                    </w:rPr>
                  </w:pPr>
                  <w:r>
                    <w:rPr>
                      <w:rFonts w:eastAsia="宋体" w:cs="Times New Roman"/>
                      <w:sz w:val="21"/>
                      <w:szCs w:val="21"/>
                    </w:rPr>
                    <w:t>2023年10月30日</w:t>
                  </w:r>
                </w:p>
              </w:tc>
              <w:tc>
                <w:tcPr>
                  <w:tcW w:w="1295" w:type="pct"/>
                  <w:vAlign w:val="center"/>
                </w:tcPr>
                <w:p>
                  <w:pPr>
                    <w:spacing w:line="240" w:lineRule="auto"/>
                    <w:jc w:val="center"/>
                    <w:rPr>
                      <w:rFonts w:eastAsia="宋体" w:cs="Times New Roman"/>
                      <w:sz w:val="21"/>
                      <w:szCs w:val="21"/>
                    </w:rPr>
                  </w:pPr>
                  <w:r>
                    <w:rPr>
                      <w:rFonts w:eastAsia="宋体" w:cs="Times New Roman"/>
                      <w:sz w:val="21"/>
                      <w:szCs w:val="21"/>
                    </w:rPr>
                    <w:t>厂界东侧1#</w:t>
                  </w:r>
                </w:p>
              </w:tc>
              <w:tc>
                <w:tcPr>
                  <w:tcW w:w="1528" w:type="pct"/>
                  <w:vAlign w:val="center"/>
                </w:tcPr>
                <w:p>
                  <w:pPr>
                    <w:spacing w:line="240" w:lineRule="auto"/>
                    <w:jc w:val="center"/>
                    <w:rPr>
                      <w:rFonts w:eastAsia="宋体" w:cs="Times New Roman"/>
                      <w:sz w:val="21"/>
                      <w:szCs w:val="21"/>
                    </w:rPr>
                  </w:pPr>
                  <w:r>
                    <w:rPr>
                      <w:rFonts w:eastAsia="宋体" w:cs="Times New Roman"/>
                      <w:sz w:val="21"/>
                      <w:szCs w:val="21"/>
                    </w:rPr>
                    <w:t>54</w:t>
                  </w:r>
                </w:p>
              </w:tc>
              <w:tc>
                <w:tcPr>
                  <w:tcW w:w="1654" w:type="pct"/>
                  <w:vMerge w:val="restart"/>
                  <w:vAlign w:val="center"/>
                </w:tcPr>
                <w:p>
                  <w:pPr>
                    <w:spacing w:line="240" w:lineRule="auto"/>
                    <w:jc w:val="center"/>
                    <w:rPr>
                      <w:rFonts w:eastAsia="宋体" w:cs="Times New Roman"/>
                      <w:sz w:val="21"/>
                      <w:szCs w:val="21"/>
                    </w:rPr>
                  </w:pPr>
                  <w:r>
                    <w:rPr>
                      <w:rFonts w:eastAsia="宋体" w:cs="Times New Roman"/>
                      <w:sz w:val="21"/>
                      <w:szCs w:val="21"/>
                    </w:rPr>
                    <w:t>《工业企业厂界环境噪声排放标准》（GB12348-2008）表1中2类排放限值要求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54" w:hRule="atLeast"/>
              </w:trPr>
              <w:tc>
                <w:tcPr>
                  <w:tcW w:w="519" w:type="pct"/>
                  <w:vMerge w:val="continue"/>
                  <w:vAlign w:val="center"/>
                </w:tcPr>
                <w:p>
                  <w:pPr>
                    <w:spacing w:line="240" w:lineRule="auto"/>
                    <w:jc w:val="center"/>
                    <w:rPr>
                      <w:rFonts w:eastAsia="宋体" w:cs="Times New Roman"/>
                      <w:sz w:val="21"/>
                      <w:szCs w:val="21"/>
                    </w:rPr>
                  </w:pPr>
                </w:p>
              </w:tc>
              <w:tc>
                <w:tcPr>
                  <w:tcW w:w="1295" w:type="pct"/>
                  <w:vAlign w:val="center"/>
                </w:tcPr>
                <w:p>
                  <w:pPr>
                    <w:spacing w:line="240" w:lineRule="auto"/>
                    <w:jc w:val="center"/>
                    <w:rPr>
                      <w:rFonts w:eastAsia="宋体" w:cs="Times New Roman"/>
                      <w:sz w:val="21"/>
                      <w:szCs w:val="21"/>
                    </w:rPr>
                  </w:pPr>
                  <w:r>
                    <w:rPr>
                      <w:rFonts w:eastAsia="宋体" w:cs="Times New Roman"/>
                      <w:sz w:val="21"/>
                      <w:szCs w:val="21"/>
                    </w:rPr>
                    <w:t>厂界南侧2#</w:t>
                  </w:r>
                </w:p>
              </w:tc>
              <w:tc>
                <w:tcPr>
                  <w:tcW w:w="1528" w:type="pct"/>
                  <w:vAlign w:val="center"/>
                </w:tcPr>
                <w:p>
                  <w:pPr>
                    <w:spacing w:line="240" w:lineRule="auto"/>
                    <w:jc w:val="center"/>
                    <w:rPr>
                      <w:rFonts w:eastAsia="宋体" w:cs="Times New Roman"/>
                      <w:sz w:val="21"/>
                      <w:szCs w:val="21"/>
                    </w:rPr>
                  </w:pPr>
                  <w:r>
                    <w:rPr>
                      <w:rFonts w:eastAsia="宋体" w:cs="Times New Roman"/>
                      <w:sz w:val="21"/>
                      <w:szCs w:val="21"/>
                    </w:rPr>
                    <w:t>55</w:t>
                  </w:r>
                </w:p>
              </w:tc>
              <w:tc>
                <w:tcPr>
                  <w:tcW w:w="1654" w:type="pct"/>
                  <w:vMerge w:val="continue"/>
                  <w:vAlign w:val="center"/>
                </w:tcPr>
                <w:p>
                  <w:pPr>
                    <w:spacing w:line="240" w:lineRule="auto"/>
                    <w:jc w:val="center"/>
                    <w:rPr>
                      <w:rFonts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54" w:hRule="atLeast"/>
              </w:trPr>
              <w:tc>
                <w:tcPr>
                  <w:tcW w:w="519" w:type="pct"/>
                  <w:vMerge w:val="continue"/>
                  <w:vAlign w:val="center"/>
                </w:tcPr>
                <w:p>
                  <w:pPr>
                    <w:spacing w:line="240" w:lineRule="auto"/>
                    <w:jc w:val="center"/>
                    <w:rPr>
                      <w:rFonts w:eastAsia="宋体" w:cs="Times New Roman"/>
                      <w:sz w:val="21"/>
                      <w:szCs w:val="21"/>
                    </w:rPr>
                  </w:pPr>
                </w:p>
              </w:tc>
              <w:tc>
                <w:tcPr>
                  <w:tcW w:w="1295" w:type="pct"/>
                  <w:vAlign w:val="center"/>
                </w:tcPr>
                <w:p>
                  <w:pPr>
                    <w:spacing w:line="240" w:lineRule="auto"/>
                    <w:jc w:val="center"/>
                    <w:rPr>
                      <w:rFonts w:eastAsia="宋体" w:cs="Times New Roman"/>
                      <w:sz w:val="21"/>
                      <w:szCs w:val="21"/>
                    </w:rPr>
                  </w:pPr>
                  <w:r>
                    <w:rPr>
                      <w:rFonts w:eastAsia="宋体" w:cs="Times New Roman"/>
                      <w:sz w:val="21"/>
                      <w:szCs w:val="21"/>
                    </w:rPr>
                    <w:t>厂界西侧3#</w:t>
                  </w:r>
                </w:p>
              </w:tc>
              <w:tc>
                <w:tcPr>
                  <w:tcW w:w="1528" w:type="pct"/>
                  <w:vAlign w:val="center"/>
                </w:tcPr>
                <w:p>
                  <w:pPr>
                    <w:spacing w:line="240" w:lineRule="auto"/>
                    <w:jc w:val="center"/>
                    <w:rPr>
                      <w:rFonts w:eastAsia="宋体" w:cs="Times New Roman"/>
                      <w:sz w:val="21"/>
                      <w:szCs w:val="21"/>
                    </w:rPr>
                  </w:pPr>
                  <w:r>
                    <w:rPr>
                      <w:rFonts w:eastAsia="宋体" w:cs="Times New Roman"/>
                      <w:sz w:val="21"/>
                      <w:szCs w:val="21"/>
                    </w:rPr>
                    <w:t>58</w:t>
                  </w:r>
                </w:p>
              </w:tc>
              <w:tc>
                <w:tcPr>
                  <w:tcW w:w="1654" w:type="pct"/>
                  <w:vMerge w:val="continue"/>
                  <w:vAlign w:val="center"/>
                </w:tcPr>
                <w:p>
                  <w:pPr>
                    <w:spacing w:line="240" w:lineRule="auto"/>
                    <w:jc w:val="center"/>
                    <w:rPr>
                      <w:rFonts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54" w:hRule="atLeast"/>
              </w:trPr>
              <w:tc>
                <w:tcPr>
                  <w:tcW w:w="519" w:type="pct"/>
                  <w:vMerge w:val="continue"/>
                  <w:vAlign w:val="center"/>
                </w:tcPr>
                <w:p>
                  <w:pPr>
                    <w:spacing w:line="240" w:lineRule="auto"/>
                    <w:jc w:val="center"/>
                    <w:rPr>
                      <w:rFonts w:eastAsia="宋体" w:cs="Times New Roman"/>
                      <w:sz w:val="21"/>
                      <w:szCs w:val="21"/>
                    </w:rPr>
                  </w:pPr>
                </w:p>
              </w:tc>
              <w:tc>
                <w:tcPr>
                  <w:tcW w:w="1295" w:type="pct"/>
                  <w:vAlign w:val="center"/>
                </w:tcPr>
                <w:p>
                  <w:pPr>
                    <w:spacing w:line="240" w:lineRule="auto"/>
                    <w:jc w:val="center"/>
                    <w:rPr>
                      <w:rFonts w:eastAsia="宋体" w:cs="Times New Roman"/>
                      <w:sz w:val="21"/>
                      <w:szCs w:val="21"/>
                    </w:rPr>
                  </w:pPr>
                  <w:r>
                    <w:rPr>
                      <w:rFonts w:eastAsia="宋体" w:cs="Times New Roman"/>
                      <w:sz w:val="21"/>
                      <w:szCs w:val="21"/>
                    </w:rPr>
                    <w:t>厂界北侧4#</w:t>
                  </w:r>
                </w:p>
              </w:tc>
              <w:tc>
                <w:tcPr>
                  <w:tcW w:w="1528" w:type="pct"/>
                  <w:vAlign w:val="center"/>
                </w:tcPr>
                <w:p>
                  <w:pPr>
                    <w:spacing w:line="240" w:lineRule="auto"/>
                    <w:jc w:val="center"/>
                    <w:rPr>
                      <w:rFonts w:eastAsia="宋体" w:cs="Times New Roman"/>
                      <w:sz w:val="21"/>
                      <w:szCs w:val="21"/>
                    </w:rPr>
                  </w:pPr>
                  <w:r>
                    <w:rPr>
                      <w:rFonts w:eastAsia="宋体" w:cs="Times New Roman"/>
                      <w:sz w:val="21"/>
                      <w:szCs w:val="21"/>
                    </w:rPr>
                    <w:t>58</w:t>
                  </w:r>
                </w:p>
              </w:tc>
              <w:tc>
                <w:tcPr>
                  <w:tcW w:w="1654" w:type="pct"/>
                  <w:vMerge w:val="continue"/>
                  <w:vAlign w:val="center"/>
                </w:tcPr>
                <w:p>
                  <w:pPr>
                    <w:spacing w:line="240" w:lineRule="auto"/>
                    <w:jc w:val="center"/>
                    <w:rPr>
                      <w:rFonts w:eastAsia="宋体"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54" w:hRule="atLeast"/>
              </w:trPr>
              <w:tc>
                <w:tcPr>
                  <w:tcW w:w="519" w:type="pct"/>
                  <w:vMerge w:val="continue"/>
                  <w:vAlign w:val="center"/>
                </w:tcPr>
                <w:p>
                  <w:pPr>
                    <w:spacing w:line="240" w:lineRule="auto"/>
                    <w:jc w:val="center"/>
                    <w:rPr>
                      <w:rFonts w:eastAsia="宋体" w:cs="Times New Roman"/>
                      <w:sz w:val="21"/>
                      <w:szCs w:val="21"/>
                    </w:rPr>
                  </w:pPr>
                </w:p>
              </w:tc>
              <w:tc>
                <w:tcPr>
                  <w:tcW w:w="1295" w:type="pct"/>
                  <w:vAlign w:val="center"/>
                </w:tcPr>
                <w:p>
                  <w:pPr>
                    <w:spacing w:line="240" w:lineRule="auto"/>
                    <w:jc w:val="center"/>
                    <w:rPr>
                      <w:rFonts w:eastAsia="宋体" w:cs="Times New Roman"/>
                      <w:sz w:val="21"/>
                      <w:szCs w:val="21"/>
                    </w:rPr>
                  </w:pPr>
                  <w:r>
                    <w:rPr>
                      <w:rFonts w:eastAsia="宋体" w:cs="Times New Roman"/>
                      <w:sz w:val="21"/>
                      <w:szCs w:val="21"/>
                    </w:rPr>
                    <w:t>标准限值</w:t>
                  </w:r>
                </w:p>
              </w:tc>
              <w:tc>
                <w:tcPr>
                  <w:tcW w:w="1528" w:type="pct"/>
                  <w:vAlign w:val="center"/>
                </w:tcPr>
                <w:p>
                  <w:pPr>
                    <w:spacing w:line="240" w:lineRule="auto"/>
                    <w:jc w:val="center"/>
                    <w:rPr>
                      <w:rFonts w:eastAsia="宋体" w:cs="Times New Roman"/>
                      <w:sz w:val="21"/>
                      <w:szCs w:val="21"/>
                    </w:rPr>
                  </w:pPr>
                  <w:r>
                    <w:rPr>
                      <w:rFonts w:eastAsia="宋体" w:cs="Times New Roman"/>
                      <w:sz w:val="21"/>
                      <w:szCs w:val="21"/>
                    </w:rPr>
                    <w:t>60</w:t>
                  </w:r>
                </w:p>
              </w:tc>
              <w:tc>
                <w:tcPr>
                  <w:tcW w:w="1654" w:type="pct"/>
                  <w:vMerge w:val="continue"/>
                  <w:vAlign w:val="center"/>
                </w:tcPr>
                <w:p>
                  <w:pPr>
                    <w:spacing w:line="240" w:lineRule="auto"/>
                    <w:jc w:val="center"/>
                    <w:rPr>
                      <w:rFonts w:eastAsia="宋体" w:cs="Times New Roman"/>
                      <w:sz w:val="21"/>
                      <w:szCs w:val="21"/>
                    </w:rPr>
                  </w:pPr>
                </w:p>
              </w:tc>
            </w:tr>
          </w:tbl>
          <w:p>
            <w:pPr>
              <w:ind w:firstLine="480" w:firstLineChars="200"/>
              <w:rPr>
                <w:rFonts w:eastAsia="宋体" w:cs="Times New Roman"/>
                <w:szCs w:val="24"/>
              </w:rPr>
            </w:pPr>
            <w:r>
              <w:rPr>
                <w:rFonts w:eastAsia="宋体" w:cs="Times New Roman"/>
                <w:szCs w:val="24"/>
              </w:rPr>
              <w:t>根据监测结果可知，企业厂界四周噪声值满足《工业企业厂界环境噪声排放标准》（GB12348-2008）2类标准要求。</w:t>
            </w:r>
          </w:p>
          <w:p>
            <w:pPr>
              <w:ind w:firstLine="482" w:firstLineChars="200"/>
              <w:rPr>
                <w:rFonts w:eastAsia="宋体" w:cs="Times New Roman"/>
                <w:b/>
                <w:bCs/>
                <w:szCs w:val="24"/>
              </w:rPr>
            </w:pPr>
            <w:r>
              <w:rPr>
                <w:rFonts w:eastAsia="宋体" w:cs="Times New Roman"/>
                <w:b/>
                <w:bCs/>
                <w:szCs w:val="24"/>
              </w:rPr>
              <w:t>4、固体废物</w:t>
            </w:r>
          </w:p>
          <w:p>
            <w:pPr>
              <w:ind w:firstLine="480" w:firstLineChars="200"/>
              <w:rPr>
                <w:rFonts w:eastAsia="宋体" w:cs="Times New Roman"/>
                <w:kern w:val="0"/>
                <w:szCs w:val="24"/>
                <w:lang w:bidi="he-IL"/>
              </w:rPr>
            </w:pPr>
            <w:r>
              <w:rPr>
                <w:rFonts w:eastAsia="宋体" w:cs="Times New Roman"/>
                <w:kern w:val="0"/>
                <w:szCs w:val="24"/>
                <w:lang w:bidi="he-IL"/>
              </w:rPr>
              <w:t>本项目现有工程企业生活垃圾分类收集，由环卫部门定期清运；一般固体废物主要为废石料、废沥青、除尘器收集的粉尘以及沉淀池泥沙等，经收集后全部回用于生产工序。</w:t>
            </w:r>
            <w:r>
              <w:rPr>
                <w:rFonts w:hint="eastAsia" w:eastAsia="宋体" w:cs="Times New Roman"/>
                <w:kern w:val="0"/>
                <w:szCs w:val="24"/>
                <w:lang w:bidi="he-IL"/>
              </w:rPr>
              <w:t>现有工程</w:t>
            </w:r>
            <w:r>
              <w:rPr>
                <w:rFonts w:eastAsia="宋体" w:cs="Times New Roman"/>
                <w:kern w:val="0"/>
                <w:szCs w:val="24"/>
                <w:lang w:bidi="he-IL"/>
              </w:rPr>
              <w:t>产生的危险废物主要为废活性炭、废机油、废油桶等危险废物，在现有危险废物贮存库暂存后，委托陕西明瑞再生资源有限公司清运处置。综上，企业现有工程生活垃圾、一般固体废物以及危险废物在严格落实环保设施的情况下均得到有效处置，对周边环境影响较小。</w:t>
            </w:r>
          </w:p>
          <w:p>
            <w:pPr>
              <w:pStyle w:val="3"/>
              <w:ind w:firstLine="480" w:firstLineChars="200"/>
              <w:rPr>
                <w:rFonts w:ascii="Times New Roman" w:hAnsi="Times New Roman" w:eastAsia="宋体" w:cs="Times New Roman"/>
                <w:b w:val="0"/>
                <w:bCs w:val="0"/>
                <w:szCs w:val="24"/>
              </w:rPr>
            </w:pPr>
            <w:r>
              <w:rPr>
                <w:rFonts w:ascii="Times New Roman" w:hAnsi="Times New Roman" w:eastAsia="宋体" w:cs="Times New Roman"/>
                <w:b w:val="0"/>
                <w:bCs w:val="0"/>
                <w:szCs w:val="24"/>
              </w:rPr>
              <w:t>根据企业现有竣工环保验收报告，例行监测调查数据及建设方提供项目实际运行情况，确定现有工程污染物产排情况见表2-15。</w:t>
            </w:r>
          </w:p>
          <w:p>
            <w:pPr>
              <w:spacing w:line="240" w:lineRule="auto"/>
              <w:jc w:val="center"/>
              <w:rPr>
                <w:rFonts w:eastAsia="宋体" w:cs="Times New Roman"/>
                <w:b/>
                <w:bCs/>
                <w:sz w:val="21"/>
                <w:szCs w:val="21"/>
              </w:rPr>
            </w:pPr>
            <w:r>
              <w:rPr>
                <w:rFonts w:eastAsia="宋体" w:cs="Times New Roman"/>
                <w:b/>
                <w:bCs/>
                <w:sz w:val="21"/>
                <w:szCs w:val="21"/>
              </w:rPr>
              <w:t>表2-15 现有工程污染物排放清单</w:t>
            </w:r>
          </w:p>
          <w:tbl>
            <w:tblPr>
              <w:tblStyle w:val="19"/>
              <w:tblW w:w="4997"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2184"/>
              <w:gridCol w:w="1542"/>
              <w:gridCol w:w="1842"/>
              <w:gridCol w:w="250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tcBorders>
                    <w:tl2br w:val="nil"/>
                    <w:tr2bl w:val="nil"/>
                  </w:tcBorders>
                  <w:vAlign w:val="center"/>
                </w:tcPr>
                <w:p>
                  <w:pPr>
                    <w:pStyle w:val="36"/>
                    <w:jc w:val="both"/>
                    <w:rPr>
                      <w:rFonts w:ascii="Times New Roman" w:cs="Times New Roman"/>
                      <w:b/>
                      <w:bCs/>
                      <w:color w:val="auto"/>
                      <w:sz w:val="21"/>
                      <w:szCs w:val="21"/>
                    </w:rPr>
                  </w:pPr>
                  <w:r>
                    <w:rPr>
                      <w:rFonts w:ascii="Times New Roman" w:cs="Times New Roman"/>
                      <w:b/>
                      <w:bCs/>
                      <w:color w:val="auto"/>
                      <w:sz w:val="21"/>
                      <w:szCs w:val="21"/>
                    </w:rPr>
                    <w:t>污染类型</w:t>
                  </w:r>
                </w:p>
              </w:tc>
              <w:tc>
                <w:tcPr>
                  <w:tcW w:w="1177" w:type="pct"/>
                  <w:tcBorders>
                    <w:tl2br w:val="nil"/>
                    <w:tr2bl w:val="nil"/>
                  </w:tcBorders>
                  <w:vAlign w:val="center"/>
                </w:tcPr>
                <w:p>
                  <w:pPr>
                    <w:pStyle w:val="36"/>
                    <w:jc w:val="center"/>
                    <w:rPr>
                      <w:rFonts w:ascii="Times New Roman" w:cs="Times New Roman"/>
                      <w:b/>
                      <w:bCs/>
                      <w:color w:val="auto"/>
                      <w:sz w:val="21"/>
                      <w:szCs w:val="21"/>
                    </w:rPr>
                  </w:pPr>
                  <w:r>
                    <w:rPr>
                      <w:rFonts w:ascii="Times New Roman" w:cs="Times New Roman"/>
                      <w:b/>
                      <w:bCs/>
                      <w:color w:val="auto"/>
                      <w:sz w:val="21"/>
                      <w:szCs w:val="21"/>
                    </w:rPr>
                    <w:t>污染物种类</w:t>
                  </w:r>
                </w:p>
              </w:tc>
              <w:tc>
                <w:tcPr>
                  <w:tcW w:w="831" w:type="pct"/>
                  <w:tcBorders>
                    <w:tl2br w:val="nil"/>
                    <w:tr2bl w:val="nil"/>
                  </w:tcBorders>
                  <w:vAlign w:val="center"/>
                </w:tcPr>
                <w:p>
                  <w:pPr>
                    <w:pStyle w:val="36"/>
                    <w:jc w:val="center"/>
                    <w:rPr>
                      <w:rFonts w:ascii="Times New Roman" w:cs="Times New Roman"/>
                      <w:b/>
                      <w:bCs/>
                      <w:color w:val="auto"/>
                      <w:sz w:val="21"/>
                      <w:szCs w:val="21"/>
                    </w:rPr>
                  </w:pPr>
                  <w:r>
                    <w:rPr>
                      <w:rFonts w:ascii="Times New Roman" w:cs="Times New Roman"/>
                      <w:b/>
                      <w:bCs/>
                      <w:color w:val="auto"/>
                      <w:sz w:val="21"/>
                      <w:szCs w:val="21"/>
                    </w:rPr>
                    <w:t>产污环节</w:t>
                  </w:r>
                </w:p>
              </w:tc>
              <w:tc>
                <w:tcPr>
                  <w:tcW w:w="993" w:type="pct"/>
                  <w:tcBorders>
                    <w:tl2br w:val="nil"/>
                    <w:tr2bl w:val="nil"/>
                  </w:tcBorders>
                  <w:vAlign w:val="center"/>
                </w:tcPr>
                <w:p>
                  <w:pPr>
                    <w:pStyle w:val="36"/>
                    <w:jc w:val="center"/>
                    <w:rPr>
                      <w:rFonts w:ascii="Times New Roman" w:cs="Times New Roman"/>
                      <w:b/>
                      <w:bCs/>
                      <w:color w:val="auto"/>
                      <w:sz w:val="21"/>
                      <w:szCs w:val="21"/>
                    </w:rPr>
                  </w:pPr>
                  <w:r>
                    <w:rPr>
                      <w:rFonts w:ascii="Times New Roman" w:cs="Times New Roman"/>
                      <w:b/>
                      <w:bCs/>
                      <w:color w:val="auto"/>
                      <w:sz w:val="21"/>
                      <w:szCs w:val="21"/>
                    </w:rPr>
                    <w:t>排放量</w:t>
                  </w:r>
                </w:p>
              </w:tc>
              <w:tc>
                <w:tcPr>
                  <w:tcW w:w="1351" w:type="pct"/>
                  <w:tcBorders>
                    <w:tl2br w:val="nil"/>
                    <w:tr2bl w:val="nil"/>
                  </w:tcBorders>
                  <w:vAlign w:val="center"/>
                </w:tcPr>
                <w:p>
                  <w:pPr>
                    <w:pStyle w:val="36"/>
                    <w:jc w:val="center"/>
                    <w:rPr>
                      <w:rFonts w:ascii="Times New Roman" w:cs="Times New Roman"/>
                      <w:b/>
                      <w:bCs/>
                      <w:color w:val="auto"/>
                      <w:sz w:val="21"/>
                      <w:szCs w:val="21"/>
                    </w:rPr>
                  </w:pPr>
                  <w:r>
                    <w:rPr>
                      <w:rFonts w:ascii="Times New Roman" w:cs="Times New Roman"/>
                      <w:b/>
                      <w:bCs/>
                      <w:color w:val="auto"/>
                      <w:sz w:val="21"/>
                      <w:szCs w:val="21"/>
                    </w:rPr>
                    <w:t>处置去向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restar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大气</w:t>
                  </w:r>
                </w:p>
                <w:p>
                  <w:pPr>
                    <w:pStyle w:val="36"/>
                    <w:jc w:val="center"/>
                    <w:rPr>
                      <w:rFonts w:ascii="Times New Roman" w:cs="Times New Roman"/>
                      <w:color w:val="auto"/>
                      <w:sz w:val="21"/>
                      <w:szCs w:val="21"/>
                    </w:rPr>
                  </w:pPr>
                  <w:r>
                    <w:rPr>
                      <w:rFonts w:ascii="Times New Roman" w:cs="Times New Roman"/>
                      <w:color w:val="auto"/>
                      <w:sz w:val="21"/>
                      <w:szCs w:val="21"/>
                    </w:rPr>
                    <w:t>污染物</w:t>
                  </w: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颗粒物</w:t>
                  </w:r>
                </w:p>
              </w:tc>
              <w:tc>
                <w:tcPr>
                  <w:tcW w:w="831" w:type="pct"/>
                  <w:vMerge w:val="restar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搅拌粉尘、燃料燃烧废气</w:t>
                  </w:r>
                </w:p>
              </w:tc>
              <w:tc>
                <w:tcPr>
                  <w:tcW w:w="993"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0.164t/a</w:t>
                  </w:r>
                </w:p>
              </w:tc>
              <w:tc>
                <w:tcPr>
                  <w:tcW w:w="1351" w:type="pct"/>
                  <w:vMerge w:val="restart"/>
                  <w:tcBorders>
                    <w:tl2br w:val="nil"/>
                    <w:tr2bl w:val="nil"/>
                  </w:tcBorders>
                  <w:vAlign w:val="center"/>
                </w:tcPr>
                <w:p>
                  <w:pPr>
                    <w:pStyle w:val="36"/>
                    <w:jc w:val="center"/>
                    <w:rPr>
                      <w:rFonts w:ascii="Times New Roman" w:cs="Times New Roman"/>
                      <w:color w:val="auto"/>
                      <w:sz w:val="21"/>
                      <w:szCs w:val="21"/>
                    </w:rPr>
                  </w:pPr>
                  <w:r>
                    <w:rPr>
                      <w:rFonts w:hint="eastAsia" w:ascii="Times New Roman" w:cs="Times New Roman"/>
                      <w:color w:val="auto"/>
                      <w:sz w:val="21"/>
                      <w:szCs w:val="21"/>
                    </w:rPr>
                    <w:t>搅拌楼生产废气采用“重力沉降室+布袋除尘器”处理后于DA001排气筒（15m）排放。导热油炉配备有低氮燃烧器，锅炉烟气经DA002排气筒（8m）排放。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二氧化硫</w:t>
                  </w:r>
                </w:p>
              </w:tc>
              <w:tc>
                <w:tcPr>
                  <w:tcW w:w="831" w:type="pct"/>
                  <w:vMerge w:val="continue"/>
                  <w:tcBorders>
                    <w:tl2br w:val="nil"/>
                    <w:tr2bl w:val="nil"/>
                  </w:tcBorders>
                  <w:vAlign w:val="center"/>
                </w:tcPr>
                <w:p>
                  <w:pPr>
                    <w:pStyle w:val="36"/>
                    <w:jc w:val="center"/>
                    <w:rPr>
                      <w:rFonts w:ascii="Times New Roman" w:cs="Times New Roman"/>
                      <w:color w:val="auto"/>
                      <w:sz w:val="21"/>
                      <w:szCs w:val="21"/>
                    </w:rPr>
                  </w:pPr>
                </w:p>
              </w:tc>
              <w:tc>
                <w:tcPr>
                  <w:tcW w:w="993"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0.05t/a</w:t>
                  </w:r>
                </w:p>
              </w:tc>
              <w:tc>
                <w:tcPr>
                  <w:tcW w:w="1351" w:type="pct"/>
                  <w:vMerge w:val="continue"/>
                  <w:tcBorders>
                    <w:tl2br w:val="nil"/>
                    <w:tr2bl w:val="nil"/>
                  </w:tcBorders>
                  <w:vAlign w:val="center"/>
                </w:tcPr>
                <w:p>
                  <w:pPr>
                    <w:pStyle w:val="36"/>
                    <w:jc w:val="center"/>
                    <w:rPr>
                      <w:rFonts w:ascii="Times New Roman"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氮氧化物</w:t>
                  </w:r>
                </w:p>
              </w:tc>
              <w:tc>
                <w:tcPr>
                  <w:tcW w:w="831" w:type="pct"/>
                  <w:vMerge w:val="continue"/>
                  <w:tcBorders>
                    <w:tl2br w:val="nil"/>
                    <w:tr2bl w:val="nil"/>
                  </w:tcBorders>
                  <w:vAlign w:val="center"/>
                </w:tcPr>
                <w:p>
                  <w:pPr>
                    <w:pStyle w:val="36"/>
                    <w:jc w:val="center"/>
                    <w:rPr>
                      <w:rFonts w:ascii="Times New Roman" w:cs="Times New Roman"/>
                      <w:color w:val="auto"/>
                      <w:sz w:val="21"/>
                      <w:szCs w:val="21"/>
                    </w:rPr>
                  </w:pPr>
                </w:p>
              </w:tc>
              <w:tc>
                <w:tcPr>
                  <w:tcW w:w="993"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1.64t/a</w:t>
                  </w:r>
                </w:p>
              </w:tc>
              <w:tc>
                <w:tcPr>
                  <w:tcW w:w="1351" w:type="pct"/>
                  <w:vMerge w:val="continue"/>
                  <w:tcBorders>
                    <w:tl2br w:val="nil"/>
                    <w:tr2bl w:val="nil"/>
                  </w:tcBorders>
                  <w:vAlign w:val="center"/>
                </w:tcPr>
                <w:p>
                  <w:pPr>
                    <w:pStyle w:val="36"/>
                    <w:jc w:val="center"/>
                    <w:rPr>
                      <w:rFonts w:ascii="Times New Roman"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沥青烟</w:t>
                  </w:r>
                </w:p>
              </w:tc>
              <w:tc>
                <w:tcPr>
                  <w:tcW w:w="831" w:type="pct"/>
                  <w:vMerge w:val="restar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沥青烟气</w:t>
                  </w:r>
                </w:p>
              </w:tc>
              <w:tc>
                <w:tcPr>
                  <w:tcW w:w="993"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0.107t/a</w:t>
                  </w:r>
                </w:p>
              </w:tc>
              <w:tc>
                <w:tcPr>
                  <w:tcW w:w="1351" w:type="pct"/>
                  <w:vMerge w:val="restart"/>
                  <w:tcBorders>
                    <w:tl2br w:val="nil"/>
                    <w:tr2bl w:val="nil"/>
                  </w:tcBorders>
                  <w:vAlign w:val="center"/>
                </w:tcPr>
                <w:p>
                  <w:pPr>
                    <w:pStyle w:val="36"/>
                    <w:jc w:val="center"/>
                    <w:rPr>
                      <w:rFonts w:ascii="Times New Roman" w:cs="Times New Roman"/>
                      <w:color w:val="auto"/>
                      <w:sz w:val="21"/>
                      <w:szCs w:val="21"/>
                    </w:rPr>
                  </w:pPr>
                  <w:r>
                    <w:rPr>
                      <w:rFonts w:hint="eastAsia" w:ascii="Times New Roman" w:cs="Times New Roman"/>
                      <w:color w:val="auto"/>
                      <w:sz w:val="21"/>
                      <w:szCs w:val="21"/>
                    </w:rPr>
                    <w:t>废气收集至“气旋+电捕+活性炭吸附”装置处理后于15</w:t>
                  </w:r>
                  <w:r>
                    <w:rPr>
                      <w:rFonts w:ascii="Times New Roman" w:cs="Times New Roman"/>
                      <w:color w:val="auto"/>
                      <w:sz w:val="21"/>
                      <w:szCs w:val="21"/>
                    </w:rPr>
                    <w:t>.3</w:t>
                  </w:r>
                  <w:r>
                    <w:rPr>
                      <w:rFonts w:hint="eastAsia" w:ascii="Times New Roman" w:cs="Times New Roman"/>
                      <w:color w:val="auto"/>
                      <w:sz w:val="21"/>
                      <w:szCs w:val="21"/>
                    </w:rPr>
                    <w:t>m高排气筒排放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苯并[a]芘</w:t>
                  </w:r>
                </w:p>
              </w:tc>
              <w:tc>
                <w:tcPr>
                  <w:tcW w:w="831" w:type="pct"/>
                  <w:vMerge w:val="continue"/>
                  <w:tcBorders>
                    <w:tl2br w:val="nil"/>
                    <w:tr2bl w:val="nil"/>
                  </w:tcBorders>
                  <w:vAlign w:val="center"/>
                </w:tcPr>
                <w:p>
                  <w:pPr>
                    <w:pStyle w:val="36"/>
                    <w:jc w:val="center"/>
                    <w:rPr>
                      <w:rFonts w:ascii="Times New Roman" w:cs="Times New Roman"/>
                      <w:color w:val="auto"/>
                      <w:sz w:val="21"/>
                      <w:szCs w:val="21"/>
                    </w:rPr>
                  </w:pPr>
                </w:p>
              </w:tc>
              <w:tc>
                <w:tcPr>
                  <w:tcW w:w="993"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1.81×10</w:t>
                  </w:r>
                  <w:r>
                    <w:rPr>
                      <w:rFonts w:ascii="Times New Roman" w:cs="Times New Roman"/>
                      <w:color w:val="auto"/>
                      <w:sz w:val="21"/>
                      <w:szCs w:val="21"/>
                      <w:vertAlign w:val="superscript"/>
                    </w:rPr>
                    <w:t>-6</w:t>
                  </w:r>
                  <w:r>
                    <w:rPr>
                      <w:rFonts w:ascii="Times New Roman" w:cs="Times New Roman"/>
                      <w:color w:val="auto"/>
                      <w:sz w:val="21"/>
                      <w:szCs w:val="21"/>
                    </w:rPr>
                    <w:t>t/a</w:t>
                  </w:r>
                </w:p>
              </w:tc>
              <w:tc>
                <w:tcPr>
                  <w:tcW w:w="1351" w:type="pct"/>
                  <w:vMerge w:val="continue"/>
                  <w:tcBorders>
                    <w:tl2br w:val="nil"/>
                    <w:tr2bl w:val="nil"/>
                  </w:tcBorders>
                  <w:vAlign w:val="center"/>
                </w:tcPr>
                <w:p>
                  <w:pPr>
                    <w:pStyle w:val="36"/>
                    <w:jc w:val="center"/>
                    <w:rPr>
                      <w:rFonts w:ascii="Times New Roman"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restar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水污染物</w:t>
                  </w:r>
                </w:p>
              </w:tc>
              <w:tc>
                <w:tcPr>
                  <w:tcW w:w="1177" w:type="pct"/>
                  <w:tcBorders>
                    <w:tl2br w:val="nil"/>
                    <w:tr2bl w:val="nil"/>
                  </w:tcBorders>
                  <w:vAlign w:val="center"/>
                </w:tcPr>
                <w:p>
                  <w:pPr>
                    <w:pStyle w:val="24"/>
                    <w:adjustRightInd w:val="0"/>
                    <w:snapToGrid w:val="0"/>
                    <w:rPr>
                      <w:rFonts w:cs="Times New Roman"/>
                      <w:b w:val="0"/>
                      <w:szCs w:val="21"/>
                      <w:lang w:val="en-US" w:bidi="ar-SA"/>
                    </w:rPr>
                  </w:pPr>
                  <w:r>
                    <w:rPr>
                      <w:rFonts w:cs="Times New Roman"/>
                      <w:b w:val="0"/>
                      <w:szCs w:val="21"/>
                      <w:lang w:val="en-US" w:bidi="ar-SA"/>
                    </w:rPr>
                    <w:t>生活污水</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职工生活</w:t>
                  </w:r>
                </w:p>
              </w:tc>
              <w:tc>
                <w:tcPr>
                  <w:tcW w:w="99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w:t>
                  </w:r>
                </w:p>
              </w:tc>
              <w:tc>
                <w:tcPr>
                  <w:tcW w:w="1351"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定期清掏肥田，不外排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24"/>
                    <w:adjustRightInd w:val="0"/>
                    <w:snapToGrid w:val="0"/>
                    <w:rPr>
                      <w:rFonts w:cs="Times New Roman"/>
                      <w:b w:val="0"/>
                      <w:szCs w:val="21"/>
                      <w:lang w:val="en-US" w:bidi="ar-SA"/>
                    </w:rPr>
                  </w:pPr>
                  <w:r>
                    <w:rPr>
                      <w:rFonts w:cs="Times New Roman"/>
                      <w:b w:val="0"/>
                      <w:szCs w:val="21"/>
                      <w:lang w:val="en-US" w:bidi="ar-SA"/>
                    </w:rPr>
                    <w:t>车辆冲洗废水</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车辆冲洗</w:t>
                  </w:r>
                </w:p>
              </w:tc>
              <w:tc>
                <w:tcPr>
                  <w:tcW w:w="99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w:t>
                  </w:r>
                </w:p>
              </w:tc>
              <w:tc>
                <w:tcPr>
                  <w:tcW w:w="1351"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经沉淀池处理后回用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restar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固体</w:t>
                  </w:r>
                </w:p>
                <w:p>
                  <w:pPr>
                    <w:pStyle w:val="36"/>
                    <w:jc w:val="center"/>
                    <w:rPr>
                      <w:rFonts w:ascii="Times New Roman" w:cs="Times New Roman"/>
                      <w:color w:val="auto"/>
                      <w:sz w:val="21"/>
                      <w:szCs w:val="21"/>
                    </w:rPr>
                  </w:pPr>
                  <w:r>
                    <w:rPr>
                      <w:rFonts w:ascii="Times New Roman" w:cs="Times New Roman"/>
                      <w:color w:val="auto"/>
                      <w:sz w:val="21"/>
                      <w:szCs w:val="21"/>
                    </w:rPr>
                    <w:t>废弃物</w:t>
                  </w: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生活垃圾</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职工生活</w:t>
                  </w:r>
                </w:p>
              </w:tc>
              <w:tc>
                <w:tcPr>
                  <w:tcW w:w="99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1.6t/a</w:t>
                  </w:r>
                </w:p>
              </w:tc>
              <w:tc>
                <w:tcPr>
                  <w:tcW w:w="1351"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分类收集，由环卫部门外运处置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废石料</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筛分工序</w:t>
                  </w:r>
                </w:p>
              </w:tc>
              <w:tc>
                <w:tcPr>
                  <w:tcW w:w="99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120t/a</w:t>
                  </w:r>
                </w:p>
              </w:tc>
              <w:tc>
                <w:tcPr>
                  <w:tcW w:w="1351"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经收集后全部回用于生产工序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废沥青</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洒落</w:t>
                  </w:r>
                </w:p>
              </w:tc>
              <w:tc>
                <w:tcPr>
                  <w:tcW w:w="99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0.6t/a</w:t>
                  </w:r>
                </w:p>
              </w:tc>
              <w:tc>
                <w:tcPr>
                  <w:tcW w:w="1351" w:type="pct"/>
                  <w:vMerge w:val="continue"/>
                  <w:tcBorders>
                    <w:tl2br w:val="nil"/>
                    <w:tr2bl w:val="nil"/>
                  </w:tcBorders>
                  <w:vAlign w:val="center"/>
                </w:tcPr>
                <w:p>
                  <w:pPr>
                    <w:spacing w:line="240" w:lineRule="auto"/>
                    <w:jc w:val="center"/>
                    <w:rPr>
                      <w:rFonts w:eastAsia="宋体" w:cs="Times New Roman"/>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除尘器收集的粉尘</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除尘器</w:t>
                  </w:r>
                </w:p>
              </w:tc>
              <w:tc>
                <w:tcPr>
                  <w:tcW w:w="993" w:type="pc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95t/a</w:t>
                  </w:r>
                </w:p>
              </w:tc>
              <w:tc>
                <w:tcPr>
                  <w:tcW w:w="1351" w:type="pct"/>
                  <w:vMerge w:val="continue"/>
                  <w:tcBorders>
                    <w:tl2br w:val="nil"/>
                    <w:tr2bl w:val="nil"/>
                  </w:tcBorders>
                  <w:vAlign w:val="center"/>
                </w:tcPr>
                <w:p>
                  <w:pPr>
                    <w:spacing w:line="240" w:lineRule="auto"/>
                    <w:jc w:val="center"/>
                    <w:rPr>
                      <w:rFonts w:eastAsia="宋体" w:cs="Times New Roman"/>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沉淀池泥沙</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沉淀池</w:t>
                  </w:r>
                </w:p>
              </w:tc>
              <w:tc>
                <w:tcPr>
                  <w:tcW w:w="993" w:type="pct"/>
                  <w:tcBorders>
                    <w:tl2br w:val="nil"/>
                    <w:tr2bl w:val="nil"/>
                  </w:tcBorders>
                  <w:vAlign w:val="center"/>
                </w:tcPr>
                <w:p>
                  <w:pPr>
                    <w:spacing w:line="240" w:lineRule="auto"/>
                    <w:jc w:val="center"/>
                    <w:rPr>
                      <w:rFonts w:cs="Times New Roman"/>
                      <w:sz w:val="21"/>
                      <w:szCs w:val="21"/>
                    </w:rPr>
                  </w:pPr>
                  <w:r>
                    <w:rPr>
                      <w:rFonts w:cs="Times New Roman"/>
                      <w:sz w:val="21"/>
                      <w:szCs w:val="21"/>
                    </w:rPr>
                    <w:t>1.2t/a</w:t>
                  </w:r>
                </w:p>
              </w:tc>
              <w:tc>
                <w:tcPr>
                  <w:tcW w:w="1351" w:type="pct"/>
                  <w:vMerge w:val="continue"/>
                  <w:tcBorders>
                    <w:tl2br w:val="nil"/>
                    <w:tr2bl w:val="nil"/>
                  </w:tcBorders>
                  <w:vAlign w:val="center"/>
                </w:tcPr>
                <w:p>
                  <w:pPr>
                    <w:spacing w:line="240" w:lineRule="auto"/>
                    <w:jc w:val="center"/>
                    <w:rPr>
                      <w:rFonts w:eastAsia="宋体" w:cs="Times New Roman"/>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废活性炭</w:t>
                  </w:r>
                </w:p>
              </w:tc>
              <w:tc>
                <w:tcPr>
                  <w:tcW w:w="831"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废气治理</w:t>
                  </w:r>
                </w:p>
              </w:tc>
              <w:tc>
                <w:tcPr>
                  <w:tcW w:w="993" w:type="pct"/>
                  <w:tcBorders>
                    <w:tl2br w:val="nil"/>
                    <w:tr2bl w:val="nil"/>
                  </w:tcBorders>
                  <w:vAlign w:val="center"/>
                </w:tcPr>
                <w:p>
                  <w:pPr>
                    <w:spacing w:line="240" w:lineRule="auto"/>
                    <w:jc w:val="center"/>
                    <w:rPr>
                      <w:rFonts w:cs="Times New Roman"/>
                      <w:sz w:val="21"/>
                      <w:szCs w:val="21"/>
                    </w:rPr>
                  </w:pPr>
                  <w:r>
                    <w:rPr>
                      <w:rFonts w:cs="Times New Roman"/>
                      <w:sz w:val="21"/>
                      <w:szCs w:val="21"/>
                    </w:rPr>
                    <w:t>0.9t/a</w:t>
                  </w:r>
                </w:p>
              </w:tc>
              <w:tc>
                <w:tcPr>
                  <w:tcW w:w="1351" w:type="pct"/>
                  <w:vMerge w:val="restart"/>
                  <w:tcBorders>
                    <w:tl2br w:val="nil"/>
                    <w:tr2bl w:val="nil"/>
                  </w:tcBorders>
                  <w:vAlign w:val="center"/>
                </w:tcPr>
                <w:p>
                  <w:pPr>
                    <w:spacing w:line="240" w:lineRule="auto"/>
                    <w:jc w:val="center"/>
                    <w:rPr>
                      <w:rFonts w:eastAsia="宋体" w:cs="Times New Roman"/>
                      <w:sz w:val="21"/>
                      <w:szCs w:val="21"/>
                    </w:rPr>
                  </w:pPr>
                  <w:r>
                    <w:rPr>
                      <w:rFonts w:eastAsia="宋体" w:cs="Times New Roman"/>
                      <w:sz w:val="21"/>
                      <w:szCs w:val="21"/>
                    </w:rPr>
                    <w:t>在危险废物贮存库暂存，委托陕西明瑞再生资源有限公司清运处置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废机油</w:t>
                  </w:r>
                </w:p>
              </w:tc>
              <w:tc>
                <w:tcPr>
                  <w:tcW w:w="831" w:type="pct"/>
                  <w:vMerge w:val="restar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设备保养</w:t>
                  </w:r>
                </w:p>
              </w:tc>
              <w:tc>
                <w:tcPr>
                  <w:tcW w:w="993" w:type="pct"/>
                  <w:tcBorders>
                    <w:tl2br w:val="nil"/>
                    <w:tr2bl w:val="nil"/>
                  </w:tcBorders>
                  <w:vAlign w:val="center"/>
                </w:tcPr>
                <w:p>
                  <w:pPr>
                    <w:spacing w:line="240" w:lineRule="auto"/>
                    <w:jc w:val="center"/>
                    <w:rPr>
                      <w:rFonts w:cs="Times New Roman"/>
                      <w:sz w:val="21"/>
                      <w:szCs w:val="21"/>
                    </w:rPr>
                  </w:pPr>
                  <w:r>
                    <w:rPr>
                      <w:rFonts w:cs="Times New Roman"/>
                      <w:sz w:val="21"/>
                      <w:szCs w:val="21"/>
                    </w:rPr>
                    <w:t>0.8t/a</w:t>
                  </w:r>
                </w:p>
              </w:tc>
              <w:tc>
                <w:tcPr>
                  <w:tcW w:w="1351" w:type="pct"/>
                  <w:vMerge w:val="continue"/>
                  <w:tcBorders>
                    <w:tl2br w:val="nil"/>
                    <w:tr2bl w:val="nil"/>
                  </w:tcBorders>
                  <w:vAlign w:val="center"/>
                </w:tcPr>
                <w:p>
                  <w:pPr>
                    <w:spacing w:line="240" w:lineRule="auto"/>
                    <w:jc w:val="center"/>
                    <w:rPr>
                      <w:rFonts w:eastAsia="宋体" w:cs="Times New Roman"/>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7" w:type="pct"/>
                  <w:vMerge w:val="continue"/>
                  <w:tcBorders>
                    <w:tl2br w:val="nil"/>
                    <w:tr2bl w:val="nil"/>
                  </w:tcBorders>
                  <w:vAlign w:val="center"/>
                </w:tcPr>
                <w:p>
                  <w:pPr>
                    <w:pStyle w:val="36"/>
                    <w:jc w:val="center"/>
                    <w:rPr>
                      <w:rFonts w:ascii="Times New Roman" w:cs="Times New Roman"/>
                      <w:color w:val="auto"/>
                      <w:sz w:val="21"/>
                      <w:szCs w:val="21"/>
                    </w:rPr>
                  </w:pPr>
                </w:p>
              </w:tc>
              <w:tc>
                <w:tcPr>
                  <w:tcW w:w="1177" w:type="pct"/>
                  <w:tcBorders>
                    <w:tl2br w:val="nil"/>
                    <w:tr2bl w:val="nil"/>
                  </w:tcBorders>
                  <w:vAlign w:val="center"/>
                </w:tcPr>
                <w:p>
                  <w:pPr>
                    <w:pStyle w:val="36"/>
                    <w:jc w:val="center"/>
                    <w:rPr>
                      <w:rFonts w:ascii="Times New Roman" w:cs="Times New Roman"/>
                      <w:color w:val="auto"/>
                      <w:sz w:val="21"/>
                      <w:szCs w:val="21"/>
                    </w:rPr>
                  </w:pPr>
                  <w:r>
                    <w:rPr>
                      <w:rFonts w:ascii="Times New Roman" w:cs="Times New Roman"/>
                      <w:color w:val="auto"/>
                      <w:sz w:val="21"/>
                      <w:szCs w:val="21"/>
                    </w:rPr>
                    <w:t>废油桶</w:t>
                  </w:r>
                </w:p>
              </w:tc>
              <w:tc>
                <w:tcPr>
                  <w:tcW w:w="831" w:type="pct"/>
                  <w:vMerge w:val="continue"/>
                  <w:tcBorders>
                    <w:tl2br w:val="nil"/>
                    <w:tr2bl w:val="nil"/>
                  </w:tcBorders>
                  <w:vAlign w:val="center"/>
                </w:tcPr>
                <w:p>
                  <w:pPr>
                    <w:pStyle w:val="36"/>
                    <w:jc w:val="center"/>
                    <w:rPr>
                      <w:rFonts w:ascii="Times New Roman" w:cs="Times New Roman"/>
                      <w:color w:val="auto"/>
                      <w:sz w:val="21"/>
                      <w:szCs w:val="21"/>
                    </w:rPr>
                  </w:pPr>
                </w:p>
              </w:tc>
              <w:tc>
                <w:tcPr>
                  <w:tcW w:w="993" w:type="pct"/>
                  <w:tcBorders>
                    <w:tl2br w:val="nil"/>
                    <w:tr2bl w:val="nil"/>
                  </w:tcBorders>
                  <w:vAlign w:val="center"/>
                </w:tcPr>
                <w:p>
                  <w:pPr>
                    <w:spacing w:line="240" w:lineRule="auto"/>
                    <w:jc w:val="center"/>
                    <w:rPr>
                      <w:rFonts w:cs="Times New Roman"/>
                      <w:sz w:val="21"/>
                      <w:szCs w:val="21"/>
                    </w:rPr>
                  </w:pPr>
                  <w:r>
                    <w:rPr>
                      <w:rFonts w:cs="Times New Roman"/>
                      <w:sz w:val="21"/>
                      <w:szCs w:val="21"/>
                    </w:rPr>
                    <w:t>0.04 t/a</w:t>
                  </w:r>
                </w:p>
              </w:tc>
              <w:tc>
                <w:tcPr>
                  <w:tcW w:w="1351" w:type="pct"/>
                  <w:vMerge w:val="continue"/>
                  <w:tcBorders>
                    <w:tl2br w:val="nil"/>
                    <w:tr2bl w:val="nil"/>
                  </w:tcBorders>
                  <w:vAlign w:val="center"/>
                </w:tcPr>
                <w:p>
                  <w:pPr>
                    <w:spacing w:line="240" w:lineRule="auto"/>
                    <w:jc w:val="center"/>
                    <w:rPr>
                      <w:rFonts w:eastAsia="宋体" w:cs="Times New Roman"/>
                      <w:sz w:val="21"/>
                      <w:szCs w:val="21"/>
                    </w:rPr>
                  </w:pPr>
                </w:p>
              </w:tc>
            </w:tr>
          </w:tbl>
          <w:p>
            <w:pPr>
              <w:rPr>
                <w:rFonts w:eastAsia="宋体" w:cs="Times New Roman"/>
                <w:b/>
                <w:bCs/>
                <w:szCs w:val="24"/>
              </w:rPr>
            </w:pPr>
            <w:r>
              <w:rPr>
                <w:rFonts w:eastAsia="宋体" w:cs="Times New Roman"/>
                <w:b/>
                <w:bCs/>
                <w:szCs w:val="24"/>
              </w:rPr>
              <w:t>（四）现有工程绩效指标符合性分析</w:t>
            </w:r>
          </w:p>
          <w:p>
            <w:pPr>
              <w:pStyle w:val="3"/>
              <w:ind w:firstLine="480" w:firstLineChars="200"/>
              <w:rPr>
                <w:rFonts w:ascii="Times New Roman" w:hAnsi="Times New Roman" w:eastAsia="宋体" w:cs="Times New Roman"/>
                <w:b w:val="0"/>
                <w:bCs w:val="0"/>
                <w:szCs w:val="24"/>
              </w:rPr>
            </w:pPr>
            <w:r>
              <w:rPr>
                <w:rFonts w:ascii="Times New Roman" w:hAnsi="Times New Roman" w:eastAsia="宋体" w:cs="Times New Roman"/>
                <w:b w:val="0"/>
                <w:bCs w:val="0"/>
                <w:szCs w:val="24"/>
              </w:rPr>
              <w:t>根据</w:t>
            </w:r>
            <w:r>
              <w:rPr>
                <w:rFonts w:ascii="Times New Roman" w:hAnsi="Times New Roman" w:eastAsia="宋体" w:cs="Times New Roman"/>
                <w:b w:val="0"/>
                <w:bCs w:val="0"/>
                <w:szCs w:val="24"/>
                <w:lang w:val="zh-CN"/>
              </w:rPr>
              <w:t>《重污染天气重点行业应急减排措施制定技术指南（2020年修订版）》，本项目现有工程行业类别为其他非金属制品制造，不在其所列的39个重点行业范围之内</w:t>
            </w:r>
            <w:r>
              <w:rPr>
                <w:rFonts w:ascii="Times New Roman" w:hAnsi="Times New Roman" w:eastAsia="宋体" w:cs="Times New Roman"/>
                <w:b w:val="0"/>
                <w:bCs w:val="0"/>
                <w:szCs w:val="24"/>
              </w:rPr>
              <w:t>。故不对现有工程开展绩效指标符合性分析</w:t>
            </w:r>
            <w:r>
              <w:rPr>
                <w:rFonts w:hint="eastAsia" w:ascii="Times New Roman" w:hAnsi="Times New Roman" w:eastAsia="宋体" w:cs="Times New Roman"/>
                <w:b w:val="0"/>
                <w:bCs w:val="0"/>
                <w:szCs w:val="24"/>
              </w:rPr>
              <w:t>。</w:t>
            </w:r>
          </w:p>
          <w:p>
            <w:pPr>
              <w:pStyle w:val="36"/>
              <w:spacing w:line="360" w:lineRule="auto"/>
              <w:rPr>
                <w:rFonts w:ascii="Times New Roman" w:cs="Times New Roman"/>
                <w:b/>
                <w:bCs/>
                <w:color w:val="auto"/>
                <w:kern w:val="2"/>
              </w:rPr>
            </w:pPr>
            <w:r>
              <w:rPr>
                <w:rFonts w:hint="eastAsia" w:ascii="Times New Roman" w:cs="Times New Roman"/>
                <w:b/>
                <w:bCs/>
                <w:color w:val="auto"/>
                <w:kern w:val="2"/>
              </w:rPr>
              <w:t>三、现有工程环境管理执行情况</w:t>
            </w:r>
          </w:p>
          <w:p>
            <w:pPr>
              <w:ind w:firstLine="480" w:firstLineChars="200"/>
              <w:rPr>
                <w:szCs w:val="21"/>
              </w:rPr>
            </w:pPr>
            <w:r>
              <w:rPr>
                <w:rFonts w:hint="eastAsia"/>
                <w:szCs w:val="21"/>
              </w:rPr>
              <w:t>（1）环境管理制度</w:t>
            </w:r>
          </w:p>
          <w:p>
            <w:pPr>
              <w:ind w:firstLine="480" w:firstLineChars="200"/>
              <w:rPr>
                <w:szCs w:val="21"/>
              </w:rPr>
            </w:pPr>
            <w:r>
              <w:rPr>
                <w:rFonts w:hint="eastAsia"/>
                <w:szCs w:val="21"/>
              </w:rPr>
              <w:t>建设单位建立了由公司总经理为第一责任人，项目负责人任组员的环保领导小组，全面负责该公司环境保护工作。该公司制定有《中航电测仪器（西安）有限公司环境保护管理制度》，明确了各级环保机构的环境管理职责、各相关人员的环境管理要求，建立了完善的环境管理及奖惩制度，形成了权责清晰的环境保护管理提体系，用以规范环境保护工作流程。</w:t>
            </w:r>
          </w:p>
          <w:p>
            <w:pPr>
              <w:ind w:firstLine="480" w:firstLineChars="200"/>
              <w:rPr>
                <w:szCs w:val="21"/>
              </w:rPr>
            </w:pPr>
            <w:r>
              <w:rPr>
                <w:rFonts w:hint="eastAsia"/>
                <w:szCs w:val="21"/>
              </w:rPr>
              <w:t>（2）环保设施建设、运行、维护情况</w:t>
            </w:r>
          </w:p>
          <w:p>
            <w:pPr>
              <w:ind w:firstLine="480" w:firstLineChars="200"/>
              <w:rPr>
                <w:szCs w:val="21"/>
              </w:rPr>
            </w:pPr>
            <w:r>
              <w:rPr>
                <w:rFonts w:hint="eastAsia"/>
                <w:szCs w:val="21"/>
              </w:rPr>
              <w:t>现有工程废气、废水、噪声及固体废物污染防治措施均运行正常，设备的日常维护、维修均由专人负责；环境管理制度的内容规范、合理且完善；日常运营维护记录、危险废物管理台账及转移联单等日常记录较为完备。</w:t>
            </w:r>
          </w:p>
          <w:p>
            <w:pPr>
              <w:ind w:firstLine="480" w:firstLineChars="200"/>
              <w:rPr>
                <w:szCs w:val="21"/>
              </w:rPr>
            </w:pPr>
            <w:r>
              <w:rPr>
                <w:rFonts w:hint="eastAsia"/>
                <w:szCs w:val="21"/>
              </w:rPr>
              <w:t>（3）监测手段及人员配置</w:t>
            </w:r>
          </w:p>
          <w:p>
            <w:pPr>
              <w:ind w:firstLine="480" w:firstLineChars="200"/>
              <w:rPr>
                <w:szCs w:val="21"/>
              </w:rPr>
            </w:pPr>
            <w:r>
              <w:rPr>
                <w:rFonts w:hint="eastAsia"/>
                <w:szCs w:val="21"/>
              </w:rPr>
              <w:t>建设单位定期委托有资质的监测单位开展例行监测。并安排有专人负责监测报告归档，监测数据统计等工作。现有自行监测计划如下：</w:t>
            </w:r>
          </w:p>
          <w:p>
            <w:pPr>
              <w:adjustRightInd w:val="0"/>
              <w:snapToGrid w:val="0"/>
              <w:spacing w:line="240" w:lineRule="auto"/>
              <w:jc w:val="center"/>
              <w:rPr>
                <w:rFonts w:eastAsia="宋体" w:cs="Times New Roman"/>
                <w:b/>
                <w:sz w:val="21"/>
                <w:szCs w:val="21"/>
              </w:rPr>
            </w:pPr>
            <w:r>
              <w:rPr>
                <w:rFonts w:hint="eastAsia" w:eastAsia="宋体" w:cs="Times New Roman"/>
                <w:b/>
                <w:sz w:val="21"/>
                <w:szCs w:val="21"/>
              </w:rPr>
              <w:t>表2</w:t>
            </w:r>
            <w:r>
              <w:rPr>
                <w:rFonts w:eastAsia="宋体" w:cs="Times New Roman"/>
                <w:b/>
                <w:sz w:val="21"/>
                <w:szCs w:val="21"/>
              </w:rPr>
              <w:t xml:space="preserve">-16  </w:t>
            </w:r>
            <w:r>
              <w:rPr>
                <w:rFonts w:hint="eastAsia" w:eastAsia="宋体" w:cs="Times New Roman"/>
                <w:b/>
                <w:sz w:val="21"/>
                <w:szCs w:val="21"/>
              </w:rPr>
              <w:t>现有工程自行监测方案</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2552"/>
              <w:gridCol w:w="1773"/>
              <w:gridCol w:w="1760"/>
              <w:gridCol w:w="1940"/>
              <w:gridCol w:w="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Align w:val="center"/>
                </w:tcPr>
                <w:p>
                  <w:pPr>
                    <w:pStyle w:val="23"/>
                    <w:rPr>
                      <w:color w:val="auto"/>
                    </w:rPr>
                  </w:pPr>
                  <w:r>
                    <w:rPr>
                      <w:color w:val="auto"/>
                    </w:rPr>
                    <w:t>排放方式</w:t>
                  </w:r>
                </w:p>
              </w:tc>
              <w:tc>
                <w:tcPr>
                  <w:tcW w:w="1375" w:type="pct"/>
                  <w:vAlign w:val="center"/>
                </w:tcPr>
                <w:p>
                  <w:pPr>
                    <w:pStyle w:val="23"/>
                    <w:rPr>
                      <w:color w:val="auto"/>
                    </w:rPr>
                  </w:pPr>
                  <w:r>
                    <w:rPr>
                      <w:color w:val="auto"/>
                    </w:rPr>
                    <w:t>监测点位</w:t>
                  </w:r>
                </w:p>
              </w:tc>
              <w:tc>
                <w:tcPr>
                  <w:tcW w:w="955" w:type="pct"/>
                  <w:vAlign w:val="center"/>
                </w:tcPr>
                <w:p>
                  <w:pPr>
                    <w:pStyle w:val="23"/>
                    <w:rPr>
                      <w:color w:val="auto"/>
                    </w:rPr>
                  </w:pPr>
                  <w:r>
                    <w:rPr>
                      <w:color w:val="auto"/>
                    </w:rPr>
                    <w:t>监测项目</w:t>
                  </w:r>
                </w:p>
              </w:tc>
              <w:tc>
                <w:tcPr>
                  <w:tcW w:w="948" w:type="pct"/>
                  <w:vAlign w:val="center"/>
                </w:tcPr>
                <w:p>
                  <w:pPr>
                    <w:pStyle w:val="23"/>
                    <w:rPr>
                      <w:color w:val="auto"/>
                    </w:rPr>
                  </w:pPr>
                  <w:r>
                    <w:rPr>
                      <w:rFonts w:hint="eastAsia"/>
                      <w:color w:val="auto"/>
                    </w:rPr>
                    <w:t>监测频次</w:t>
                  </w:r>
                </w:p>
              </w:tc>
              <w:tc>
                <w:tcPr>
                  <w:tcW w:w="1050" w:type="pct"/>
                  <w:gridSpan w:val="2"/>
                  <w:vAlign w:val="center"/>
                </w:tcPr>
                <w:p>
                  <w:pPr>
                    <w:pStyle w:val="23"/>
                    <w:rPr>
                      <w:color w:val="auto"/>
                    </w:rPr>
                  </w:pPr>
                  <w:r>
                    <w:rPr>
                      <w:rFonts w:hint="eastAsia"/>
                      <w:color w:val="auto"/>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restart"/>
                  <w:vAlign w:val="center"/>
                </w:tcPr>
                <w:p>
                  <w:pPr>
                    <w:pStyle w:val="23"/>
                    <w:rPr>
                      <w:color w:val="auto"/>
                    </w:rPr>
                  </w:pPr>
                  <w:r>
                    <w:rPr>
                      <w:rFonts w:hint="eastAsia"/>
                      <w:color w:val="auto"/>
                    </w:rPr>
                    <w:t>有组织</w:t>
                  </w:r>
                </w:p>
              </w:tc>
              <w:tc>
                <w:tcPr>
                  <w:tcW w:w="1375" w:type="pct"/>
                  <w:vMerge w:val="restart"/>
                  <w:vAlign w:val="center"/>
                </w:tcPr>
                <w:p>
                  <w:pPr>
                    <w:pStyle w:val="23"/>
                    <w:rPr>
                      <w:color w:val="auto"/>
                    </w:rPr>
                  </w:pPr>
                  <w:r>
                    <w:rPr>
                      <w:rFonts w:hint="eastAsia"/>
                      <w:color w:val="auto"/>
                    </w:rPr>
                    <w:t>搅拌楼废气排放口</w:t>
                  </w:r>
                </w:p>
                <w:p>
                  <w:pPr>
                    <w:pStyle w:val="23"/>
                    <w:rPr>
                      <w:color w:val="auto"/>
                    </w:rPr>
                  </w:pPr>
                  <w:r>
                    <w:rPr>
                      <w:color w:val="auto"/>
                    </w:rPr>
                    <w:t>(DA001)</w:t>
                  </w:r>
                </w:p>
              </w:tc>
              <w:tc>
                <w:tcPr>
                  <w:tcW w:w="955" w:type="pct"/>
                  <w:vAlign w:val="center"/>
                </w:tcPr>
                <w:p>
                  <w:pPr>
                    <w:pStyle w:val="23"/>
                    <w:rPr>
                      <w:color w:val="auto"/>
                    </w:rPr>
                  </w:pPr>
                  <w:r>
                    <w:rPr>
                      <w:rFonts w:hint="eastAsia"/>
                      <w:color w:val="auto"/>
                    </w:rPr>
                    <w:t>氮氧化物</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1次/半年</w:t>
                  </w:r>
                </w:p>
              </w:tc>
              <w:tc>
                <w:tcPr>
                  <w:tcW w:w="1050" w:type="pct"/>
                  <w:gridSpan w:val="2"/>
                  <w:vMerge w:val="restart"/>
                  <w:vAlign w:val="center"/>
                </w:tcPr>
                <w:p>
                  <w:pPr>
                    <w:adjustRightInd w:val="0"/>
                    <w:snapToGrid w:val="0"/>
                    <w:spacing w:line="240" w:lineRule="auto"/>
                    <w:jc w:val="center"/>
                    <w:rPr>
                      <w:rFonts w:cs="Times New Roman"/>
                      <w:sz w:val="21"/>
                      <w:szCs w:val="21"/>
                    </w:rPr>
                  </w:pPr>
                  <w:r>
                    <w:rPr>
                      <w:rFonts w:hint="eastAsia" w:cs="Times New Roman"/>
                      <w:sz w:val="21"/>
                      <w:szCs w:val="21"/>
                    </w:rPr>
                    <w:t>不同燃料使用期间分别监测1次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二氧化硫</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1次/半年</w:t>
                  </w:r>
                </w:p>
              </w:tc>
              <w:tc>
                <w:tcPr>
                  <w:tcW w:w="1050" w:type="pct"/>
                  <w:gridSpan w:val="2"/>
                  <w:vMerge w:val="continue"/>
                  <w:vAlign w:val="center"/>
                </w:tcPr>
                <w:p>
                  <w:pPr>
                    <w:adjustRightInd w:val="0"/>
                    <w:snapToGrid w:val="0"/>
                    <w:jc w:val="center"/>
                    <w:rPr>
                      <w:rFonts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颗粒物</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1次/半年</w:t>
                  </w:r>
                </w:p>
              </w:tc>
              <w:tc>
                <w:tcPr>
                  <w:tcW w:w="1050" w:type="pct"/>
                  <w:gridSpan w:val="2"/>
                  <w:vMerge w:val="continue"/>
                  <w:vAlign w:val="center"/>
                </w:tcPr>
                <w:p>
                  <w:pPr>
                    <w:adjustRightInd w:val="0"/>
                    <w:snapToGrid w:val="0"/>
                    <w:jc w:val="center"/>
                    <w:rPr>
                      <w:rFonts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restart"/>
                  <w:vAlign w:val="center"/>
                </w:tcPr>
                <w:p>
                  <w:pPr>
                    <w:pStyle w:val="23"/>
                    <w:rPr>
                      <w:color w:val="auto"/>
                    </w:rPr>
                  </w:pPr>
                  <w:r>
                    <w:rPr>
                      <w:rFonts w:hint="eastAsia"/>
                      <w:color w:val="auto"/>
                    </w:rPr>
                    <w:t>有组织</w:t>
                  </w:r>
                </w:p>
              </w:tc>
              <w:tc>
                <w:tcPr>
                  <w:tcW w:w="1375" w:type="pct"/>
                  <w:vMerge w:val="restart"/>
                  <w:vAlign w:val="center"/>
                </w:tcPr>
                <w:p>
                  <w:pPr>
                    <w:pStyle w:val="23"/>
                    <w:rPr>
                      <w:color w:val="auto"/>
                    </w:rPr>
                  </w:pPr>
                  <w:r>
                    <w:rPr>
                      <w:rFonts w:hint="eastAsia"/>
                      <w:color w:val="auto"/>
                    </w:rPr>
                    <w:t>锅炉废气排放口</w:t>
                  </w:r>
                </w:p>
                <w:p>
                  <w:pPr>
                    <w:pStyle w:val="23"/>
                    <w:rPr>
                      <w:color w:val="auto"/>
                    </w:rPr>
                  </w:pPr>
                  <w:r>
                    <w:rPr>
                      <w:rFonts w:hint="eastAsia"/>
                      <w:color w:val="auto"/>
                    </w:rPr>
                    <w:t>（DA002）</w:t>
                  </w:r>
                </w:p>
              </w:tc>
              <w:tc>
                <w:tcPr>
                  <w:tcW w:w="955" w:type="pct"/>
                  <w:vAlign w:val="center"/>
                </w:tcPr>
                <w:p>
                  <w:pPr>
                    <w:pStyle w:val="23"/>
                    <w:rPr>
                      <w:color w:val="auto"/>
                    </w:rPr>
                  </w:pPr>
                  <w:r>
                    <w:rPr>
                      <w:rFonts w:hint="eastAsia"/>
                      <w:color w:val="auto"/>
                    </w:rPr>
                    <w:t>氮氧化物</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1次/月</w:t>
                  </w:r>
                </w:p>
              </w:tc>
              <w:tc>
                <w:tcPr>
                  <w:tcW w:w="1050" w:type="pct"/>
                  <w:gridSpan w:val="2"/>
                  <w:vMerge w:val="restart"/>
                  <w:vAlign w:val="center"/>
                </w:tcPr>
                <w:p>
                  <w:pPr>
                    <w:adjustRightInd w:val="0"/>
                    <w:snapToGrid w:val="0"/>
                    <w:spacing w:line="240" w:lineRule="auto"/>
                    <w:jc w:val="center"/>
                    <w:rPr>
                      <w:rFonts w:cs="Times New Roman"/>
                      <w:sz w:val="21"/>
                      <w:szCs w:val="21"/>
                    </w:rPr>
                  </w:pPr>
                  <w:r>
                    <w:rPr>
                      <w:rFonts w:hint="eastAsia" w:cs="Times New Roman"/>
                      <w:sz w:val="21"/>
                      <w:szCs w:val="21"/>
                    </w:rPr>
                    <w:t>10月下旬至次年4月底（燃料为柴油）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二氧化硫</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1次/月</w:t>
                  </w:r>
                </w:p>
              </w:tc>
              <w:tc>
                <w:tcPr>
                  <w:tcW w:w="1050" w:type="pct"/>
                  <w:gridSpan w:val="2"/>
                  <w:vMerge w:val="continue"/>
                  <w:vAlign w:val="center"/>
                </w:tcPr>
                <w:p>
                  <w:pPr>
                    <w:adjustRightInd w:val="0"/>
                    <w:snapToGrid w:val="0"/>
                    <w:spacing w:line="240" w:lineRule="auto"/>
                    <w:jc w:val="center"/>
                    <w:rPr>
                      <w:rFonts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颗粒物</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1次/月</w:t>
                  </w:r>
                </w:p>
              </w:tc>
              <w:tc>
                <w:tcPr>
                  <w:tcW w:w="1050" w:type="pct"/>
                  <w:gridSpan w:val="2"/>
                  <w:vMerge w:val="continue"/>
                  <w:vAlign w:val="center"/>
                </w:tcPr>
                <w:p>
                  <w:pPr>
                    <w:adjustRightInd w:val="0"/>
                    <w:snapToGrid w:val="0"/>
                    <w:spacing w:line="240" w:lineRule="auto"/>
                    <w:jc w:val="center"/>
                    <w:rPr>
                      <w:rFonts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格林曼黑度（级）</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1次/月</w:t>
                  </w:r>
                </w:p>
              </w:tc>
              <w:tc>
                <w:tcPr>
                  <w:tcW w:w="1050" w:type="pct"/>
                  <w:gridSpan w:val="2"/>
                  <w:vMerge w:val="continue"/>
                  <w:vAlign w:val="center"/>
                </w:tcPr>
                <w:p>
                  <w:pPr>
                    <w:pStyle w:val="23"/>
                    <w:rPr>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氮氧化物</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1次/月</w:t>
                  </w:r>
                </w:p>
              </w:tc>
              <w:tc>
                <w:tcPr>
                  <w:tcW w:w="1050" w:type="pct"/>
                  <w:gridSpan w:val="2"/>
                  <w:vMerge w:val="restart"/>
                  <w:vAlign w:val="center"/>
                </w:tcPr>
                <w:p>
                  <w:pPr>
                    <w:pStyle w:val="23"/>
                    <w:rPr>
                      <w:color w:val="auto"/>
                    </w:rPr>
                  </w:pPr>
                  <w:r>
                    <w:rPr>
                      <w:rFonts w:hint="eastAsia"/>
                      <w:color w:val="auto"/>
                    </w:rPr>
                    <w:t>5月初至10月下旬（燃料为天然气）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二氧化硫</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50" w:type="pct"/>
                  <w:gridSpan w:val="2"/>
                  <w:vMerge w:val="continue"/>
                  <w:vAlign w:val="center"/>
                </w:tcPr>
                <w:p>
                  <w:pPr>
                    <w:pStyle w:val="23"/>
                    <w:rPr>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颗粒物</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50" w:type="pct"/>
                  <w:gridSpan w:val="2"/>
                  <w:vMerge w:val="continue"/>
                  <w:vAlign w:val="center"/>
                </w:tcPr>
                <w:p>
                  <w:pPr>
                    <w:pStyle w:val="23"/>
                    <w:rPr>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格林曼黑度（级）</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50" w:type="pct"/>
                  <w:gridSpan w:val="2"/>
                  <w:vMerge w:val="continue"/>
                  <w:vAlign w:val="center"/>
                </w:tcPr>
                <w:p>
                  <w:pPr>
                    <w:pStyle w:val="23"/>
                    <w:rPr>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restart"/>
                  <w:vAlign w:val="center"/>
                </w:tcPr>
                <w:p>
                  <w:pPr>
                    <w:pStyle w:val="23"/>
                    <w:rPr>
                      <w:color w:val="auto"/>
                    </w:rPr>
                  </w:pPr>
                  <w:r>
                    <w:rPr>
                      <w:rFonts w:hint="eastAsia"/>
                      <w:color w:val="auto"/>
                    </w:rPr>
                    <w:t>有组织</w:t>
                  </w:r>
                </w:p>
              </w:tc>
              <w:tc>
                <w:tcPr>
                  <w:tcW w:w="1375" w:type="pct"/>
                  <w:vMerge w:val="restart"/>
                  <w:vAlign w:val="center"/>
                </w:tcPr>
                <w:p>
                  <w:pPr>
                    <w:pStyle w:val="23"/>
                    <w:rPr>
                      <w:color w:val="auto"/>
                    </w:rPr>
                  </w:pPr>
                  <w:r>
                    <w:rPr>
                      <w:rFonts w:hint="eastAsia"/>
                      <w:color w:val="auto"/>
                    </w:rPr>
                    <w:t>沥青烟处理系统废气排放口（DA</w:t>
                  </w:r>
                  <w:r>
                    <w:rPr>
                      <w:color w:val="auto"/>
                    </w:rPr>
                    <w:t>003</w:t>
                  </w:r>
                  <w:r>
                    <w:rPr>
                      <w:rFonts w:hint="eastAsia"/>
                      <w:color w:val="auto"/>
                    </w:rPr>
                    <w:t>）</w:t>
                  </w:r>
                </w:p>
              </w:tc>
              <w:tc>
                <w:tcPr>
                  <w:tcW w:w="955" w:type="pct"/>
                  <w:vAlign w:val="center"/>
                </w:tcPr>
                <w:p>
                  <w:pPr>
                    <w:pStyle w:val="23"/>
                    <w:rPr>
                      <w:color w:val="auto"/>
                    </w:rPr>
                  </w:pPr>
                  <w:r>
                    <w:rPr>
                      <w:rFonts w:hint="eastAsia"/>
                      <w:color w:val="auto"/>
                    </w:rPr>
                    <w:t>沥青烟</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50" w:type="pct"/>
                  <w:gridSpan w:val="2"/>
                  <w:vAlign w:val="center"/>
                </w:tcPr>
                <w:p>
                  <w:pPr>
                    <w:adjustRightInd w:val="0"/>
                    <w:snapToGrid w:val="0"/>
                    <w:jc w:val="center"/>
                    <w:rPr>
                      <w:rFonts w:cs="Times New Roman"/>
                      <w:sz w:val="21"/>
                      <w:szCs w:val="21"/>
                    </w:rPr>
                  </w:pPr>
                  <w:r>
                    <w:rPr>
                      <w:rFonts w:hint="eastAsia"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苯并[a]芘</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50" w:type="pct"/>
                  <w:gridSpan w:val="2"/>
                  <w:vAlign w:val="center"/>
                </w:tcPr>
                <w:p>
                  <w:pPr>
                    <w:adjustRightInd w:val="0"/>
                    <w:snapToGrid w:val="0"/>
                    <w:jc w:val="center"/>
                    <w:rPr>
                      <w:rFonts w:cs="Times New Roman"/>
                      <w:sz w:val="21"/>
                      <w:szCs w:val="21"/>
                    </w:rPr>
                  </w:pPr>
                  <w:r>
                    <w:rPr>
                      <w:rFonts w:hint="eastAsia"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restart"/>
                  <w:vAlign w:val="center"/>
                </w:tcPr>
                <w:p>
                  <w:pPr>
                    <w:pStyle w:val="23"/>
                    <w:rPr>
                      <w:color w:val="auto"/>
                    </w:rPr>
                  </w:pPr>
                  <w:r>
                    <w:rPr>
                      <w:color w:val="auto"/>
                    </w:rPr>
                    <w:t>无组织</w:t>
                  </w:r>
                </w:p>
              </w:tc>
              <w:tc>
                <w:tcPr>
                  <w:tcW w:w="1375" w:type="pct"/>
                  <w:vMerge w:val="restart"/>
                  <w:vAlign w:val="center"/>
                </w:tcPr>
                <w:p>
                  <w:pPr>
                    <w:pStyle w:val="23"/>
                    <w:rPr>
                      <w:color w:val="auto"/>
                    </w:rPr>
                  </w:pPr>
                  <w:r>
                    <w:rPr>
                      <w:color w:val="auto"/>
                    </w:rPr>
                    <w:t>厂界上风向1</w:t>
                  </w:r>
                  <w:r>
                    <w:rPr>
                      <w:rFonts w:hint="eastAsia"/>
                      <w:color w:val="auto"/>
                    </w:rPr>
                    <w:t>个监测点</w:t>
                  </w:r>
                  <w:r>
                    <w:rPr>
                      <w:color w:val="auto"/>
                    </w:rPr>
                    <w:t>，</w:t>
                  </w:r>
                  <w:r>
                    <w:rPr>
                      <w:rFonts w:hint="eastAsia"/>
                      <w:color w:val="auto"/>
                    </w:rPr>
                    <w:t>下风向3个监测点，</w:t>
                  </w:r>
                  <w:r>
                    <w:rPr>
                      <w:color w:val="auto"/>
                    </w:rPr>
                    <w:t>共设4个监测点</w:t>
                  </w:r>
                </w:p>
              </w:tc>
              <w:tc>
                <w:tcPr>
                  <w:tcW w:w="955" w:type="pct"/>
                  <w:vAlign w:val="center"/>
                </w:tcPr>
                <w:p>
                  <w:pPr>
                    <w:pStyle w:val="23"/>
                    <w:rPr>
                      <w:color w:val="auto"/>
                    </w:rPr>
                  </w:pPr>
                  <w:r>
                    <w:rPr>
                      <w:rFonts w:hint="eastAsia"/>
                      <w:color w:val="auto"/>
                    </w:rPr>
                    <w:t>苯并[a]芘</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50" w:type="pct"/>
                  <w:gridSpan w:val="2"/>
                  <w:vAlign w:val="center"/>
                </w:tcPr>
                <w:p>
                  <w:pPr>
                    <w:pStyle w:val="23"/>
                    <w:rPr>
                      <w:color w:val="auto"/>
                    </w:rPr>
                  </w:pPr>
                  <w:r>
                    <w:rPr>
                      <w:rFonts w:hint="eastAsia"/>
                      <w:color w:val="auto"/>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2" w:type="pct"/>
                  <w:vMerge w:val="continue"/>
                  <w:vAlign w:val="center"/>
                </w:tcPr>
                <w:p>
                  <w:pPr>
                    <w:pStyle w:val="23"/>
                    <w:rPr>
                      <w:color w:val="auto"/>
                    </w:rPr>
                  </w:pPr>
                </w:p>
              </w:tc>
              <w:tc>
                <w:tcPr>
                  <w:tcW w:w="1375" w:type="pct"/>
                  <w:vMerge w:val="continue"/>
                  <w:vAlign w:val="center"/>
                </w:tcPr>
                <w:p>
                  <w:pPr>
                    <w:pStyle w:val="23"/>
                    <w:rPr>
                      <w:color w:val="auto"/>
                    </w:rPr>
                  </w:pPr>
                </w:p>
              </w:tc>
              <w:tc>
                <w:tcPr>
                  <w:tcW w:w="955" w:type="pct"/>
                  <w:vAlign w:val="center"/>
                </w:tcPr>
                <w:p>
                  <w:pPr>
                    <w:pStyle w:val="23"/>
                    <w:rPr>
                      <w:color w:val="auto"/>
                    </w:rPr>
                  </w:pPr>
                  <w:r>
                    <w:rPr>
                      <w:rFonts w:hint="eastAsia"/>
                      <w:color w:val="auto"/>
                    </w:rPr>
                    <w:t>颗粒物</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50" w:type="pct"/>
                  <w:gridSpan w:val="2"/>
                  <w:vAlign w:val="center"/>
                </w:tcPr>
                <w:p>
                  <w:pPr>
                    <w:pStyle w:val="23"/>
                    <w:rPr>
                      <w:color w:val="auto"/>
                    </w:rPr>
                  </w:pPr>
                  <w:r>
                    <w:rPr>
                      <w:rFonts w:hint="eastAsia"/>
                      <w:color w:val="auto"/>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369" w:hRule="atLeast"/>
              </w:trPr>
              <w:tc>
                <w:tcPr>
                  <w:tcW w:w="672" w:type="pct"/>
                  <w:vMerge w:val="continue"/>
                  <w:vAlign w:val="center"/>
                </w:tcPr>
                <w:p>
                  <w:pPr>
                    <w:pStyle w:val="23"/>
                    <w:rPr>
                      <w:color w:val="auto"/>
                    </w:rPr>
                  </w:pPr>
                </w:p>
              </w:tc>
              <w:tc>
                <w:tcPr>
                  <w:tcW w:w="1375" w:type="pct"/>
                  <w:vAlign w:val="center"/>
                </w:tcPr>
                <w:p>
                  <w:pPr>
                    <w:pStyle w:val="23"/>
                    <w:rPr>
                      <w:color w:val="auto"/>
                    </w:rPr>
                  </w:pPr>
                  <w:r>
                    <w:rPr>
                      <w:rFonts w:hint="eastAsia"/>
                      <w:color w:val="auto"/>
                    </w:rPr>
                    <w:t>厂内</w:t>
                  </w:r>
                </w:p>
              </w:tc>
              <w:tc>
                <w:tcPr>
                  <w:tcW w:w="955" w:type="pct"/>
                  <w:vAlign w:val="center"/>
                </w:tcPr>
                <w:p>
                  <w:pPr>
                    <w:pStyle w:val="23"/>
                    <w:rPr>
                      <w:color w:val="auto"/>
                    </w:rPr>
                  </w:pPr>
                  <w:r>
                    <w:rPr>
                      <w:rFonts w:hint="eastAsia"/>
                      <w:color w:val="auto"/>
                    </w:rPr>
                    <w:t>沥青烟</w:t>
                  </w:r>
                </w:p>
              </w:tc>
              <w:tc>
                <w:tcPr>
                  <w:tcW w:w="948" w:type="pct"/>
                  <w:vAlign w:val="center"/>
                </w:tcPr>
                <w:p>
                  <w:pPr>
                    <w:adjustRightInd w:val="0"/>
                    <w:snapToGrid w:val="0"/>
                    <w:spacing w:line="240" w:lineRule="auto"/>
                    <w:jc w:val="center"/>
                    <w:rPr>
                      <w:rFonts w:cs="Times New Roman"/>
                      <w:sz w:val="21"/>
                      <w:szCs w:val="21"/>
                    </w:rPr>
                  </w:pPr>
                  <w:r>
                    <w:rPr>
                      <w:rFonts w:hint="eastAsia" w:cs="Times New Roman"/>
                      <w:sz w:val="21"/>
                      <w:szCs w:val="21"/>
                    </w:rPr>
                    <w:t>1次/年</w:t>
                  </w:r>
                </w:p>
              </w:tc>
              <w:tc>
                <w:tcPr>
                  <w:tcW w:w="1045" w:type="pct"/>
                  <w:vAlign w:val="center"/>
                </w:tcPr>
                <w:p>
                  <w:pPr>
                    <w:pStyle w:val="23"/>
                    <w:rPr>
                      <w:color w:val="auto"/>
                    </w:rPr>
                  </w:pPr>
                  <w:r>
                    <w:rPr>
                      <w:rFonts w:hint="eastAsia"/>
                      <w:color w:val="auto"/>
                    </w:rPr>
                    <w:t>生产设备不得有明显的无组织排放</w:t>
                  </w:r>
                </w:p>
              </w:tc>
            </w:tr>
          </w:tbl>
          <w:p>
            <w:pPr>
              <w:spacing w:before="120" w:beforeLines="50"/>
              <w:rPr>
                <w:rFonts w:eastAsia="宋体" w:cs="Times New Roman"/>
                <w:b/>
                <w:bCs/>
                <w:szCs w:val="24"/>
              </w:rPr>
            </w:pPr>
            <w:r>
              <w:rPr>
                <w:rFonts w:hint="eastAsia" w:cs="Times New Roman"/>
                <w:b/>
                <w:bCs/>
                <w:szCs w:val="24"/>
              </w:rPr>
              <w:t>四</w:t>
            </w:r>
            <w:r>
              <w:rPr>
                <w:rFonts w:cs="Times New Roman"/>
                <w:b/>
                <w:bCs/>
                <w:szCs w:val="24"/>
              </w:rPr>
              <w:t>、现有工程存在的环境问题及“以新带老”整改措施</w:t>
            </w:r>
          </w:p>
          <w:p>
            <w:pPr>
              <w:ind w:firstLine="480" w:firstLineChars="200"/>
              <w:rPr>
                <w:rFonts w:eastAsia="宋体" w:cs="Times New Roman"/>
                <w:kern w:val="0"/>
                <w:szCs w:val="24"/>
                <w:lang w:bidi="he-IL"/>
              </w:rPr>
            </w:pPr>
            <w:r>
              <w:rPr>
                <w:rFonts w:eastAsia="宋体" w:cs="Times New Roman"/>
                <w:kern w:val="0"/>
                <w:szCs w:val="24"/>
                <w:lang w:bidi="he-IL"/>
              </w:rPr>
              <w:t>根据现场踏勘及现有项目环评及批复要求，现有厂区已按照要求在各产污环节设置环保措施。同时现有工程均已通过环评、竣工环保验收及排污许可证申领。</w:t>
            </w:r>
          </w:p>
        </w:tc>
      </w:tr>
    </w:tbl>
    <w:p>
      <w:pPr>
        <w:rPr>
          <w:rFonts w:cs="Times New Roman"/>
          <w:b/>
          <w:bCs/>
          <w:sz w:val="28"/>
          <w:szCs w:val="24"/>
        </w:rPr>
      </w:pPr>
      <w:r>
        <w:rPr>
          <w:rFonts w:cs="Times New Roman"/>
        </w:rPr>
        <w:br w:type="page"/>
      </w:r>
      <w:r>
        <w:rPr>
          <w:rFonts w:cs="Times New Roman"/>
          <w:b/>
          <w:bCs/>
          <w:sz w:val="28"/>
          <w:szCs w:val="24"/>
        </w:rPr>
        <w:t>三、区域环境质量现状、环境保护目标及评价标准</w:t>
      </w:r>
    </w:p>
    <w:tbl>
      <w:tblPr>
        <w:tblStyle w:val="18"/>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0"/>
        <w:gridCol w:w="95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83" w:hRule="atLeast"/>
          <w:jc w:val="center"/>
        </w:trPr>
        <w:tc>
          <w:tcPr>
            <w:tcW w:w="226" w:type="pct"/>
            <w:vAlign w:val="center"/>
          </w:tcPr>
          <w:p>
            <w:pPr>
              <w:adjustRightInd w:val="0"/>
              <w:snapToGrid w:val="0"/>
              <w:spacing w:line="240" w:lineRule="auto"/>
              <w:jc w:val="center"/>
              <w:rPr>
                <w:rFonts w:cs="Times New Roman"/>
                <w:kern w:val="21"/>
                <w:szCs w:val="24"/>
              </w:rPr>
            </w:pPr>
            <w:r>
              <w:rPr>
                <w:rFonts w:cs="Times New Roman"/>
                <w:kern w:val="21"/>
                <w:szCs w:val="24"/>
              </w:rPr>
              <w:t>区域</w:t>
            </w:r>
          </w:p>
          <w:p>
            <w:pPr>
              <w:adjustRightInd w:val="0"/>
              <w:snapToGrid w:val="0"/>
              <w:spacing w:line="240" w:lineRule="auto"/>
              <w:jc w:val="center"/>
              <w:rPr>
                <w:rFonts w:cs="Times New Roman"/>
                <w:kern w:val="21"/>
                <w:szCs w:val="24"/>
              </w:rPr>
            </w:pPr>
            <w:r>
              <w:rPr>
                <w:rFonts w:cs="Times New Roman"/>
                <w:kern w:val="21"/>
                <w:szCs w:val="24"/>
              </w:rPr>
              <w:t>环境</w:t>
            </w:r>
          </w:p>
          <w:p>
            <w:pPr>
              <w:adjustRightInd w:val="0"/>
              <w:snapToGrid w:val="0"/>
              <w:spacing w:line="240" w:lineRule="auto"/>
              <w:jc w:val="center"/>
              <w:rPr>
                <w:rFonts w:cs="Times New Roman"/>
                <w:kern w:val="21"/>
                <w:szCs w:val="24"/>
              </w:rPr>
            </w:pPr>
            <w:r>
              <w:rPr>
                <w:rFonts w:cs="Times New Roman"/>
                <w:kern w:val="21"/>
                <w:szCs w:val="24"/>
              </w:rPr>
              <w:t>质量</w:t>
            </w:r>
          </w:p>
          <w:p>
            <w:pPr>
              <w:adjustRightInd w:val="0"/>
              <w:snapToGrid w:val="0"/>
              <w:spacing w:line="240" w:lineRule="auto"/>
              <w:jc w:val="center"/>
              <w:rPr>
                <w:rFonts w:cs="Times New Roman"/>
                <w:kern w:val="21"/>
                <w:szCs w:val="24"/>
              </w:rPr>
            </w:pPr>
            <w:r>
              <w:rPr>
                <w:rFonts w:cs="Times New Roman"/>
                <w:kern w:val="21"/>
                <w:szCs w:val="24"/>
              </w:rPr>
              <w:t>现状</w:t>
            </w:r>
          </w:p>
        </w:tc>
        <w:tc>
          <w:tcPr>
            <w:tcW w:w="9504" w:type="dxa"/>
            <w:vAlign w:val="center"/>
          </w:tcPr>
          <w:p>
            <w:pPr>
              <w:tabs>
                <w:tab w:val="right" w:leader="hyphen" w:pos="8190"/>
              </w:tabs>
              <w:adjustRightInd w:val="0"/>
              <w:snapToGrid w:val="0"/>
              <w:rPr>
                <w:rFonts w:cs="Times New Roman"/>
                <w:b/>
                <w:bCs/>
              </w:rPr>
            </w:pPr>
            <w:r>
              <w:rPr>
                <w:rFonts w:cs="Times New Roman"/>
                <w:b/>
                <w:bCs/>
              </w:rPr>
              <w:t>（一）环境空气质量现状</w:t>
            </w:r>
          </w:p>
          <w:p>
            <w:pPr>
              <w:wordWrap w:val="0"/>
              <w:adjustRightInd w:val="0"/>
              <w:snapToGrid w:val="0"/>
              <w:ind w:firstLine="482" w:firstLineChars="200"/>
              <w:outlineLvl w:val="3"/>
              <w:rPr>
                <w:rFonts w:cs="Times New Roman"/>
                <w:b/>
                <w:bCs/>
              </w:rPr>
            </w:pPr>
            <w:r>
              <w:rPr>
                <w:rFonts w:cs="Times New Roman"/>
                <w:b/>
                <w:bCs/>
              </w:rPr>
              <w:t>1、基本污染物环境质量现状评价</w:t>
            </w:r>
          </w:p>
          <w:p>
            <w:pPr>
              <w:pStyle w:val="40"/>
              <w:adjustRightInd w:val="0"/>
              <w:snapToGrid w:val="0"/>
              <w:spacing w:line="360" w:lineRule="auto"/>
              <w:ind w:firstLine="480" w:firstLineChars="200"/>
              <w:rPr>
                <w:rFonts w:cs="Times New Roman"/>
                <w:b/>
                <w:bCs/>
                <w:szCs w:val="24"/>
              </w:rPr>
            </w:pPr>
            <w:r>
              <w:rPr>
                <w:rFonts w:cs="Times New Roman"/>
                <w:szCs w:val="24"/>
              </w:rPr>
              <w:t>本项目位于周至县渭河工业区周普路3号，根据大气功能区划，本项目所在地为二类功能区，环境空气质量标准执行《环境空气质量标准》（GB3095-2012）二级标准要求。根据陕西省生态环境厅办公室2023年1月18日发布的《环保快报》中“2022年陕西省12月及1~12月全省环境空气质量状况”中西安市周至县空气常见污染物监测结果，对区域环境空气质量现状进行分析，具体统计结果见下表。</w:t>
            </w:r>
          </w:p>
          <w:p>
            <w:pPr>
              <w:pStyle w:val="5"/>
              <w:adjustRightInd w:val="0"/>
              <w:snapToGrid w:val="0"/>
              <w:spacing w:line="240" w:lineRule="auto"/>
              <w:ind w:firstLine="0"/>
              <w:jc w:val="center"/>
              <w:rPr>
                <w:rFonts w:cs="Times New Roman"/>
                <w:b/>
                <w:bCs/>
                <w:sz w:val="21"/>
                <w:szCs w:val="21"/>
              </w:rPr>
            </w:pPr>
            <w:r>
              <w:rPr>
                <w:rFonts w:cs="Times New Roman"/>
                <w:b/>
                <w:bCs/>
                <w:sz w:val="21"/>
                <w:szCs w:val="21"/>
              </w:rPr>
              <w:t>表3-1  2022年1~12月西安市周至县环境空气质量状况统计表</w:t>
            </w:r>
          </w:p>
          <w:tbl>
            <w:tblPr>
              <w:tblStyle w:val="18"/>
              <w:tblW w:w="4997" w:type="pct"/>
              <w:tblInd w:w="5"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026"/>
              <w:gridCol w:w="2822"/>
              <w:gridCol w:w="1271"/>
              <w:gridCol w:w="1396"/>
              <w:gridCol w:w="1502"/>
              <w:gridCol w:w="1268"/>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2" w:type="pct"/>
                  <w:tcBorders>
                    <w:tl2br w:val="nil"/>
                    <w:tr2bl w:val="nil"/>
                  </w:tcBorders>
                  <w:vAlign w:val="center"/>
                </w:tcPr>
                <w:p>
                  <w:pPr>
                    <w:adjustRightInd w:val="0"/>
                    <w:snapToGrid w:val="0"/>
                    <w:spacing w:line="260" w:lineRule="exact"/>
                    <w:jc w:val="center"/>
                    <w:rPr>
                      <w:rFonts w:cs="Times New Roman"/>
                      <w:b/>
                      <w:kern w:val="0"/>
                      <w:sz w:val="21"/>
                      <w:szCs w:val="21"/>
                    </w:rPr>
                  </w:pPr>
                  <w:r>
                    <w:rPr>
                      <w:rFonts w:cs="Times New Roman"/>
                      <w:b/>
                      <w:kern w:val="0"/>
                      <w:sz w:val="21"/>
                      <w:szCs w:val="21"/>
                    </w:rPr>
                    <w:t>污染物</w:t>
                  </w:r>
                </w:p>
              </w:tc>
              <w:tc>
                <w:tcPr>
                  <w:tcW w:w="1518" w:type="pct"/>
                  <w:tcBorders>
                    <w:tl2br w:val="nil"/>
                    <w:tr2bl w:val="nil"/>
                  </w:tcBorders>
                  <w:vAlign w:val="center"/>
                </w:tcPr>
                <w:p>
                  <w:pPr>
                    <w:adjustRightInd w:val="0"/>
                    <w:snapToGrid w:val="0"/>
                    <w:spacing w:line="260" w:lineRule="exact"/>
                    <w:jc w:val="center"/>
                    <w:rPr>
                      <w:rFonts w:cs="Times New Roman"/>
                      <w:b/>
                      <w:kern w:val="0"/>
                      <w:sz w:val="21"/>
                      <w:szCs w:val="21"/>
                    </w:rPr>
                  </w:pPr>
                  <w:r>
                    <w:rPr>
                      <w:rFonts w:cs="Times New Roman"/>
                      <w:b/>
                      <w:kern w:val="0"/>
                      <w:sz w:val="21"/>
                      <w:szCs w:val="21"/>
                    </w:rPr>
                    <w:t>评价指标</w:t>
                  </w:r>
                </w:p>
              </w:tc>
              <w:tc>
                <w:tcPr>
                  <w:tcW w:w="684" w:type="pct"/>
                  <w:tcBorders>
                    <w:tl2br w:val="nil"/>
                    <w:tr2bl w:val="nil"/>
                  </w:tcBorders>
                  <w:vAlign w:val="center"/>
                </w:tcPr>
                <w:p>
                  <w:pPr>
                    <w:adjustRightInd w:val="0"/>
                    <w:snapToGrid w:val="0"/>
                    <w:spacing w:line="260" w:lineRule="exact"/>
                    <w:jc w:val="center"/>
                    <w:rPr>
                      <w:rFonts w:cs="Times New Roman"/>
                      <w:b/>
                      <w:kern w:val="0"/>
                      <w:sz w:val="21"/>
                      <w:szCs w:val="21"/>
                    </w:rPr>
                  </w:pPr>
                  <w:r>
                    <w:rPr>
                      <w:rFonts w:cs="Times New Roman"/>
                      <w:b/>
                      <w:kern w:val="0"/>
                      <w:sz w:val="21"/>
                      <w:szCs w:val="21"/>
                    </w:rPr>
                    <w:t>现状浓度/（μg/m³）</w:t>
                  </w:r>
                </w:p>
              </w:tc>
              <w:tc>
                <w:tcPr>
                  <w:tcW w:w="752" w:type="pct"/>
                  <w:tcBorders>
                    <w:tl2br w:val="nil"/>
                    <w:tr2bl w:val="nil"/>
                  </w:tcBorders>
                  <w:vAlign w:val="center"/>
                </w:tcPr>
                <w:p>
                  <w:pPr>
                    <w:adjustRightInd w:val="0"/>
                    <w:snapToGrid w:val="0"/>
                    <w:spacing w:line="260" w:lineRule="exact"/>
                    <w:jc w:val="center"/>
                    <w:rPr>
                      <w:rFonts w:cs="Times New Roman"/>
                      <w:b/>
                      <w:kern w:val="0"/>
                      <w:sz w:val="21"/>
                      <w:szCs w:val="21"/>
                    </w:rPr>
                  </w:pPr>
                  <w:r>
                    <w:rPr>
                      <w:rFonts w:cs="Times New Roman"/>
                      <w:b/>
                      <w:kern w:val="0"/>
                      <w:sz w:val="21"/>
                      <w:szCs w:val="21"/>
                    </w:rPr>
                    <w:t>评价标准/（μg/m³）</w:t>
                  </w:r>
                </w:p>
              </w:tc>
              <w:tc>
                <w:tcPr>
                  <w:tcW w:w="809" w:type="pct"/>
                  <w:tcBorders>
                    <w:tl2br w:val="nil"/>
                    <w:tr2bl w:val="nil"/>
                  </w:tcBorders>
                  <w:vAlign w:val="center"/>
                </w:tcPr>
                <w:p>
                  <w:pPr>
                    <w:adjustRightInd w:val="0"/>
                    <w:snapToGrid w:val="0"/>
                    <w:spacing w:line="260" w:lineRule="exact"/>
                    <w:jc w:val="center"/>
                    <w:rPr>
                      <w:rFonts w:cs="Times New Roman"/>
                      <w:b/>
                      <w:kern w:val="0"/>
                      <w:sz w:val="21"/>
                      <w:szCs w:val="21"/>
                    </w:rPr>
                  </w:pPr>
                  <w:r>
                    <w:rPr>
                      <w:rFonts w:cs="Times New Roman"/>
                      <w:b/>
                      <w:kern w:val="0"/>
                      <w:sz w:val="21"/>
                      <w:szCs w:val="21"/>
                    </w:rPr>
                    <w:t>占标率/（%）</w:t>
                  </w:r>
                </w:p>
              </w:tc>
              <w:tc>
                <w:tcPr>
                  <w:tcW w:w="683" w:type="pct"/>
                  <w:tcBorders>
                    <w:tl2br w:val="nil"/>
                    <w:tr2bl w:val="nil"/>
                  </w:tcBorders>
                  <w:vAlign w:val="center"/>
                </w:tcPr>
                <w:p>
                  <w:pPr>
                    <w:adjustRightInd w:val="0"/>
                    <w:snapToGrid w:val="0"/>
                    <w:spacing w:line="260" w:lineRule="exact"/>
                    <w:jc w:val="center"/>
                    <w:rPr>
                      <w:rFonts w:cs="Times New Roman"/>
                      <w:b/>
                      <w:kern w:val="0"/>
                      <w:sz w:val="21"/>
                      <w:szCs w:val="21"/>
                    </w:rPr>
                  </w:pPr>
                  <w:r>
                    <w:rPr>
                      <w:rFonts w:cs="Times New Roman"/>
                      <w:b/>
                      <w:kern w:val="0"/>
                      <w:sz w:val="21"/>
                      <w:szCs w:val="21"/>
                    </w:rPr>
                    <w:t>达标情况</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PM</w:t>
                  </w:r>
                  <w:r>
                    <w:rPr>
                      <w:rFonts w:cs="Times New Roman"/>
                      <w:kern w:val="0"/>
                      <w:sz w:val="21"/>
                      <w:szCs w:val="21"/>
                      <w:vertAlign w:val="subscript"/>
                    </w:rPr>
                    <w:t>10</w:t>
                  </w:r>
                </w:p>
              </w:tc>
              <w:tc>
                <w:tcPr>
                  <w:tcW w:w="1518"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82</w:t>
                  </w:r>
                </w:p>
              </w:tc>
              <w:tc>
                <w:tcPr>
                  <w:tcW w:w="7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70</w:t>
                  </w:r>
                </w:p>
              </w:tc>
              <w:tc>
                <w:tcPr>
                  <w:tcW w:w="809"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rPr>
                    <w:t>117.1</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lang w:bidi="ar"/>
                    </w:rPr>
                    <w:t>不达标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PM</w:t>
                  </w:r>
                  <w:r>
                    <w:rPr>
                      <w:rFonts w:cs="Times New Roman"/>
                      <w:kern w:val="0"/>
                      <w:sz w:val="21"/>
                      <w:szCs w:val="21"/>
                      <w:vertAlign w:val="subscript"/>
                    </w:rPr>
                    <w:t>2.5</w:t>
                  </w:r>
                </w:p>
              </w:tc>
              <w:tc>
                <w:tcPr>
                  <w:tcW w:w="1518" w:type="pct"/>
                  <w:tcBorders>
                    <w:tl2br w:val="nil"/>
                    <w:tr2bl w:val="nil"/>
                  </w:tcBorders>
                  <w:vAlign w:val="center"/>
                </w:tcPr>
                <w:p>
                  <w:pPr>
                    <w:adjustRightInd w:val="0"/>
                    <w:snapToGrid w:val="0"/>
                    <w:spacing w:line="260" w:lineRule="exact"/>
                    <w:jc w:val="center"/>
                    <w:rPr>
                      <w:rFonts w:cs="Times New Roman"/>
                      <w:sz w:val="21"/>
                      <w:szCs w:val="21"/>
                    </w:rPr>
                  </w:pPr>
                  <w:r>
                    <w:rPr>
                      <w:rFonts w:cs="Times New Roman"/>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44</w:t>
                  </w:r>
                </w:p>
              </w:tc>
              <w:tc>
                <w:tcPr>
                  <w:tcW w:w="7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35</w:t>
                  </w:r>
                </w:p>
              </w:tc>
              <w:tc>
                <w:tcPr>
                  <w:tcW w:w="809"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rPr>
                    <w:t>125.7</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lang w:bidi="ar"/>
                    </w:rPr>
                    <w:t>不达标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SO</w:t>
                  </w:r>
                  <w:r>
                    <w:rPr>
                      <w:rFonts w:cs="Times New Roman"/>
                      <w:kern w:val="0"/>
                      <w:sz w:val="21"/>
                      <w:szCs w:val="21"/>
                      <w:vertAlign w:val="subscript"/>
                    </w:rPr>
                    <w:t>2</w:t>
                  </w:r>
                </w:p>
              </w:tc>
              <w:tc>
                <w:tcPr>
                  <w:tcW w:w="1518" w:type="pct"/>
                  <w:tcBorders>
                    <w:tl2br w:val="nil"/>
                    <w:tr2bl w:val="nil"/>
                  </w:tcBorders>
                  <w:vAlign w:val="center"/>
                </w:tcPr>
                <w:p>
                  <w:pPr>
                    <w:adjustRightInd w:val="0"/>
                    <w:snapToGrid w:val="0"/>
                    <w:spacing w:line="260" w:lineRule="exact"/>
                    <w:jc w:val="center"/>
                    <w:rPr>
                      <w:rFonts w:cs="Times New Roman"/>
                      <w:sz w:val="21"/>
                      <w:szCs w:val="21"/>
                    </w:rPr>
                  </w:pPr>
                  <w:r>
                    <w:rPr>
                      <w:rFonts w:cs="Times New Roman"/>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8</w:t>
                  </w:r>
                </w:p>
              </w:tc>
              <w:tc>
                <w:tcPr>
                  <w:tcW w:w="7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60</w:t>
                  </w:r>
                </w:p>
              </w:tc>
              <w:tc>
                <w:tcPr>
                  <w:tcW w:w="809"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rPr>
                    <w:t>13.3</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lang w:bidi="ar"/>
                    </w:rPr>
                    <w:t>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NO</w:t>
                  </w:r>
                  <w:r>
                    <w:rPr>
                      <w:rFonts w:cs="Times New Roman"/>
                      <w:kern w:val="0"/>
                      <w:sz w:val="21"/>
                      <w:szCs w:val="21"/>
                      <w:vertAlign w:val="subscript"/>
                    </w:rPr>
                    <w:t>2</w:t>
                  </w:r>
                </w:p>
              </w:tc>
              <w:tc>
                <w:tcPr>
                  <w:tcW w:w="1518" w:type="pct"/>
                  <w:tcBorders>
                    <w:tl2br w:val="nil"/>
                    <w:tr2bl w:val="nil"/>
                  </w:tcBorders>
                  <w:vAlign w:val="center"/>
                </w:tcPr>
                <w:p>
                  <w:pPr>
                    <w:adjustRightInd w:val="0"/>
                    <w:snapToGrid w:val="0"/>
                    <w:spacing w:line="260" w:lineRule="exact"/>
                    <w:jc w:val="center"/>
                    <w:rPr>
                      <w:rFonts w:cs="Times New Roman"/>
                      <w:sz w:val="21"/>
                      <w:szCs w:val="21"/>
                    </w:rPr>
                  </w:pPr>
                  <w:r>
                    <w:rPr>
                      <w:rFonts w:cs="Times New Roman"/>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27</w:t>
                  </w:r>
                </w:p>
              </w:tc>
              <w:tc>
                <w:tcPr>
                  <w:tcW w:w="7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40</w:t>
                  </w:r>
                </w:p>
              </w:tc>
              <w:tc>
                <w:tcPr>
                  <w:tcW w:w="809"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rPr>
                    <w:t>67.5</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lang w:bidi="ar"/>
                    </w:rPr>
                    <w:t>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CO</w:t>
                  </w:r>
                </w:p>
              </w:tc>
              <w:tc>
                <w:tcPr>
                  <w:tcW w:w="1518"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第95百分位浓度</w:t>
                  </w:r>
                </w:p>
              </w:tc>
              <w:tc>
                <w:tcPr>
                  <w:tcW w:w="684"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1.8</w:t>
                  </w:r>
                  <w:r>
                    <w:rPr>
                      <w:rFonts w:cs="Times New Roman"/>
                      <w:sz w:val="21"/>
                      <w:szCs w:val="21"/>
                    </w:rPr>
                    <w:t>mg/m</w:t>
                  </w:r>
                  <w:r>
                    <w:rPr>
                      <w:rFonts w:cs="Times New Roman"/>
                      <w:sz w:val="21"/>
                      <w:szCs w:val="21"/>
                      <w:vertAlign w:val="superscript"/>
                    </w:rPr>
                    <w:t>3</w:t>
                  </w:r>
                </w:p>
              </w:tc>
              <w:tc>
                <w:tcPr>
                  <w:tcW w:w="7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4</w:t>
                  </w:r>
                  <w:r>
                    <w:rPr>
                      <w:rFonts w:cs="Times New Roman"/>
                      <w:sz w:val="21"/>
                      <w:szCs w:val="21"/>
                    </w:rPr>
                    <w:t>mg/m</w:t>
                  </w:r>
                  <w:r>
                    <w:rPr>
                      <w:rFonts w:cs="Times New Roman"/>
                      <w:sz w:val="21"/>
                      <w:szCs w:val="21"/>
                      <w:vertAlign w:val="superscript"/>
                    </w:rPr>
                    <w:t>3</w:t>
                  </w:r>
                </w:p>
              </w:tc>
              <w:tc>
                <w:tcPr>
                  <w:tcW w:w="809"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rPr>
                    <w:t>45</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lang w:bidi="ar"/>
                    </w:rPr>
                    <w:t>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O</w:t>
                  </w:r>
                  <w:r>
                    <w:rPr>
                      <w:rFonts w:cs="Times New Roman"/>
                      <w:kern w:val="0"/>
                      <w:sz w:val="21"/>
                      <w:szCs w:val="21"/>
                      <w:vertAlign w:val="subscript"/>
                    </w:rPr>
                    <w:t>3</w:t>
                  </w:r>
                </w:p>
              </w:tc>
              <w:tc>
                <w:tcPr>
                  <w:tcW w:w="1518"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第90百分位浓度</w:t>
                  </w:r>
                </w:p>
              </w:tc>
              <w:tc>
                <w:tcPr>
                  <w:tcW w:w="684"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171</w:t>
                  </w:r>
                </w:p>
              </w:tc>
              <w:tc>
                <w:tcPr>
                  <w:tcW w:w="752" w:type="pct"/>
                  <w:tcBorders>
                    <w:tl2br w:val="nil"/>
                    <w:tr2bl w:val="nil"/>
                  </w:tcBorders>
                  <w:vAlign w:val="center"/>
                </w:tcPr>
                <w:p>
                  <w:pPr>
                    <w:adjustRightInd w:val="0"/>
                    <w:snapToGrid w:val="0"/>
                    <w:spacing w:line="260" w:lineRule="exact"/>
                    <w:jc w:val="center"/>
                    <w:rPr>
                      <w:rFonts w:cs="Times New Roman"/>
                      <w:kern w:val="0"/>
                      <w:sz w:val="21"/>
                      <w:szCs w:val="21"/>
                    </w:rPr>
                  </w:pPr>
                  <w:r>
                    <w:rPr>
                      <w:rFonts w:cs="Times New Roman"/>
                      <w:kern w:val="0"/>
                      <w:sz w:val="21"/>
                      <w:szCs w:val="21"/>
                    </w:rPr>
                    <w:t>160</w:t>
                  </w:r>
                </w:p>
              </w:tc>
              <w:tc>
                <w:tcPr>
                  <w:tcW w:w="809"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rPr>
                    <w:t>106.9</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rPr>
                  </w:pPr>
                  <w:r>
                    <w:rPr>
                      <w:rFonts w:cs="Times New Roman"/>
                      <w:kern w:val="0"/>
                      <w:sz w:val="21"/>
                      <w:szCs w:val="21"/>
                      <w:lang w:bidi="ar"/>
                    </w:rPr>
                    <w:t>不达标</w:t>
                  </w:r>
                </w:p>
              </w:tc>
            </w:tr>
          </w:tbl>
          <w:p>
            <w:pPr>
              <w:adjustRightInd w:val="0"/>
              <w:snapToGrid w:val="0"/>
              <w:spacing w:line="240" w:lineRule="auto"/>
              <w:ind w:firstLine="422" w:firstLineChars="200"/>
              <w:rPr>
                <w:rFonts w:cs="Times New Roman"/>
                <w:b/>
                <w:bCs/>
                <w:sz w:val="21"/>
                <w:szCs w:val="21"/>
              </w:rPr>
            </w:pPr>
            <w:r>
              <w:rPr>
                <w:rFonts w:cs="Times New Roman"/>
                <w:b/>
                <w:bCs/>
                <w:sz w:val="21"/>
                <w:szCs w:val="21"/>
              </w:rPr>
              <w:t>注：CO为24小时平均第95百分位数，单位为毫克/立方米；其他五项指标单位为微克/立方米，O</w:t>
            </w:r>
            <w:r>
              <w:rPr>
                <w:rFonts w:cs="Times New Roman"/>
                <w:b/>
                <w:bCs/>
                <w:sz w:val="21"/>
                <w:szCs w:val="21"/>
                <w:vertAlign w:val="subscript"/>
              </w:rPr>
              <w:t>3</w:t>
            </w:r>
            <w:r>
              <w:rPr>
                <w:rFonts w:cs="Times New Roman"/>
                <w:b/>
                <w:bCs/>
                <w:sz w:val="21"/>
                <w:szCs w:val="21"/>
              </w:rPr>
              <w:t>为最大8小时滑动平均值的第90百分位数。</w:t>
            </w:r>
          </w:p>
          <w:p>
            <w:pPr>
              <w:pStyle w:val="40"/>
              <w:adjustRightInd w:val="0"/>
              <w:snapToGrid w:val="0"/>
              <w:spacing w:line="360" w:lineRule="auto"/>
              <w:ind w:firstLine="480" w:firstLineChars="200"/>
              <w:rPr>
                <w:rFonts w:cs="Times New Roman"/>
                <w:szCs w:val="24"/>
              </w:rPr>
            </w:pPr>
            <w:r>
              <w:rPr>
                <w:rFonts w:cs="Times New Roman"/>
                <w:szCs w:val="24"/>
              </w:rPr>
              <w:t>根据以上监测结果可知，周至县SO</w:t>
            </w:r>
            <w:r>
              <w:rPr>
                <w:rFonts w:cs="Times New Roman"/>
                <w:szCs w:val="24"/>
                <w:vertAlign w:val="subscript"/>
              </w:rPr>
              <w:t>2</w:t>
            </w:r>
            <w:r>
              <w:rPr>
                <w:rFonts w:cs="Times New Roman"/>
                <w:szCs w:val="24"/>
              </w:rPr>
              <w:t>、NO</w:t>
            </w:r>
            <w:r>
              <w:rPr>
                <w:rFonts w:cs="Times New Roman"/>
                <w:szCs w:val="24"/>
                <w:vertAlign w:val="subscript"/>
              </w:rPr>
              <w:t>2</w:t>
            </w:r>
            <w:r>
              <w:rPr>
                <w:rFonts w:cs="Times New Roman"/>
                <w:szCs w:val="24"/>
              </w:rPr>
              <w:t>的年均浓度值和CO的24小时平均第95百分位浓度值均达到国家环境空气质量二级标准；PM</w:t>
            </w:r>
            <w:r>
              <w:rPr>
                <w:rFonts w:cs="Times New Roman"/>
                <w:szCs w:val="24"/>
                <w:vertAlign w:val="subscript"/>
              </w:rPr>
              <w:t>10</w:t>
            </w:r>
            <w:r>
              <w:rPr>
                <w:rFonts w:cs="Times New Roman"/>
                <w:szCs w:val="24"/>
              </w:rPr>
              <w:t>、PM</w:t>
            </w:r>
            <w:r>
              <w:rPr>
                <w:rFonts w:cs="Times New Roman"/>
                <w:szCs w:val="24"/>
                <w:vertAlign w:val="subscript"/>
              </w:rPr>
              <w:t>2.5</w:t>
            </w:r>
            <w:r>
              <w:rPr>
                <w:rFonts w:cs="Times New Roman"/>
                <w:szCs w:val="24"/>
              </w:rPr>
              <w:t>和O</w:t>
            </w:r>
            <w:r>
              <w:rPr>
                <w:rFonts w:cs="Times New Roman"/>
                <w:szCs w:val="24"/>
                <w:vertAlign w:val="subscript"/>
              </w:rPr>
              <w:t>3</w:t>
            </w:r>
            <w:r>
              <w:rPr>
                <w:rFonts w:cs="Times New Roman"/>
                <w:szCs w:val="24"/>
              </w:rPr>
              <w:t>的第90百分位浓度值均超过国家环境空气质量二级标准。</w:t>
            </w:r>
          </w:p>
          <w:p>
            <w:pPr>
              <w:pStyle w:val="40"/>
              <w:adjustRightInd w:val="0"/>
              <w:snapToGrid w:val="0"/>
              <w:spacing w:line="360" w:lineRule="auto"/>
              <w:ind w:firstLine="480" w:firstLineChars="200"/>
              <w:rPr>
                <w:rFonts w:cs="Times New Roman"/>
                <w:szCs w:val="24"/>
              </w:rPr>
            </w:pPr>
            <w:r>
              <w:rPr>
                <w:rFonts w:cs="Times New Roman"/>
                <w:szCs w:val="24"/>
              </w:rPr>
              <w:t>根据《环境影响评价技术导则 大气环境》（HJ2.2-2018），六项污染物年评价指标全部达标即为城市环境空气质量达标，项目所在区域属于不达标区，本项目配套完善的环保设施，污染物均可达标排放。</w:t>
            </w:r>
          </w:p>
          <w:p>
            <w:pPr>
              <w:wordWrap w:val="0"/>
              <w:adjustRightInd w:val="0"/>
              <w:snapToGrid w:val="0"/>
              <w:ind w:firstLine="482" w:firstLineChars="200"/>
              <w:outlineLvl w:val="3"/>
              <w:rPr>
                <w:rFonts w:cs="Times New Roman"/>
                <w:b/>
                <w:bCs/>
              </w:rPr>
            </w:pPr>
            <w:r>
              <w:rPr>
                <w:rFonts w:cs="Times New Roman"/>
                <w:b/>
                <w:bCs/>
              </w:rPr>
              <w:t>2、特征污染物环境质量状况</w:t>
            </w:r>
          </w:p>
          <w:p>
            <w:pPr>
              <w:pStyle w:val="40"/>
              <w:adjustRightInd w:val="0"/>
              <w:snapToGrid w:val="0"/>
              <w:spacing w:line="360" w:lineRule="auto"/>
              <w:ind w:firstLine="480" w:firstLineChars="200"/>
              <w:rPr>
                <w:rFonts w:cs="Times New Roman"/>
                <w:szCs w:val="24"/>
              </w:rPr>
            </w:pPr>
            <w:r>
              <w:rPr>
                <w:rFonts w:cs="Times New Roman"/>
                <w:szCs w:val="24"/>
              </w:rPr>
              <w:t>本项目设有大气专项评价，经预测本项目P</w:t>
            </w:r>
            <w:r>
              <w:rPr>
                <w:rFonts w:cs="Times New Roman"/>
                <w:szCs w:val="24"/>
                <w:vertAlign w:val="subscript"/>
              </w:rPr>
              <w:t>max</w:t>
            </w:r>
            <w:r>
              <w:rPr>
                <w:rFonts w:cs="Times New Roman"/>
                <w:szCs w:val="24"/>
              </w:rPr>
              <w:t>最大值出现为矩形面源排放的TSP，其P</w:t>
            </w:r>
            <w:r>
              <w:rPr>
                <w:rFonts w:cs="Times New Roman"/>
                <w:szCs w:val="24"/>
                <w:vertAlign w:val="subscript"/>
              </w:rPr>
              <w:t>max</w:t>
            </w:r>
            <w:r>
              <w:rPr>
                <w:rFonts w:cs="Times New Roman"/>
                <w:szCs w:val="24"/>
              </w:rPr>
              <w:t>值为0.7325%，C</w:t>
            </w:r>
            <w:r>
              <w:rPr>
                <w:rFonts w:cs="Times New Roman"/>
                <w:szCs w:val="24"/>
                <w:vertAlign w:val="subscript"/>
              </w:rPr>
              <w:t>max</w:t>
            </w:r>
            <w:r>
              <w:rPr>
                <w:rFonts w:cs="Times New Roman"/>
                <w:szCs w:val="24"/>
              </w:rPr>
              <w:t>为6.5924μg/m³。根据《环境影响评价技术导则 大气环境》（HJ2.2-2018）分级判据，确定本项目大气环境影响评价工作等级为三级。</w:t>
            </w:r>
          </w:p>
          <w:p>
            <w:pPr>
              <w:pStyle w:val="40"/>
              <w:adjustRightInd w:val="0"/>
              <w:snapToGrid w:val="0"/>
              <w:spacing w:line="360" w:lineRule="auto"/>
              <w:ind w:firstLine="480" w:firstLineChars="200"/>
              <w:rPr>
                <w:rFonts w:cs="Times New Roman"/>
                <w:szCs w:val="24"/>
              </w:rPr>
            </w:pPr>
            <w:r>
              <w:rPr>
                <w:rFonts w:cs="Times New Roman"/>
                <w:szCs w:val="24"/>
              </w:rPr>
              <w:t>综上，本次评价结合《环境影响评价技术导则 大气环境》（HJ2.2-2008）中“6环境空气质量现状调查与评价 6.1.3三级评价项目：只调查项目所在区域环境质量达标情况”的规定，不进行特征污染物的补充监测。</w:t>
            </w:r>
          </w:p>
          <w:p>
            <w:pPr>
              <w:adjustRightInd w:val="0"/>
              <w:snapToGrid w:val="0"/>
              <w:rPr>
                <w:rFonts w:cs="Times New Roman"/>
                <w:b/>
              </w:rPr>
            </w:pPr>
            <w:r>
              <w:rPr>
                <w:rFonts w:cs="Times New Roman"/>
                <w:b/>
              </w:rPr>
              <w:t>（二）声环境现状监测与评价</w:t>
            </w:r>
          </w:p>
          <w:p>
            <w:pPr>
              <w:adjustRightInd w:val="0"/>
              <w:snapToGrid w:val="0"/>
              <w:ind w:firstLine="480" w:firstLineChars="200"/>
              <w:rPr>
                <w:rFonts w:cs="Times New Roman"/>
              </w:rPr>
            </w:pPr>
            <w:r>
              <w:rPr>
                <w:rFonts w:cs="Times New Roman"/>
              </w:rPr>
              <w:t>根据《建设项目环境影响报告表编制技术指南（污染影响类）》（试行）中“厂界外周边50米范围内存在声环境保护目标的建设项目，应监测保护目标声环境质量现状并评价达标情况”。经过现场踏勘，项目地厂界外50m范围内无声环境保护目标。因此可不进行声环境质量现状监测。</w:t>
            </w:r>
          </w:p>
          <w:p>
            <w:pPr>
              <w:adjustRightInd w:val="0"/>
              <w:snapToGrid w:val="0"/>
              <w:rPr>
                <w:rFonts w:cs="Times New Roman"/>
                <w:b/>
              </w:rPr>
            </w:pPr>
            <w:r>
              <w:rPr>
                <w:rFonts w:cs="Times New Roman"/>
                <w:b/>
              </w:rPr>
              <w:t>（三）地下水、土壤环境现状监测与评价</w:t>
            </w:r>
          </w:p>
          <w:p>
            <w:pPr>
              <w:adjustRightInd w:val="0"/>
              <w:snapToGrid w:val="0"/>
              <w:ind w:firstLine="480" w:firstLineChars="200"/>
              <w:rPr>
                <w:rFonts w:cs="Times New Roman"/>
                <w:kern w:val="21"/>
                <w:szCs w:val="21"/>
              </w:rPr>
            </w:pPr>
            <w:r>
              <w:rPr>
                <w:rFonts w:cs="Times New Roman"/>
              </w:rPr>
              <w:t>项目建成后，地面均做水泥硬化处理。在做好防渗的前提下，不会导致污染物的地表漫流及垂直入渗。因此不存在土壤、地下水污染途径。故可不进行土壤、地下水环境现状监测评价。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 w:type="pct"/>
            <w:vAlign w:val="center"/>
          </w:tcPr>
          <w:p>
            <w:pPr>
              <w:adjustRightInd w:val="0"/>
              <w:snapToGrid w:val="0"/>
              <w:spacing w:line="240" w:lineRule="auto"/>
              <w:jc w:val="center"/>
              <w:rPr>
                <w:rFonts w:cs="Times New Roman"/>
                <w:kern w:val="21"/>
                <w:szCs w:val="24"/>
              </w:rPr>
            </w:pPr>
            <w:r>
              <w:rPr>
                <w:rFonts w:cs="Times New Roman"/>
                <w:kern w:val="21"/>
                <w:szCs w:val="24"/>
              </w:rPr>
              <w:t>环境</w:t>
            </w:r>
          </w:p>
          <w:p>
            <w:pPr>
              <w:adjustRightInd w:val="0"/>
              <w:snapToGrid w:val="0"/>
              <w:spacing w:line="240" w:lineRule="auto"/>
              <w:jc w:val="center"/>
              <w:rPr>
                <w:rFonts w:cs="Times New Roman"/>
                <w:kern w:val="21"/>
                <w:szCs w:val="24"/>
              </w:rPr>
            </w:pPr>
            <w:r>
              <w:rPr>
                <w:rFonts w:cs="Times New Roman"/>
                <w:kern w:val="21"/>
                <w:szCs w:val="24"/>
              </w:rPr>
              <w:t>保护</w:t>
            </w:r>
          </w:p>
          <w:p>
            <w:pPr>
              <w:adjustRightInd w:val="0"/>
              <w:snapToGrid w:val="0"/>
              <w:spacing w:line="240" w:lineRule="auto"/>
              <w:jc w:val="center"/>
              <w:rPr>
                <w:rFonts w:cs="Times New Roman"/>
                <w:kern w:val="21"/>
                <w:szCs w:val="24"/>
              </w:rPr>
            </w:pPr>
            <w:r>
              <w:rPr>
                <w:rFonts w:cs="Times New Roman"/>
                <w:kern w:val="21"/>
                <w:szCs w:val="24"/>
              </w:rPr>
              <w:t>目标</w:t>
            </w:r>
          </w:p>
        </w:tc>
        <w:tc>
          <w:tcPr>
            <w:tcW w:w="9504" w:type="dxa"/>
            <w:vAlign w:val="center"/>
          </w:tcPr>
          <w:p>
            <w:pPr>
              <w:adjustRightInd w:val="0"/>
              <w:snapToGrid w:val="0"/>
              <w:ind w:firstLine="480" w:firstLineChars="200"/>
              <w:rPr>
                <w:rFonts w:cs="Times New Roman"/>
              </w:rPr>
            </w:pPr>
            <w:r>
              <w:rPr>
                <w:rFonts w:cs="Times New Roman"/>
              </w:rPr>
              <w:t>根据《建设项目环境影响报告表编制技术指南》（污染影响类）（试行）中环境保护目标：</w:t>
            </w:r>
            <w:r>
              <w:rPr>
                <w:rFonts w:hint="eastAsia" w:ascii="宋体" w:hAnsi="宋体" w:eastAsia="宋体" w:cs="宋体"/>
              </w:rPr>
              <w:t>①</w:t>
            </w:r>
            <w:r>
              <w:rPr>
                <w:rFonts w:cs="Times New Roman"/>
              </w:rPr>
              <w:t>大气环境。明确厂界外500米范围内的自然保护区、风景名胜区、居住区、文化区和农村地区中人群较集中的区域等保护目标的名称及与建设项目厂界位置关系；</w:t>
            </w:r>
            <w:r>
              <w:rPr>
                <w:rFonts w:hint="eastAsia" w:ascii="宋体" w:hAnsi="宋体" w:eastAsia="宋体" w:cs="宋体"/>
              </w:rPr>
              <w:t>②</w:t>
            </w:r>
            <w:r>
              <w:rPr>
                <w:rFonts w:cs="Times New Roman"/>
              </w:rPr>
              <w:t>声环境。明确厂界外50米范围内声环境保护目标。</w:t>
            </w:r>
          </w:p>
          <w:p>
            <w:pPr>
              <w:adjustRightInd w:val="0"/>
              <w:snapToGrid w:val="0"/>
              <w:ind w:firstLine="480" w:firstLineChars="200"/>
              <w:rPr>
                <w:rFonts w:cs="Times New Roman"/>
              </w:rPr>
            </w:pPr>
            <w:r>
              <w:rPr>
                <w:rFonts w:cs="Times New Roman"/>
              </w:rPr>
              <w:t>经实地调查了解，项目50m范围内无声环境敏感点；本项目设有大气专项评价，</w:t>
            </w:r>
            <w:bookmarkStart w:id="6" w:name="_Hlk156376992"/>
            <w:r>
              <w:rPr>
                <w:rFonts w:cs="Times New Roman"/>
              </w:rPr>
              <w:t>根据《环境影响评价技术导则 大气环境》（HJ2.2-2018）分级判据，本项目大气环境影响评价工作等级为三级，项目不需设置评价范围。根据《建设项目环境影响报告表编制技术指南》（污染影响类）（试行）确定，本项目评价范围为厂界外500米范围。</w:t>
            </w:r>
          </w:p>
          <w:p>
            <w:pPr>
              <w:adjustRightInd w:val="0"/>
              <w:snapToGrid w:val="0"/>
              <w:ind w:firstLine="480" w:firstLineChars="200"/>
              <w:rPr>
                <w:rFonts w:cs="Times New Roman"/>
              </w:rPr>
            </w:pPr>
            <w:r>
              <w:rPr>
                <w:rFonts w:hint="eastAsia" w:cs="Times New Roman"/>
              </w:rPr>
              <w:t>本项目东南侧渭滩村距离东南侧厂界约310m，西北侧渭河新村距离西北厂界约420m。搅拌场站位置距离渭滩村440m，距渭新村470m。</w:t>
            </w:r>
          </w:p>
          <w:bookmarkEnd w:id="6"/>
          <w:p>
            <w:pPr>
              <w:adjustRightInd w:val="0"/>
              <w:snapToGrid w:val="0"/>
              <w:spacing w:line="240" w:lineRule="auto"/>
              <w:jc w:val="center"/>
              <w:rPr>
                <w:rFonts w:eastAsia="宋体" w:cs="Times New Roman"/>
                <w:b/>
                <w:bCs/>
                <w:sz w:val="21"/>
                <w:szCs w:val="21"/>
              </w:rPr>
            </w:pPr>
            <w:r>
              <w:rPr>
                <w:rFonts w:eastAsia="宋体" w:cs="Times New Roman"/>
                <w:b/>
                <w:bCs/>
                <w:sz w:val="21"/>
                <w:szCs w:val="21"/>
              </w:rPr>
              <w:t>表3-2 主要保护目标</w:t>
            </w:r>
          </w:p>
          <w:tbl>
            <w:tblPr>
              <w:tblStyle w:val="18"/>
              <w:tblW w:w="4996"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13"/>
              <w:gridCol w:w="1065"/>
              <w:gridCol w:w="694"/>
              <w:gridCol w:w="810"/>
              <w:gridCol w:w="769"/>
              <w:gridCol w:w="414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Merge w:val="restart"/>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序号</w:t>
                  </w:r>
                </w:p>
              </w:tc>
              <w:tc>
                <w:tcPr>
                  <w:tcW w:w="599" w:type="pct"/>
                  <w:vMerge w:val="restart"/>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环境要素</w:t>
                  </w:r>
                </w:p>
              </w:tc>
              <w:tc>
                <w:tcPr>
                  <w:tcW w:w="573" w:type="pct"/>
                  <w:vMerge w:val="restart"/>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保护目标</w:t>
                  </w:r>
                </w:p>
              </w:tc>
              <w:tc>
                <w:tcPr>
                  <w:tcW w:w="810" w:type="pct"/>
                  <w:gridSpan w:val="2"/>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相对场址位置</w:t>
                  </w:r>
                </w:p>
              </w:tc>
              <w:tc>
                <w:tcPr>
                  <w:tcW w:w="414" w:type="pct"/>
                  <w:vMerge w:val="restart"/>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人口数量</w:t>
                  </w:r>
                </w:p>
              </w:tc>
              <w:tc>
                <w:tcPr>
                  <w:tcW w:w="2229" w:type="pct"/>
                  <w:vMerge w:val="restart"/>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保护级别</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Merge w:val="continue"/>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p>
              </w:tc>
              <w:tc>
                <w:tcPr>
                  <w:tcW w:w="599" w:type="pct"/>
                  <w:vMerge w:val="continue"/>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p>
              </w:tc>
              <w:tc>
                <w:tcPr>
                  <w:tcW w:w="573" w:type="pct"/>
                  <w:vMerge w:val="continue"/>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p>
              </w:tc>
              <w:tc>
                <w:tcPr>
                  <w:tcW w:w="374" w:type="pct"/>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方位</w:t>
                  </w:r>
                </w:p>
              </w:tc>
              <w:tc>
                <w:tcPr>
                  <w:tcW w:w="436" w:type="pct"/>
                  <w:tcBorders>
                    <w:tl2br w:val="nil"/>
                    <w:tr2bl w:val="nil"/>
                  </w:tcBorders>
                  <w:vAlign w:val="center"/>
                </w:tcPr>
                <w:p>
                  <w:pPr>
                    <w:widowControl/>
                    <w:adjustRightInd w:val="0"/>
                    <w:snapToGrid w:val="0"/>
                    <w:spacing w:line="260" w:lineRule="exact"/>
                    <w:jc w:val="center"/>
                    <w:textAlignment w:val="center"/>
                    <w:rPr>
                      <w:rFonts w:cs="Times New Roman"/>
                      <w:b/>
                      <w:bCs/>
                      <w:kern w:val="0"/>
                      <w:sz w:val="21"/>
                      <w:szCs w:val="21"/>
                      <w:lang w:bidi="ar"/>
                    </w:rPr>
                  </w:pPr>
                  <w:r>
                    <w:rPr>
                      <w:rFonts w:cs="Times New Roman"/>
                      <w:b/>
                      <w:bCs/>
                      <w:kern w:val="0"/>
                      <w:sz w:val="21"/>
                      <w:szCs w:val="21"/>
                      <w:lang w:bidi="ar"/>
                    </w:rPr>
                    <w:t>距离</w:t>
                  </w:r>
                </w:p>
              </w:tc>
              <w:tc>
                <w:tcPr>
                  <w:tcW w:w="414" w:type="pct"/>
                  <w:vMerge w:val="continue"/>
                  <w:tcBorders>
                    <w:tl2br w:val="nil"/>
                    <w:tr2bl w:val="nil"/>
                  </w:tcBorders>
                </w:tcPr>
                <w:p>
                  <w:pPr>
                    <w:widowControl/>
                    <w:adjustRightInd w:val="0"/>
                    <w:snapToGrid w:val="0"/>
                    <w:spacing w:line="260" w:lineRule="exact"/>
                    <w:jc w:val="center"/>
                    <w:textAlignment w:val="center"/>
                    <w:rPr>
                      <w:rFonts w:cs="Times New Roman"/>
                      <w:kern w:val="0"/>
                      <w:sz w:val="21"/>
                      <w:szCs w:val="21"/>
                      <w:lang w:bidi="ar"/>
                    </w:rPr>
                  </w:pPr>
                </w:p>
              </w:tc>
              <w:tc>
                <w:tcPr>
                  <w:tcW w:w="2229" w:type="pct"/>
                  <w:vMerge w:val="continue"/>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1</w:t>
                  </w:r>
                </w:p>
              </w:tc>
              <w:tc>
                <w:tcPr>
                  <w:tcW w:w="599" w:type="pct"/>
                  <w:vMerge w:val="restar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环境空气</w:t>
                  </w:r>
                </w:p>
              </w:tc>
              <w:tc>
                <w:tcPr>
                  <w:tcW w:w="57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渭滩村</w:t>
                  </w:r>
                </w:p>
              </w:tc>
              <w:tc>
                <w:tcPr>
                  <w:tcW w:w="374"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东南</w:t>
                  </w:r>
                </w:p>
              </w:tc>
              <w:tc>
                <w:tcPr>
                  <w:tcW w:w="436"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310m</w:t>
                  </w:r>
                </w:p>
              </w:tc>
              <w:tc>
                <w:tcPr>
                  <w:tcW w:w="414"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300人</w:t>
                  </w:r>
                </w:p>
              </w:tc>
              <w:tc>
                <w:tcPr>
                  <w:tcW w:w="2229" w:type="pct"/>
                  <w:vMerge w:val="restar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《环境空气质量标准》（GB3095-2012）二级标准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2</w:t>
                  </w:r>
                </w:p>
              </w:tc>
              <w:tc>
                <w:tcPr>
                  <w:tcW w:w="599" w:type="pct"/>
                  <w:vMerge w:val="continue"/>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p>
              </w:tc>
              <w:tc>
                <w:tcPr>
                  <w:tcW w:w="573"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渭新村</w:t>
                  </w:r>
                </w:p>
              </w:tc>
              <w:tc>
                <w:tcPr>
                  <w:tcW w:w="374"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西北</w:t>
                  </w:r>
                </w:p>
              </w:tc>
              <w:tc>
                <w:tcPr>
                  <w:tcW w:w="436"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420m</w:t>
                  </w:r>
                </w:p>
              </w:tc>
              <w:tc>
                <w:tcPr>
                  <w:tcW w:w="414" w:type="pct"/>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r>
                    <w:rPr>
                      <w:rFonts w:cs="Times New Roman"/>
                      <w:kern w:val="0"/>
                      <w:sz w:val="21"/>
                      <w:szCs w:val="21"/>
                      <w:lang w:bidi="ar"/>
                    </w:rPr>
                    <w:t>320人</w:t>
                  </w:r>
                </w:p>
              </w:tc>
              <w:tc>
                <w:tcPr>
                  <w:tcW w:w="2229" w:type="pct"/>
                  <w:vMerge w:val="continue"/>
                  <w:tcBorders>
                    <w:tl2br w:val="nil"/>
                    <w:tr2bl w:val="nil"/>
                  </w:tcBorders>
                  <w:vAlign w:val="center"/>
                </w:tcPr>
                <w:p>
                  <w:pPr>
                    <w:widowControl/>
                    <w:adjustRightInd w:val="0"/>
                    <w:snapToGrid w:val="0"/>
                    <w:spacing w:line="260" w:lineRule="exact"/>
                    <w:jc w:val="center"/>
                    <w:textAlignment w:val="center"/>
                    <w:rPr>
                      <w:rFonts w:cs="Times New Roman"/>
                      <w:kern w:val="0"/>
                      <w:sz w:val="21"/>
                      <w:szCs w:val="21"/>
                      <w:lang w:bidi="ar"/>
                    </w:rPr>
                  </w:pPr>
                </w:p>
              </w:tc>
            </w:tr>
          </w:tbl>
          <w:p>
            <w:pPr>
              <w:adjustRightInd w:val="0"/>
              <w:snapToGrid w:val="0"/>
              <w:ind w:firstLine="480" w:firstLineChars="200"/>
              <w:rPr>
                <w:rFonts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6" w:type="pct"/>
            <w:tcMar>
              <w:left w:w="28" w:type="dxa"/>
              <w:right w:w="28" w:type="dxa"/>
            </w:tcMar>
            <w:vAlign w:val="center"/>
          </w:tcPr>
          <w:p>
            <w:pPr>
              <w:adjustRightInd w:val="0"/>
              <w:snapToGrid w:val="0"/>
              <w:spacing w:line="240" w:lineRule="auto"/>
              <w:jc w:val="center"/>
              <w:rPr>
                <w:rFonts w:cs="Times New Roman"/>
                <w:kern w:val="21"/>
                <w:szCs w:val="24"/>
              </w:rPr>
            </w:pPr>
            <w:r>
              <w:rPr>
                <w:rFonts w:cs="Times New Roman"/>
                <w:kern w:val="21"/>
                <w:szCs w:val="24"/>
              </w:rPr>
              <w:t>污染</w:t>
            </w:r>
          </w:p>
          <w:p>
            <w:pPr>
              <w:adjustRightInd w:val="0"/>
              <w:snapToGrid w:val="0"/>
              <w:spacing w:line="240" w:lineRule="auto"/>
              <w:jc w:val="center"/>
              <w:rPr>
                <w:rFonts w:cs="Times New Roman"/>
                <w:kern w:val="21"/>
                <w:szCs w:val="24"/>
              </w:rPr>
            </w:pPr>
            <w:r>
              <w:rPr>
                <w:rFonts w:cs="Times New Roman"/>
                <w:kern w:val="21"/>
                <w:szCs w:val="24"/>
              </w:rPr>
              <w:t>物排</w:t>
            </w:r>
          </w:p>
          <w:p>
            <w:pPr>
              <w:adjustRightInd w:val="0"/>
              <w:snapToGrid w:val="0"/>
              <w:spacing w:line="240" w:lineRule="auto"/>
              <w:jc w:val="center"/>
              <w:rPr>
                <w:rFonts w:cs="Times New Roman"/>
                <w:kern w:val="21"/>
                <w:szCs w:val="24"/>
              </w:rPr>
            </w:pPr>
            <w:r>
              <w:rPr>
                <w:rFonts w:cs="Times New Roman"/>
                <w:kern w:val="21"/>
                <w:szCs w:val="24"/>
              </w:rPr>
              <w:t>放控</w:t>
            </w:r>
          </w:p>
          <w:p>
            <w:pPr>
              <w:adjustRightInd w:val="0"/>
              <w:snapToGrid w:val="0"/>
              <w:spacing w:line="240" w:lineRule="auto"/>
              <w:jc w:val="center"/>
              <w:rPr>
                <w:rFonts w:cs="Times New Roman"/>
                <w:kern w:val="21"/>
                <w:szCs w:val="24"/>
              </w:rPr>
            </w:pPr>
            <w:r>
              <w:rPr>
                <w:rFonts w:cs="Times New Roman"/>
                <w:kern w:val="21"/>
                <w:szCs w:val="24"/>
              </w:rPr>
              <w:t>制标</w:t>
            </w:r>
          </w:p>
          <w:p>
            <w:pPr>
              <w:adjustRightInd w:val="0"/>
              <w:snapToGrid w:val="0"/>
              <w:spacing w:line="240" w:lineRule="auto"/>
              <w:jc w:val="center"/>
              <w:rPr>
                <w:rFonts w:cs="Times New Roman"/>
                <w:kern w:val="21"/>
                <w:szCs w:val="24"/>
              </w:rPr>
            </w:pPr>
            <w:r>
              <w:rPr>
                <w:rFonts w:cs="Times New Roman"/>
                <w:kern w:val="21"/>
                <w:szCs w:val="24"/>
              </w:rPr>
              <w:t>准</w:t>
            </w:r>
          </w:p>
        </w:tc>
        <w:tc>
          <w:tcPr>
            <w:tcW w:w="4773" w:type="pct"/>
            <w:vAlign w:val="center"/>
          </w:tcPr>
          <w:p>
            <w:pPr>
              <w:adjustRightInd w:val="0"/>
              <w:snapToGrid w:val="0"/>
              <w:spacing w:before="120" w:beforeLines="50"/>
              <w:rPr>
                <w:rFonts w:cs="Times New Roman"/>
                <w:b/>
              </w:rPr>
            </w:pPr>
            <w:r>
              <w:rPr>
                <w:rFonts w:cs="Times New Roman"/>
                <w:b/>
              </w:rPr>
              <w:t>（一）大气污染物排放标准</w:t>
            </w:r>
          </w:p>
          <w:p>
            <w:pPr>
              <w:adjustRightInd w:val="0"/>
              <w:ind w:firstLine="480" w:firstLineChars="200"/>
              <w:jc w:val="both"/>
              <w:rPr>
                <w:rFonts w:eastAsia="宋体" w:cs="Times New Roman"/>
                <w:szCs w:val="24"/>
              </w:rPr>
            </w:pPr>
            <w:r>
              <w:rPr>
                <w:rFonts w:eastAsia="宋体" w:cs="Times New Roman"/>
                <w:szCs w:val="24"/>
              </w:rPr>
              <w:t>施工期扬尘执行《施工厂界扬尘排放限值》（DB61/1078-2017）中的要求。</w:t>
            </w:r>
          </w:p>
          <w:p>
            <w:pPr>
              <w:adjustRightInd w:val="0"/>
              <w:ind w:firstLine="480" w:firstLineChars="200"/>
              <w:jc w:val="both"/>
              <w:rPr>
                <w:rFonts w:eastAsia="宋体" w:cs="Times New Roman"/>
                <w:szCs w:val="24"/>
              </w:rPr>
            </w:pPr>
            <w:r>
              <w:rPr>
                <w:rFonts w:eastAsia="宋体" w:cs="Times New Roman"/>
                <w:szCs w:val="24"/>
              </w:rPr>
              <w:t>运营期有组织颗粒物执行《关中地区重点行业大气污染排放标准》（DB61/941-2018）中“表1水泥工业大气污染物排放浓度限值”，无组织颗粒物执行《水泥工业大气污染物排放标准》（GB4915-2013）中表3大气污染物无组织排放限值要求。</w:t>
            </w:r>
          </w:p>
          <w:p>
            <w:pPr>
              <w:pStyle w:val="24"/>
              <w:adjustRightInd w:val="0"/>
              <w:snapToGrid w:val="0"/>
              <w:rPr>
                <w:rFonts w:cs="Times New Roman"/>
                <w:szCs w:val="21"/>
              </w:rPr>
            </w:pPr>
            <w:r>
              <w:rPr>
                <w:rFonts w:cs="Times New Roman"/>
                <w:szCs w:val="21"/>
              </w:rPr>
              <w:t>表</w:t>
            </w:r>
            <w:r>
              <w:rPr>
                <w:rFonts w:cs="Times New Roman"/>
                <w:szCs w:val="21"/>
                <w:lang w:val="en-US"/>
              </w:rPr>
              <w:t>3-3</w:t>
            </w:r>
            <w:r>
              <w:rPr>
                <w:rFonts w:cs="Times New Roman"/>
                <w:szCs w:val="21"/>
              </w:rPr>
              <w:t xml:space="preserve"> 本项目大气污染物排放标准一览表</w:t>
            </w:r>
          </w:p>
          <w:tbl>
            <w:tblPr>
              <w:tblStyle w:val="18"/>
              <w:tblW w:w="5000" w:type="pct"/>
              <w:tblInd w:w="0" w:type="dxa"/>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99"/>
              <w:gridCol w:w="2125"/>
              <w:gridCol w:w="710"/>
              <w:gridCol w:w="710"/>
              <w:gridCol w:w="2693"/>
              <w:gridCol w:w="1277"/>
              <w:gridCol w:w="1377"/>
            </w:tblGrid>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1358" w:type="pct"/>
                  <w:gridSpan w:val="2"/>
                  <w:vMerge w:val="restart"/>
                  <w:vAlign w:val="center"/>
                </w:tcPr>
                <w:p>
                  <w:pPr>
                    <w:adjustRightInd w:val="0"/>
                    <w:snapToGrid w:val="0"/>
                    <w:spacing w:line="240" w:lineRule="auto"/>
                    <w:jc w:val="center"/>
                    <w:rPr>
                      <w:rFonts w:eastAsia="宋体" w:cs="Times New Roman"/>
                      <w:b/>
                      <w:bCs/>
                      <w:sz w:val="21"/>
                      <w:szCs w:val="21"/>
                    </w:rPr>
                  </w:pPr>
                  <w:r>
                    <w:rPr>
                      <w:rFonts w:eastAsia="宋体" w:cs="Times New Roman"/>
                      <w:b/>
                      <w:bCs/>
                      <w:sz w:val="21"/>
                      <w:szCs w:val="21"/>
                    </w:rPr>
                    <w:t>执行标准</w:t>
                  </w:r>
                </w:p>
              </w:tc>
              <w:tc>
                <w:tcPr>
                  <w:tcW w:w="382" w:type="pct"/>
                  <w:vMerge w:val="restart"/>
                  <w:vAlign w:val="center"/>
                </w:tcPr>
                <w:p>
                  <w:pPr>
                    <w:adjustRightInd w:val="0"/>
                    <w:snapToGrid w:val="0"/>
                    <w:spacing w:line="240" w:lineRule="auto"/>
                    <w:jc w:val="center"/>
                    <w:rPr>
                      <w:rFonts w:eastAsia="宋体" w:cs="Times New Roman"/>
                      <w:b/>
                      <w:bCs/>
                      <w:sz w:val="21"/>
                      <w:szCs w:val="21"/>
                    </w:rPr>
                  </w:pPr>
                  <w:r>
                    <w:rPr>
                      <w:rFonts w:eastAsia="宋体" w:cs="Times New Roman"/>
                      <w:b/>
                      <w:bCs/>
                      <w:sz w:val="21"/>
                      <w:szCs w:val="21"/>
                    </w:rPr>
                    <w:t>污染物</w:t>
                  </w:r>
                </w:p>
              </w:tc>
              <w:tc>
                <w:tcPr>
                  <w:tcW w:w="3260" w:type="pct"/>
                  <w:gridSpan w:val="4"/>
                  <w:vAlign w:val="center"/>
                </w:tcPr>
                <w:p>
                  <w:pPr>
                    <w:adjustRightInd w:val="0"/>
                    <w:snapToGrid w:val="0"/>
                    <w:spacing w:line="240" w:lineRule="auto"/>
                    <w:jc w:val="center"/>
                    <w:rPr>
                      <w:rFonts w:eastAsia="宋体" w:cs="Times New Roman"/>
                      <w:b/>
                      <w:bCs/>
                      <w:sz w:val="21"/>
                      <w:szCs w:val="21"/>
                    </w:rPr>
                  </w:pPr>
                  <w:r>
                    <w:rPr>
                      <w:rFonts w:eastAsia="宋体" w:cs="Times New Roman"/>
                      <w:b/>
                      <w:bCs/>
                      <w:sz w:val="21"/>
                      <w:szCs w:val="21"/>
                    </w:rPr>
                    <w:t>标准值</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1358" w:type="pct"/>
                  <w:gridSpan w:val="2"/>
                  <w:vMerge w:val="continue"/>
                  <w:vAlign w:val="center"/>
                </w:tcPr>
                <w:p>
                  <w:pPr>
                    <w:widowControl/>
                    <w:adjustRightInd w:val="0"/>
                    <w:snapToGrid w:val="0"/>
                    <w:spacing w:line="240" w:lineRule="auto"/>
                    <w:jc w:val="center"/>
                    <w:rPr>
                      <w:rFonts w:eastAsia="宋体" w:cs="Times New Roman"/>
                      <w:b/>
                      <w:bCs/>
                      <w:sz w:val="21"/>
                      <w:szCs w:val="21"/>
                    </w:rPr>
                  </w:pPr>
                </w:p>
              </w:tc>
              <w:tc>
                <w:tcPr>
                  <w:tcW w:w="382" w:type="pct"/>
                  <w:vMerge w:val="continue"/>
                  <w:vAlign w:val="center"/>
                </w:tcPr>
                <w:p>
                  <w:pPr>
                    <w:widowControl/>
                    <w:adjustRightInd w:val="0"/>
                    <w:snapToGrid w:val="0"/>
                    <w:spacing w:line="240" w:lineRule="auto"/>
                    <w:jc w:val="center"/>
                    <w:rPr>
                      <w:rFonts w:eastAsia="宋体" w:cs="Times New Roman"/>
                      <w:b/>
                      <w:bCs/>
                      <w:sz w:val="21"/>
                      <w:szCs w:val="21"/>
                    </w:rPr>
                  </w:pPr>
                </w:p>
              </w:tc>
              <w:tc>
                <w:tcPr>
                  <w:tcW w:w="1831" w:type="pct"/>
                  <w:gridSpan w:val="2"/>
                  <w:vAlign w:val="center"/>
                </w:tcPr>
                <w:p>
                  <w:pPr>
                    <w:widowControl/>
                    <w:adjustRightInd w:val="0"/>
                    <w:snapToGrid w:val="0"/>
                    <w:spacing w:line="240" w:lineRule="auto"/>
                    <w:jc w:val="center"/>
                    <w:rPr>
                      <w:rFonts w:eastAsia="宋体" w:cs="Times New Roman"/>
                      <w:b/>
                      <w:bCs/>
                      <w:sz w:val="21"/>
                      <w:szCs w:val="21"/>
                    </w:rPr>
                  </w:pPr>
                  <w:r>
                    <w:rPr>
                      <w:rFonts w:eastAsia="宋体" w:cs="Times New Roman"/>
                      <w:b/>
                      <w:bCs/>
                      <w:sz w:val="21"/>
                      <w:szCs w:val="21"/>
                    </w:rPr>
                    <w:t>监控点</w:t>
                  </w:r>
                </w:p>
              </w:tc>
              <w:tc>
                <w:tcPr>
                  <w:tcW w:w="687" w:type="pct"/>
                  <w:vAlign w:val="center"/>
                </w:tcPr>
                <w:p>
                  <w:pPr>
                    <w:widowControl/>
                    <w:adjustRightInd w:val="0"/>
                    <w:snapToGrid w:val="0"/>
                    <w:spacing w:line="240" w:lineRule="auto"/>
                    <w:jc w:val="center"/>
                    <w:rPr>
                      <w:rFonts w:eastAsia="宋体" w:cs="Times New Roman"/>
                      <w:b/>
                      <w:bCs/>
                      <w:sz w:val="21"/>
                      <w:szCs w:val="21"/>
                    </w:rPr>
                  </w:pPr>
                  <w:r>
                    <w:rPr>
                      <w:rFonts w:eastAsia="宋体" w:cs="Times New Roman"/>
                      <w:b/>
                      <w:bCs/>
                      <w:sz w:val="21"/>
                      <w:szCs w:val="21"/>
                    </w:rPr>
                    <w:t>浓度</w:t>
                  </w:r>
                </w:p>
              </w:tc>
              <w:tc>
                <w:tcPr>
                  <w:tcW w:w="742" w:type="pct"/>
                </w:tcPr>
                <w:p>
                  <w:pPr>
                    <w:widowControl/>
                    <w:adjustRightInd w:val="0"/>
                    <w:snapToGrid w:val="0"/>
                    <w:spacing w:line="240" w:lineRule="auto"/>
                    <w:jc w:val="center"/>
                    <w:rPr>
                      <w:rFonts w:eastAsia="宋体" w:cs="Times New Roman"/>
                      <w:b/>
                      <w:bCs/>
                      <w:sz w:val="21"/>
                      <w:szCs w:val="21"/>
                    </w:rPr>
                  </w:pPr>
                  <w:r>
                    <w:rPr>
                      <w:rFonts w:hint="eastAsia" w:eastAsia="宋体" w:cs="Times New Roman"/>
                      <w:b/>
                      <w:bCs/>
                      <w:sz w:val="21"/>
                      <w:szCs w:val="21"/>
                    </w:rPr>
                    <w:t>速率</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5" w:type="pct"/>
                  <w:vMerge w:val="restart"/>
                  <w:vAlign w:val="center"/>
                </w:tcPr>
                <w:p>
                  <w:pPr>
                    <w:adjustRightInd w:val="0"/>
                    <w:snapToGrid w:val="0"/>
                    <w:spacing w:line="240" w:lineRule="auto"/>
                    <w:jc w:val="center"/>
                    <w:rPr>
                      <w:rFonts w:eastAsia="宋体" w:cs="Times New Roman"/>
                      <w:sz w:val="21"/>
                      <w:szCs w:val="21"/>
                    </w:rPr>
                  </w:pPr>
                  <w:r>
                    <w:rPr>
                      <w:rFonts w:eastAsia="宋体" w:cs="Times New Roman"/>
                      <w:sz w:val="21"/>
                      <w:szCs w:val="21"/>
                    </w:rPr>
                    <w:t>施工期</w:t>
                  </w:r>
                </w:p>
              </w:tc>
              <w:tc>
                <w:tcPr>
                  <w:tcW w:w="1144" w:type="pct"/>
                  <w:vMerge w:val="restart"/>
                  <w:vAlign w:val="center"/>
                </w:tcPr>
                <w:p>
                  <w:pPr>
                    <w:adjustRightInd w:val="0"/>
                    <w:snapToGrid w:val="0"/>
                    <w:spacing w:line="240" w:lineRule="auto"/>
                    <w:jc w:val="center"/>
                    <w:rPr>
                      <w:rFonts w:cs="Times New Roman"/>
                      <w:kern w:val="0"/>
                      <w:sz w:val="21"/>
                      <w:szCs w:val="21"/>
                    </w:rPr>
                  </w:pPr>
                  <w:r>
                    <w:rPr>
                      <w:rFonts w:eastAsia="宋体" w:cs="Times New Roman"/>
                      <w:kern w:val="0"/>
                      <w:sz w:val="21"/>
                      <w:szCs w:val="21"/>
                      <w:lang w:bidi="ar"/>
                    </w:rPr>
                    <w:t>《施工场界扬尘排放限值》（DB61/1078-2017）</w:t>
                  </w:r>
                </w:p>
              </w:tc>
              <w:tc>
                <w:tcPr>
                  <w:tcW w:w="382" w:type="pct"/>
                  <w:vMerge w:val="restart"/>
                  <w:vAlign w:val="center"/>
                </w:tcPr>
                <w:p>
                  <w:pPr>
                    <w:adjustRightInd w:val="0"/>
                    <w:snapToGrid w:val="0"/>
                    <w:spacing w:line="240" w:lineRule="auto"/>
                    <w:jc w:val="center"/>
                    <w:rPr>
                      <w:rFonts w:eastAsia="宋体" w:cs="Times New Roman"/>
                      <w:sz w:val="21"/>
                      <w:szCs w:val="21"/>
                    </w:rPr>
                  </w:pPr>
                  <w:r>
                    <w:rPr>
                      <w:rFonts w:eastAsia="宋体" w:cs="Times New Roman"/>
                      <w:sz w:val="21"/>
                      <w:szCs w:val="21"/>
                    </w:rPr>
                    <w:t>TSP</w:t>
                  </w:r>
                </w:p>
              </w:tc>
              <w:tc>
                <w:tcPr>
                  <w:tcW w:w="382" w:type="pct"/>
                  <w:vMerge w:val="restart"/>
                  <w:vAlign w:val="center"/>
                </w:tcPr>
                <w:p>
                  <w:pPr>
                    <w:widowControl/>
                    <w:adjustRightInd w:val="0"/>
                    <w:snapToGrid w:val="0"/>
                    <w:spacing w:line="240" w:lineRule="auto"/>
                    <w:jc w:val="center"/>
                    <w:rPr>
                      <w:rFonts w:eastAsia="宋体" w:cs="Times New Roman"/>
                      <w:sz w:val="21"/>
                      <w:szCs w:val="21"/>
                    </w:rPr>
                  </w:pPr>
                  <w:r>
                    <w:rPr>
                      <w:rFonts w:eastAsia="宋体" w:cs="Times New Roman"/>
                      <w:sz w:val="21"/>
                      <w:szCs w:val="21"/>
                    </w:rPr>
                    <w:t>无组织</w:t>
                  </w:r>
                </w:p>
              </w:tc>
              <w:tc>
                <w:tcPr>
                  <w:tcW w:w="1449" w:type="pct"/>
                  <w:vAlign w:val="center"/>
                </w:tcPr>
                <w:p>
                  <w:pPr>
                    <w:adjustRightInd w:val="0"/>
                    <w:snapToGrid w:val="0"/>
                    <w:spacing w:line="240" w:lineRule="auto"/>
                    <w:jc w:val="center"/>
                    <w:rPr>
                      <w:rFonts w:cs="Times New Roman"/>
                      <w:kern w:val="0"/>
                      <w:sz w:val="21"/>
                      <w:szCs w:val="21"/>
                    </w:rPr>
                  </w:pPr>
                  <w:r>
                    <w:rPr>
                      <w:rFonts w:eastAsia="宋体" w:cs="Times New Roman"/>
                      <w:kern w:val="44"/>
                      <w:sz w:val="21"/>
                      <w:szCs w:val="21"/>
                    </w:rPr>
                    <w:t>拆除、土方及地基处理工程</w:t>
                  </w:r>
                </w:p>
              </w:tc>
              <w:tc>
                <w:tcPr>
                  <w:tcW w:w="687" w:type="pct"/>
                  <w:vAlign w:val="center"/>
                </w:tcPr>
                <w:p>
                  <w:pPr>
                    <w:adjustRightInd w:val="0"/>
                    <w:snapToGrid w:val="0"/>
                    <w:spacing w:line="240" w:lineRule="auto"/>
                    <w:jc w:val="center"/>
                    <w:rPr>
                      <w:rFonts w:cs="Times New Roman"/>
                      <w:kern w:val="0"/>
                      <w:sz w:val="21"/>
                      <w:szCs w:val="21"/>
                    </w:rPr>
                  </w:pPr>
                  <w:r>
                    <w:rPr>
                      <w:rFonts w:eastAsia="宋体" w:cs="Times New Roman"/>
                      <w:kern w:val="44"/>
                      <w:sz w:val="21"/>
                      <w:szCs w:val="21"/>
                    </w:rPr>
                    <w:t>≤0.8mg/m</w:t>
                  </w:r>
                  <w:r>
                    <w:rPr>
                      <w:rFonts w:eastAsia="宋体" w:cs="Times New Roman"/>
                      <w:kern w:val="44"/>
                      <w:sz w:val="21"/>
                      <w:szCs w:val="21"/>
                      <w:vertAlign w:val="superscript"/>
                    </w:rPr>
                    <w:t>3</w:t>
                  </w:r>
                </w:p>
              </w:tc>
              <w:tc>
                <w:tcPr>
                  <w:tcW w:w="742" w:type="pct"/>
                  <w:vAlign w:val="center"/>
                </w:tcPr>
                <w:p>
                  <w:pPr>
                    <w:adjustRightInd w:val="0"/>
                    <w:snapToGrid w:val="0"/>
                    <w:spacing w:line="240" w:lineRule="auto"/>
                    <w:jc w:val="center"/>
                    <w:rPr>
                      <w:rFonts w:eastAsia="宋体" w:cs="Times New Roman"/>
                      <w:kern w:val="44"/>
                      <w:sz w:val="21"/>
                      <w:szCs w:val="21"/>
                    </w:rPr>
                  </w:pPr>
                  <w:r>
                    <w:rPr>
                      <w:rFonts w:hint="eastAsia" w:eastAsia="宋体" w:cs="Times New Roman"/>
                      <w:kern w:val="44"/>
                      <w:sz w:val="21"/>
                      <w:szCs w:val="21"/>
                    </w:rPr>
                    <w:t>/</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5" w:type="pct"/>
                  <w:vMerge w:val="continue"/>
                  <w:vAlign w:val="center"/>
                </w:tcPr>
                <w:p>
                  <w:pPr>
                    <w:widowControl/>
                    <w:adjustRightInd w:val="0"/>
                    <w:snapToGrid w:val="0"/>
                    <w:spacing w:line="240" w:lineRule="auto"/>
                    <w:jc w:val="center"/>
                    <w:rPr>
                      <w:rFonts w:cs="Times New Roman"/>
                      <w:sz w:val="21"/>
                      <w:szCs w:val="21"/>
                    </w:rPr>
                  </w:pPr>
                </w:p>
              </w:tc>
              <w:tc>
                <w:tcPr>
                  <w:tcW w:w="1144" w:type="pct"/>
                  <w:vMerge w:val="continue"/>
                  <w:vAlign w:val="center"/>
                </w:tcPr>
                <w:p>
                  <w:pPr>
                    <w:widowControl/>
                    <w:adjustRightInd w:val="0"/>
                    <w:snapToGrid w:val="0"/>
                    <w:spacing w:line="240" w:lineRule="auto"/>
                    <w:jc w:val="center"/>
                    <w:rPr>
                      <w:rFonts w:cs="Times New Roman"/>
                      <w:sz w:val="21"/>
                      <w:szCs w:val="21"/>
                    </w:rPr>
                  </w:pPr>
                </w:p>
              </w:tc>
              <w:tc>
                <w:tcPr>
                  <w:tcW w:w="382" w:type="pct"/>
                  <w:vMerge w:val="continue"/>
                  <w:vAlign w:val="center"/>
                </w:tcPr>
                <w:p>
                  <w:pPr>
                    <w:widowControl/>
                    <w:adjustRightInd w:val="0"/>
                    <w:snapToGrid w:val="0"/>
                    <w:spacing w:line="240" w:lineRule="auto"/>
                    <w:jc w:val="center"/>
                    <w:rPr>
                      <w:rFonts w:cs="Times New Roman"/>
                      <w:sz w:val="21"/>
                      <w:szCs w:val="21"/>
                    </w:rPr>
                  </w:pPr>
                </w:p>
              </w:tc>
              <w:tc>
                <w:tcPr>
                  <w:tcW w:w="382" w:type="pct"/>
                  <w:vMerge w:val="continue"/>
                  <w:vAlign w:val="center"/>
                </w:tcPr>
                <w:p>
                  <w:pPr>
                    <w:widowControl/>
                    <w:adjustRightInd w:val="0"/>
                    <w:snapToGrid w:val="0"/>
                    <w:spacing w:line="240" w:lineRule="auto"/>
                    <w:jc w:val="center"/>
                    <w:rPr>
                      <w:rFonts w:cs="Times New Roman"/>
                      <w:sz w:val="21"/>
                      <w:szCs w:val="21"/>
                    </w:rPr>
                  </w:pPr>
                </w:p>
              </w:tc>
              <w:tc>
                <w:tcPr>
                  <w:tcW w:w="1449" w:type="pct"/>
                  <w:vAlign w:val="center"/>
                </w:tcPr>
                <w:p>
                  <w:pPr>
                    <w:adjustRightInd w:val="0"/>
                    <w:snapToGrid w:val="0"/>
                    <w:spacing w:line="240" w:lineRule="auto"/>
                    <w:jc w:val="center"/>
                    <w:rPr>
                      <w:rFonts w:cs="Times New Roman"/>
                      <w:kern w:val="0"/>
                      <w:sz w:val="21"/>
                      <w:szCs w:val="21"/>
                    </w:rPr>
                  </w:pPr>
                  <w:r>
                    <w:rPr>
                      <w:rFonts w:eastAsia="宋体" w:cs="Times New Roman"/>
                      <w:kern w:val="44"/>
                      <w:sz w:val="21"/>
                      <w:szCs w:val="21"/>
                    </w:rPr>
                    <w:t>基础、主体结构及装饰工程</w:t>
                  </w:r>
                </w:p>
              </w:tc>
              <w:tc>
                <w:tcPr>
                  <w:tcW w:w="687" w:type="pct"/>
                  <w:vAlign w:val="center"/>
                </w:tcPr>
                <w:p>
                  <w:pPr>
                    <w:adjustRightInd w:val="0"/>
                    <w:snapToGrid w:val="0"/>
                    <w:spacing w:line="240" w:lineRule="auto"/>
                    <w:jc w:val="center"/>
                    <w:rPr>
                      <w:rFonts w:cs="Times New Roman"/>
                      <w:kern w:val="0"/>
                      <w:sz w:val="21"/>
                      <w:szCs w:val="21"/>
                    </w:rPr>
                  </w:pPr>
                  <w:r>
                    <w:rPr>
                      <w:rFonts w:eastAsia="宋体" w:cs="Times New Roman"/>
                      <w:kern w:val="44"/>
                      <w:sz w:val="21"/>
                      <w:szCs w:val="21"/>
                    </w:rPr>
                    <w:t>≤0.7mg/m</w:t>
                  </w:r>
                  <w:r>
                    <w:rPr>
                      <w:rFonts w:eastAsia="宋体" w:cs="Times New Roman"/>
                      <w:kern w:val="44"/>
                      <w:sz w:val="21"/>
                      <w:szCs w:val="21"/>
                      <w:vertAlign w:val="superscript"/>
                    </w:rPr>
                    <w:t>3</w:t>
                  </w:r>
                </w:p>
              </w:tc>
              <w:tc>
                <w:tcPr>
                  <w:tcW w:w="742" w:type="pct"/>
                  <w:vAlign w:val="center"/>
                </w:tcPr>
                <w:p>
                  <w:pPr>
                    <w:adjustRightInd w:val="0"/>
                    <w:snapToGrid w:val="0"/>
                    <w:spacing w:line="240" w:lineRule="auto"/>
                    <w:jc w:val="center"/>
                    <w:rPr>
                      <w:rFonts w:eastAsia="宋体" w:cs="Times New Roman"/>
                      <w:kern w:val="44"/>
                      <w:sz w:val="21"/>
                      <w:szCs w:val="21"/>
                    </w:rPr>
                  </w:pPr>
                  <w:r>
                    <w:rPr>
                      <w:rFonts w:hint="eastAsia" w:eastAsia="宋体" w:cs="Times New Roman"/>
                      <w:kern w:val="44"/>
                      <w:sz w:val="21"/>
                      <w:szCs w:val="21"/>
                    </w:rPr>
                    <w:t>/</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5" w:type="pct"/>
                  <w:vMerge w:val="restart"/>
                  <w:vAlign w:val="center"/>
                </w:tcPr>
                <w:p>
                  <w:pPr>
                    <w:adjustRightInd w:val="0"/>
                    <w:snapToGrid w:val="0"/>
                    <w:spacing w:line="240" w:lineRule="auto"/>
                    <w:jc w:val="center"/>
                    <w:rPr>
                      <w:rFonts w:eastAsia="宋体" w:cs="Times New Roman"/>
                      <w:sz w:val="21"/>
                      <w:szCs w:val="21"/>
                    </w:rPr>
                  </w:pPr>
                  <w:r>
                    <w:rPr>
                      <w:rFonts w:eastAsia="宋体" w:cs="Times New Roman"/>
                      <w:sz w:val="21"/>
                      <w:szCs w:val="21"/>
                    </w:rPr>
                    <w:t>运营期</w:t>
                  </w:r>
                </w:p>
              </w:tc>
              <w:tc>
                <w:tcPr>
                  <w:tcW w:w="1144" w:type="pct"/>
                  <w:vAlign w:val="center"/>
                </w:tcPr>
                <w:p>
                  <w:pPr>
                    <w:adjustRightInd w:val="0"/>
                    <w:snapToGrid w:val="0"/>
                    <w:spacing w:line="240" w:lineRule="auto"/>
                    <w:jc w:val="center"/>
                    <w:rPr>
                      <w:rFonts w:eastAsia="宋体" w:cs="Times New Roman"/>
                      <w:kern w:val="0"/>
                      <w:sz w:val="21"/>
                      <w:szCs w:val="21"/>
                    </w:rPr>
                  </w:pPr>
                  <w:r>
                    <w:rPr>
                      <w:rFonts w:cs="Times New Roman"/>
                      <w:kern w:val="0"/>
                      <w:sz w:val="21"/>
                      <w:szCs w:val="21"/>
                    </w:rPr>
                    <w:t>《水泥工业大气污染物排放标准》（GB4915-2013）</w:t>
                  </w:r>
                </w:p>
              </w:tc>
              <w:tc>
                <w:tcPr>
                  <w:tcW w:w="382" w:type="pct"/>
                  <w:vAlign w:val="center"/>
                </w:tcPr>
                <w:p>
                  <w:pPr>
                    <w:adjustRightInd w:val="0"/>
                    <w:snapToGrid w:val="0"/>
                    <w:spacing w:line="240" w:lineRule="auto"/>
                    <w:jc w:val="center"/>
                    <w:rPr>
                      <w:rFonts w:eastAsia="宋体" w:cs="Times New Roman"/>
                      <w:sz w:val="21"/>
                      <w:szCs w:val="21"/>
                    </w:rPr>
                  </w:pPr>
                  <w:r>
                    <w:rPr>
                      <w:rFonts w:eastAsia="宋体" w:cs="Times New Roman"/>
                      <w:sz w:val="21"/>
                      <w:szCs w:val="21"/>
                    </w:rPr>
                    <w:t>颗粒物</w:t>
                  </w:r>
                </w:p>
              </w:tc>
              <w:tc>
                <w:tcPr>
                  <w:tcW w:w="382" w:type="pct"/>
                  <w:vAlign w:val="center"/>
                </w:tcPr>
                <w:p>
                  <w:pPr>
                    <w:widowControl/>
                    <w:adjustRightInd w:val="0"/>
                    <w:snapToGrid w:val="0"/>
                    <w:spacing w:line="240" w:lineRule="auto"/>
                    <w:jc w:val="center"/>
                    <w:rPr>
                      <w:rFonts w:eastAsia="宋体" w:cs="Times New Roman"/>
                      <w:sz w:val="21"/>
                      <w:szCs w:val="21"/>
                    </w:rPr>
                  </w:pPr>
                  <w:r>
                    <w:rPr>
                      <w:rFonts w:eastAsia="宋体" w:cs="Times New Roman"/>
                      <w:sz w:val="21"/>
                      <w:szCs w:val="21"/>
                    </w:rPr>
                    <w:t>无组织</w:t>
                  </w:r>
                </w:p>
              </w:tc>
              <w:tc>
                <w:tcPr>
                  <w:tcW w:w="1449" w:type="pct"/>
                  <w:vAlign w:val="center"/>
                </w:tcPr>
                <w:p>
                  <w:pPr>
                    <w:widowControl/>
                    <w:adjustRightInd w:val="0"/>
                    <w:snapToGrid w:val="0"/>
                    <w:spacing w:line="240" w:lineRule="auto"/>
                    <w:jc w:val="center"/>
                    <w:rPr>
                      <w:rFonts w:eastAsia="宋体" w:cs="Times New Roman"/>
                      <w:kern w:val="0"/>
                      <w:sz w:val="21"/>
                      <w:szCs w:val="21"/>
                    </w:rPr>
                  </w:pPr>
                  <w:r>
                    <w:rPr>
                      <w:rFonts w:cs="Times New Roman"/>
                      <w:kern w:val="0"/>
                      <w:sz w:val="21"/>
                      <w:szCs w:val="21"/>
                    </w:rPr>
                    <w:t>厂界上下风向</w:t>
                  </w:r>
                </w:p>
              </w:tc>
              <w:tc>
                <w:tcPr>
                  <w:tcW w:w="687" w:type="pct"/>
                  <w:vAlign w:val="center"/>
                </w:tcPr>
                <w:p>
                  <w:pPr>
                    <w:widowControl/>
                    <w:adjustRightInd w:val="0"/>
                    <w:snapToGrid w:val="0"/>
                    <w:spacing w:line="240" w:lineRule="auto"/>
                    <w:jc w:val="center"/>
                    <w:rPr>
                      <w:rFonts w:eastAsia="宋体" w:cs="Times New Roman"/>
                      <w:sz w:val="21"/>
                      <w:szCs w:val="21"/>
                    </w:rPr>
                  </w:pPr>
                  <w:r>
                    <w:rPr>
                      <w:rFonts w:cs="Times New Roman"/>
                      <w:kern w:val="0"/>
                      <w:sz w:val="21"/>
                      <w:szCs w:val="21"/>
                    </w:rPr>
                    <w:t>0.5mg/m</w:t>
                  </w:r>
                  <w:r>
                    <w:rPr>
                      <w:rFonts w:cs="Times New Roman"/>
                      <w:kern w:val="0"/>
                      <w:sz w:val="21"/>
                      <w:szCs w:val="21"/>
                      <w:vertAlign w:val="superscript"/>
                    </w:rPr>
                    <w:t>3</w:t>
                  </w:r>
                </w:p>
              </w:tc>
              <w:tc>
                <w:tcPr>
                  <w:tcW w:w="742" w:type="pct"/>
                  <w:vAlign w:val="center"/>
                </w:tcPr>
                <w:p>
                  <w:pPr>
                    <w:widowControl/>
                    <w:adjustRightInd w:val="0"/>
                    <w:snapToGrid w:val="0"/>
                    <w:spacing w:line="240" w:lineRule="auto"/>
                    <w:jc w:val="center"/>
                    <w:rPr>
                      <w:rFonts w:cs="Times New Roman"/>
                      <w:kern w:val="0"/>
                      <w:sz w:val="21"/>
                      <w:szCs w:val="21"/>
                    </w:rPr>
                  </w:pPr>
                  <w:r>
                    <w:rPr>
                      <w:rFonts w:hint="eastAsia" w:eastAsia="宋体" w:cs="Times New Roman"/>
                      <w:kern w:val="44"/>
                      <w:sz w:val="21"/>
                      <w:szCs w:val="21"/>
                    </w:rPr>
                    <w:t>/</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5" w:type="pct"/>
                  <w:vMerge w:val="continue"/>
                  <w:vAlign w:val="center"/>
                </w:tcPr>
                <w:p>
                  <w:pPr>
                    <w:adjustRightInd w:val="0"/>
                    <w:snapToGrid w:val="0"/>
                    <w:spacing w:line="240" w:lineRule="auto"/>
                    <w:jc w:val="center"/>
                    <w:rPr>
                      <w:rFonts w:eastAsia="宋体" w:cs="Times New Roman"/>
                      <w:sz w:val="21"/>
                      <w:szCs w:val="21"/>
                    </w:rPr>
                  </w:pPr>
                </w:p>
              </w:tc>
              <w:tc>
                <w:tcPr>
                  <w:tcW w:w="1144" w:type="pct"/>
                  <w:vMerge w:val="restart"/>
                  <w:vAlign w:val="center"/>
                </w:tcPr>
                <w:p>
                  <w:pPr>
                    <w:adjustRightInd w:val="0"/>
                    <w:snapToGrid w:val="0"/>
                    <w:spacing w:line="240" w:lineRule="auto"/>
                    <w:jc w:val="center"/>
                    <w:rPr>
                      <w:rFonts w:cs="Times New Roman"/>
                      <w:kern w:val="0"/>
                      <w:sz w:val="21"/>
                      <w:szCs w:val="21"/>
                    </w:rPr>
                  </w:pPr>
                  <w:r>
                    <w:rPr>
                      <w:rFonts w:hint="eastAsia" w:cs="Times New Roman"/>
                      <w:kern w:val="0"/>
                      <w:sz w:val="21"/>
                      <w:szCs w:val="21"/>
                    </w:rPr>
                    <w:t>《大气污染物综合排放标准》（GB16297-1996）</w:t>
                  </w:r>
                </w:p>
              </w:tc>
              <w:tc>
                <w:tcPr>
                  <w:tcW w:w="382" w:type="pct"/>
                  <w:vMerge w:val="restart"/>
                  <w:vAlign w:val="center"/>
                </w:tcPr>
                <w:p>
                  <w:pPr>
                    <w:adjustRightInd w:val="0"/>
                    <w:snapToGrid w:val="0"/>
                    <w:spacing w:line="240" w:lineRule="auto"/>
                    <w:jc w:val="center"/>
                    <w:rPr>
                      <w:rFonts w:eastAsia="宋体" w:cs="Times New Roman"/>
                      <w:sz w:val="21"/>
                      <w:szCs w:val="21"/>
                    </w:rPr>
                  </w:pPr>
                  <w:r>
                    <w:rPr>
                      <w:rFonts w:hint="eastAsia" w:eastAsia="宋体" w:cs="Times New Roman"/>
                      <w:sz w:val="21"/>
                      <w:szCs w:val="21"/>
                    </w:rPr>
                    <w:t>沥青烟</w:t>
                  </w:r>
                </w:p>
              </w:tc>
              <w:tc>
                <w:tcPr>
                  <w:tcW w:w="382" w:type="pct"/>
                  <w:vAlign w:val="center"/>
                </w:tcPr>
                <w:p>
                  <w:pPr>
                    <w:widowControl/>
                    <w:adjustRightInd w:val="0"/>
                    <w:snapToGrid w:val="0"/>
                    <w:spacing w:line="240" w:lineRule="auto"/>
                    <w:jc w:val="center"/>
                    <w:rPr>
                      <w:rFonts w:eastAsia="宋体" w:cs="Times New Roman"/>
                      <w:sz w:val="21"/>
                      <w:szCs w:val="21"/>
                    </w:rPr>
                  </w:pPr>
                  <w:r>
                    <w:rPr>
                      <w:rFonts w:hint="eastAsia" w:eastAsia="宋体" w:cs="Times New Roman"/>
                      <w:sz w:val="21"/>
                      <w:szCs w:val="21"/>
                    </w:rPr>
                    <w:t>有组织</w:t>
                  </w:r>
                </w:p>
              </w:tc>
              <w:tc>
                <w:tcPr>
                  <w:tcW w:w="1449"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沥青烟处理设施排气筒</w:t>
                  </w:r>
                </w:p>
              </w:tc>
              <w:tc>
                <w:tcPr>
                  <w:tcW w:w="687"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7</w:t>
                  </w:r>
                  <w:r>
                    <w:rPr>
                      <w:rFonts w:cs="Times New Roman"/>
                      <w:kern w:val="0"/>
                      <w:sz w:val="21"/>
                      <w:szCs w:val="21"/>
                    </w:rPr>
                    <w:t>5 mg/m</w:t>
                  </w:r>
                  <w:r>
                    <w:rPr>
                      <w:rFonts w:cs="Times New Roman"/>
                      <w:kern w:val="0"/>
                      <w:sz w:val="21"/>
                      <w:szCs w:val="21"/>
                      <w:vertAlign w:val="superscript"/>
                    </w:rPr>
                    <w:t>3</w:t>
                  </w:r>
                </w:p>
              </w:tc>
              <w:tc>
                <w:tcPr>
                  <w:tcW w:w="742"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0</w:t>
                  </w:r>
                  <w:r>
                    <w:rPr>
                      <w:rFonts w:cs="Times New Roman"/>
                      <w:kern w:val="0"/>
                      <w:sz w:val="21"/>
                      <w:szCs w:val="21"/>
                    </w:rPr>
                    <w:t>.1872</w:t>
                  </w:r>
                </w:p>
                <w:p>
                  <w:pPr>
                    <w:widowControl/>
                    <w:adjustRightInd w:val="0"/>
                    <w:snapToGrid w:val="0"/>
                    <w:spacing w:line="240" w:lineRule="auto"/>
                    <w:jc w:val="center"/>
                    <w:rPr>
                      <w:rFonts w:cs="Times New Roman"/>
                      <w:kern w:val="0"/>
                      <w:sz w:val="21"/>
                      <w:szCs w:val="21"/>
                    </w:rPr>
                  </w:pPr>
                  <w:r>
                    <w:rPr>
                      <w:rFonts w:cs="Times New Roman"/>
                      <w:kern w:val="0"/>
                      <w:sz w:val="21"/>
                      <w:szCs w:val="21"/>
                    </w:rPr>
                    <w:t>kg/h</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5" w:type="pct"/>
                  <w:vMerge w:val="continue"/>
                  <w:vAlign w:val="center"/>
                </w:tcPr>
                <w:p>
                  <w:pPr>
                    <w:adjustRightInd w:val="0"/>
                    <w:snapToGrid w:val="0"/>
                    <w:spacing w:line="240" w:lineRule="auto"/>
                    <w:jc w:val="center"/>
                    <w:rPr>
                      <w:rFonts w:eastAsia="宋体" w:cs="Times New Roman"/>
                      <w:sz w:val="21"/>
                      <w:szCs w:val="21"/>
                    </w:rPr>
                  </w:pPr>
                </w:p>
              </w:tc>
              <w:tc>
                <w:tcPr>
                  <w:tcW w:w="1144" w:type="pct"/>
                  <w:vMerge w:val="continue"/>
                  <w:vAlign w:val="center"/>
                </w:tcPr>
                <w:p>
                  <w:pPr>
                    <w:adjustRightInd w:val="0"/>
                    <w:snapToGrid w:val="0"/>
                    <w:spacing w:line="240" w:lineRule="auto"/>
                    <w:jc w:val="center"/>
                    <w:rPr>
                      <w:rFonts w:cs="Times New Roman"/>
                      <w:kern w:val="0"/>
                      <w:sz w:val="21"/>
                      <w:szCs w:val="21"/>
                    </w:rPr>
                  </w:pPr>
                </w:p>
              </w:tc>
              <w:tc>
                <w:tcPr>
                  <w:tcW w:w="382" w:type="pct"/>
                  <w:vMerge w:val="continue"/>
                  <w:vAlign w:val="center"/>
                </w:tcPr>
                <w:p>
                  <w:pPr>
                    <w:adjustRightInd w:val="0"/>
                    <w:snapToGrid w:val="0"/>
                    <w:spacing w:line="240" w:lineRule="auto"/>
                    <w:jc w:val="center"/>
                    <w:rPr>
                      <w:rFonts w:eastAsia="宋体" w:cs="Times New Roman"/>
                      <w:sz w:val="21"/>
                      <w:szCs w:val="21"/>
                    </w:rPr>
                  </w:pPr>
                </w:p>
              </w:tc>
              <w:tc>
                <w:tcPr>
                  <w:tcW w:w="382" w:type="pct"/>
                  <w:vAlign w:val="center"/>
                </w:tcPr>
                <w:p>
                  <w:pPr>
                    <w:widowControl/>
                    <w:adjustRightInd w:val="0"/>
                    <w:snapToGrid w:val="0"/>
                    <w:spacing w:line="240" w:lineRule="auto"/>
                    <w:jc w:val="center"/>
                    <w:rPr>
                      <w:rFonts w:eastAsia="宋体" w:cs="Times New Roman"/>
                      <w:sz w:val="21"/>
                      <w:szCs w:val="21"/>
                    </w:rPr>
                  </w:pPr>
                  <w:r>
                    <w:rPr>
                      <w:rFonts w:hint="eastAsia" w:eastAsia="宋体" w:cs="Times New Roman"/>
                      <w:sz w:val="21"/>
                      <w:szCs w:val="21"/>
                    </w:rPr>
                    <w:t>无组织</w:t>
                  </w:r>
                </w:p>
              </w:tc>
              <w:tc>
                <w:tcPr>
                  <w:tcW w:w="2136" w:type="pct"/>
                  <w:gridSpan w:val="2"/>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生产设备不得有明显的的无组织排放存在</w:t>
                  </w:r>
                </w:p>
              </w:tc>
              <w:tc>
                <w:tcPr>
                  <w:tcW w:w="742" w:type="pct"/>
                  <w:vAlign w:val="center"/>
                </w:tcPr>
                <w:p>
                  <w:pPr>
                    <w:widowControl/>
                    <w:adjustRightInd w:val="0"/>
                    <w:snapToGrid w:val="0"/>
                    <w:spacing w:line="240" w:lineRule="auto"/>
                    <w:jc w:val="center"/>
                    <w:rPr>
                      <w:rFonts w:cs="Times New Roman"/>
                      <w:kern w:val="0"/>
                      <w:sz w:val="21"/>
                      <w:szCs w:val="21"/>
                    </w:rPr>
                  </w:pPr>
                  <w:r>
                    <w:rPr>
                      <w:rFonts w:hint="eastAsia" w:eastAsia="宋体" w:cs="Times New Roman"/>
                      <w:kern w:val="44"/>
                      <w:sz w:val="21"/>
                      <w:szCs w:val="21"/>
                    </w:rPr>
                    <w:t>/</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5" w:type="pct"/>
                  <w:vMerge w:val="continue"/>
                  <w:vAlign w:val="center"/>
                </w:tcPr>
                <w:p>
                  <w:pPr>
                    <w:adjustRightInd w:val="0"/>
                    <w:snapToGrid w:val="0"/>
                    <w:spacing w:line="240" w:lineRule="auto"/>
                    <w:jc w:val="center"/>
                    <w:rPr>
                      <w:rFonts w:eastAsia="宋体" w:cs="Times New Roman"/>
                      <w:sz w:val="21"/>
                      <w:szCs w:val="21"/>
                    </w:rPr>
                  </w:pPr>
                </w:p>
              </w:tc>
              <w:tc>
                <w:tcPr>
                  <w:tcW w:w="1144" w:type="pct"/>
                  <w:vMerge w:val="continue"/>
                  <w:vAlign w:val="center"/>
                </w:tcPr>
                <w:p>
                  <w:pPr>
                    <w:adjustRightInd w:val="0"/>
                    <w:snapToGrid w:val="0"/>
                    <w:spacing w:line="240" w:lineRule="auto"/>
                    <w:jc w:val="center"/>
                    <w:rPr>
                      <w:rFonts w:cs="Times New Roman"/>
                      <w:kern w:val="0"/>
                      <w:sz w:val="21"/>
                      <w:szCs w:val="21"/>
                    </w:rPr>
                  </w:pPr>
                </w:p>
              </w:tc>
              <w:tc>
                <w:tcPr>
                  <w:tcW w:w="382" w:type="pct"/>
                  <w:vMerge w:val="restart"/>
                  <w:vAlign w:val="center"/>
                </w:tcPr>
                <w:p>
                  <w:pPr>
                    <w:adjustRightInd w:val="0"/>
                    <w:snapToGrid w:val="0"/>
                    <w:spacing w:line="240" w:lineRule="auto"/>
                    <w:jc w:val="center"/>
                    <w:rPr>
                      <w:rFonts w:eastAsia="宋体" w:cs="Times New Roman"/>
                      <w:sz w:val="21"/>
                      <w:szCs w:val="21"/>
                    </w:rPr>
                  </w:pPr>
                  <w:r>
                    <w:rPr>
                      <w:rFonts w:hint="eastAsia" w:eastAsia="宋体" w:cs="Times New Roman"/>
                      <w:sz w:val="21"/>
                      <w:szCs w:val="21"/>
                    </w:rPr>
                    <w:t>苯并[</w:t>
                  </w:r>
                  <w:r>
                    <w:rPr>
                      <w:rFonts w:eastAsia="宋体" w:cs="Times New Roman"/>
                      <w:sz w:val="21"/>
                      <w:szCs w:val="21"/>
                    </w:rPr>
                    <w:t>a]</w:t>
                  </w:r>
                  <w:r>
                    <w:rPr>
                      <w:rFonts w:hint="eastAsia" w:eastAsia="宋体" w:cs="Times New Roman"/>
                      <w:sz w:val="21"/>
                      <w:szCs w:val="21"/>
                    </w:rPr>
                    <w:t>芘</w:t>
                  </w:r>
                </w:p>
              </w:tc>
              <w:tc>
                <w:tcPr>
                  <w:tcW w:w="382" w:type="pct"/>
                  <w:vAlign w:val="center"/>
                </w:tcPr>
                <w:p>
                  <w:pPr>
                    <w:widowControl/>
                    <w:adjustRightInd w:val="0"/>
                    <w:snapToGrid w:val="0"/>
                    <w:spacing w:line="240" w:lineRule="auto"/>
                    <w:jc w:val="center"/>
                    <w:rPr>
                      <w:rFonts w:eastAsia="宋体" w:cs="Times New Roman"/>
                      <w:sz w:val="21"/>
                      <w:szCs w:val="21"/>
                    </w:rPr>
                  </w:pPr>
                  <w:r>
                    <w:rPr>
                      <w:rFonts w:hint="eastAsia" w:eastAsia="宋体" w:cs="Times New Roman"/>
                      <w:sz w:val="21"/>
                      <w:szCs w:val="21"/>
                    </w:rPr>
                    <w:t>有组织</w:t>
                  </w:r>
                </w:p>
              </w:tc>
              <w:tc>
                <w:tcPr>
                  <w:tcW w:w="1449"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沥青烟处理设施排气筒</w:t>
                  </w:r>
                </w:p>
              </w:tc>
              <w:tc>
                <w:tcPr>
                  <w:tcW w:w="687"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0</w:t>
                  </w:r>
                  <w:r>
                    <w:rPr>
                      <w:rFonts w:cs="Times New Roman"/>
                      <w:kern w:val="0"/>
                      <w:sz w:val="21"/>
                      <w:szCs w:val="21"/>
                    </w:rPr>
                    <w:t>.3×10</w:t>
                  </w:r>
                  <w:r>
                    <w:rPr>
                      <w:rFonts w:cs="Times New Roman"/>
                      <w:kern w:val="0"/>
                      <w:sz w:val="21"/>
                      <w:szCs w:val="21"/>
                      <w:vertAlign w:val="superscript"/>
                    </w:rPr>
                    <w:t>-3</w:t>
                  </w:r>
                  <w:r>
                    <w:rPr>
                      <w:rFonts w:cs="Times New Roman"/>
                      <w:kern w:val="0"/>
                      <w:sz w:val="21"/>
                      <w:szCs w:val="21"/>
                    </w:rPr>
                    <w:t xml:space="preserve"> mg/m</w:t>
                  </w:r>
                  <w:r>
                    <w:rPr>
                      <w:rFonts w:cs="Times New Roman"/>
                      <w:kern w:val="0"/>
                      <w:sz w:val="21"/>
                      <w:szCs w:val="21"/>
                      <w:vertAlign w:val="superscript"/>
                    </w:rPr>
                    <w:t>3</w:t>
                  </w:r>
                </w:p>
              </w:tc>
              <w:tc>
                <w:tcPr>
                  <w:tcW w:w="742"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0</w:t>
                  </w:r>
                  <w:r>
                    <w:rPr>
                      <w:rFonts w:cs="Times New Roman"/>
                      <w:kern w:val="0"/>
                      <w:sz w:val="21"/>
                      <w:szCs w:val="21"/>
                    </w:rPr>
                    <w:t>.0521×10</w:t>
                  </w:r>
                  <w:r>
                    <w:rPr>
                      <w:rFonts w:cs="Times New Roman"/>
                      <w:kern w:val="0"/>
                      <w:sz w:val="21"/>
                      <w:szCs w:val="21"/>
                      <w:vertAlign w:val="superscript"/>
                    </w:rPr>
                    <w:t>-3</w:t>
                  </w:r>
                  <w:r>
                    <w:rPr>
                      <w:rFonts w:cs="Times New Roman"/>
                      <w:kern w:val="0"/>
                      <w:sz w:val="21"/>
                      <w:szCs w:val="21"/>
                    </w:rPr>
                    <w:t xml:space="preserve"> kg/h</w:t>
                  </w:r>
                </w:p>
              </w:tc>
            </w:tr>
            <w:tr>
              <w:tblPrEx>
                <w:tblBorders>
                  <w:top w:val="single" w:color="000000" w:sz="6" w:space="0"/>
                  <w:left w:val="none" w:color="auto" w:sz="0" w:space="0"/>
                  <w:bottom w:val="single" w:color="000000" w:sz="6"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5" w:type="pct"/>
                  <w:vMerge w:val="continue"/>
                  <w:vAlign w:val="center"/>
                </w:tcPr>
                <w:p>
                  <w:pPr>
                    <w:adjustRightInd w:val="0"/>
                    <w:snapToGrid w:val="0"/>
                    <w:spacing w:line="240" w:lineRule="auto"/>
                    <w:jc w:val="center"/>
                    <w:rPr>
                      <w:rFonts w:eastAsia="宋体" w:cs="Times New Roman"/>
                      <w:sz w:val="21"/>
                      <w:szCs w:val="21"/>
                    </w:rPr>
                  </w:pPr>
                </w:p>
              </w:tc>
              <w:tc>
                <w:tcPr>
                  <w:tcW w:w="1144" w:type="pct"/>
                  <w:vMerge w:val="continue"/>
                  <w:vAlign w:val="center"/>
                </w:tcPr>
                <w:p>
                  <w:pPr>
                    <w:adjustRightInd w:val="0"/>
                    <w:snapToGrid w:val="0"/>
                    <w:spacing w:line="240" w:lineRule="auto"/>
                    <w:jc w:val="center"/>
                    <w:rPr>
                      <w:rFonts w:cs="Times New Roman"/>
                      <w:kern w:val="0"/>
                      <w:sz w:val="21"/>
                      <w:szCs w:val="21"/>
                    </w:rPr>
                  </w:pPr>
                </w:p>
              </w:tc>
              <w:tc>
                <w:tcPr>
                  <w:tcW w:w="382" w:type="pct"/>
                  <w:vMerge w:val="continue"/>
                  <w:vAlign w:val="center"/>
                </w:tcPr>
                <w:p>
                  <w:pPr>
                    <w:adjustRightInd w:val="0"/>
                    <w:snapToGrid w:val="0"/>
                    <w:spacing w:line="240" w:lineRule="auto"/>
                    <w:jc w:val="center"/>
                    <w:rPr>
                      <w:rFonts w:eastAsia="宋体" w:cs="Times New Roman"/>
                      <w:sz w:val="21"/>
                      <w:szCs w:val="21"/>
                    </w:rPr>
                  </w:pPr>
                </w:p>
              </w:tc>
              <w:tc>
                <w:tcPr>
                  <w:tcW w:w="382" w:type="pct"/>
                  <w:vAlign w:val="center"/>
                </w:tcPr>
                <w:p>
                  <w:pPr>
                    <w:widowControl/>
                    <w:adjustRightInd w:val="0"/>
                    <w:snapToGrid w:val="0"/>
                    <w:spacing w:line="240" w:lineRule="auto"/>
                    <w:jc w:val="center"/>
                    <w:rPr>
                      <w:rFonts w:eastAsia="宋体" w:cs="Times New Roman"/>
                      <w:sz w:val="21"/>
                      <w:szCs w:val="21"/>
                    </w:rPr>
                  </w:pPr>
                  <w:r>
                    <w:rPr>
                      <w:rFonts w:hint="eastAsia" w:eastAsia="宋体" w:cs="Times New Roman"/>
                      <w:sz w:val="21"/>
                      <w:szCs w:val="21"/>
                    </w:rPr>
                    <w:t>无组织</w:t>
                  </w:r>
                </w:p>
              </w:tc>
              <w:tc>
                <w:tcPr>
                  <w:tcW w:w="1449"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周界外浓度</w:t>
                  </w:r>
                </w:p>
              </w:tc>
              <w:tc>
                <w:tcPr>
                  <w:tcW w:w="687" w:type="pct"/>
                  <w:vAlign w:val="center"/>
                </w:tcPr>
                <w:p>
                  <w:pPr>
                    <w:widowControl/>
                    <w:adjustRightInd w:val="0"/>
                    <w:snapToGrid w:val="0"/>
                    <w:spacing w:line="240" w:lineRule="auto"/>
                    <w:jc w:val="center"/>
                    <w:rPr>
                      <w:rFonts w:cs="Times New Roman"/>
                      <w:kern w:val="0"/>
                      <w:sz w:val="21"/>
                      <w:szCs w:val="21"/>
                    </w:rPr>
                  </w:pPr>
                  <w:r>
                    <w:rPr>
                      <w:rFonts w:hint="eastAsia" w:cs="Times New Roman"/>
                      <w:kern w:val="0"/>
                      <w:sz w:val="21"/>
                      <w:szCs w:val="21"/>
                    </w:rPr>
                    <w:t>0</w:t>
                  </w:r>
                  <w:r>
                    <w:rPr>
                      <w:rFonts w:cs="Times New Roman"/>
                      <w:kern w:val="0"/>
                      <w:sz w:val="21"/>
                      <w:szCs w:val="21"/>
                    </w:rPr>
                    <w:t>.008μg/m</w:t>
                  </w:r>
                  <w:r>
                    <w:rPr>
                      <w:rFonts w:cs="Times New Roman"/>
                      <w:kern w:val="0"/>
                      <w:sz w:val="21"/>
                      <w:szCs w:val="21"/>
                      <w:vertAlign w:val="superscript"/>
                    </w:rPr>
                    <w:t>3</w:t>
                  </w:r>
                </w:p>
              </w:tc>
              <w:tc>
                <w:tcPr>
                  <w:tcW w:w="742" w:type="pct"/>
                  <w:vAlign w:val="center"/>
                </w:tcPr>
                <w:p>
                  <w:pPr>
                    <w:widowControl/>
                    <w:adjustRightInd w:val="0"/>
                    <w:snapToGrid w:val="0"/>
                    <w:spacing w:line="240" w:lineRule="auto"/>
                    <w:jc w:val="center"/>
                    <w:rPr>
                      <w:rFonts w:cs="Times New Roman"/>
                      <w:kern w:val="0"/>
                      <w:sz w:val="21"/>
                      <w:szCs w:val="21"/>
                    </w:rPr>
                  </w:pPr>
                  <w:r>
                    <w:rPr>
                      <w:rFonts w:hint="eastAsia" w:eastAsia="宋体" w:cs="Times New Roman"/>
                      <w:kern w:val="44"/>
                      <w:sz w:val="21"/>
                      <w:szCs w:val="21"/>
                    </w:rPr>
                    <w:t>/</w:t>
                  </w:r>
                </w:p>
              </w:tc>
            </w:tr>
          </w:tbl>
          <w:p>
            <w:pPr>
              <w:adjustRightInd w:val="0"/>
              <w:snapToGrid w:val="0"/>
              <w:spacing w:line="240" w:lineRule="auto"/>
              <w:rPr>
                <w:rFonts w:eastAsia="宋体" w:cs="Times New Roman"/>
                <w:b/>
                <w:kern w:val="0"/>
                <w:sz w:val="21"/>
                <w:szCs w:val="21"/>
                <w:lang w:val="zh-CN" w:bidi="zh-CN"/>
              </w:rPr>
            </w:pPr>
            <w:r>
              <w:rPr>
                <w:rFonts w:hint="eastAsia" w:eastAsia="宋体" w:cs="Times New Roman"/>
                <w:b/>
                <w:kern w:val="0"/>
                <w:sz w:val="21"/>
                <w:szCs w:val="21"/>
                <w:lang w:val="zh-CN" w:bidi="zh-CN"/>
              </w:rPr>
              <w:t>注：沥青烟处理设施排气筒高度为1</w:t>
            </w:r>
            <w:r>
              <w:rPr>
                <w:rFonts w:eastAsia="宋体" w:cs="Times New Roman"/>
                <w:b/>
                <w:kern w:val="0"/>
                <w:sz w:val="21"/>
                <w:szCs w:val="21"/>
                <w:lang w:val="zh-CN" w:bidi="zh-CN"/>
              </w:rPr>
              <w:t>5.3m</w:t>
            </w:r>
            <w:r>
              <w:rPr>
                <w:rFonts w:hint="eastAsia" w:eastAsia="宋体" w:cs="Times New Roman"/>
                <w:b/>
                <w:kern w:val="0"/>
                <w:sz w:val="21"/>
                <w:szCs w:val="21"/>
                <w:lang w:val="zh-CN" w:bidi="zh-CN"/>
              </w:rPr>
              <w:t>，排放速率限值使用内插法确定。</w:t>
            </w:r>
          </w:p>
          <w:p>
            <w:pPr>
              <w:adjustRightInd w:val="0"/>
              <w:snapToGrid w:val="0"/>
              <w:spacing w:before="120" w:beforeLines="50"/>
              <w:rPr>
                <w:rFonts w:cs="Times New Roman"/>
                <w:b/>
              </w:rPr>
            </w:pPr>
            <w:r>
              <w:rPr>
                <w:rFonts w:cs="Times New Roman"/>
                <w:b/>
              </w:rPr>
              <w:t>（二）水污染物排放标准</w:t>
            </w:r>
          </w:p>
          <w:p>
            <w:pPr>
              <w:adjustRightInd w:val="0"/>
              <w:snapToGrid w:val="0"/>
              <w:ind w:firstLine="480" w:firstLineChars="200"/>
              <w:rPr>
                <w:rFonts w:cs="Times New Roman"/>
                <w:szCs w:val="24"/>
              </w:rPr>
            </w:pPr>
            <w:r>
              <w:rPr>
                <w:rFonts w:cs="Times New Roman"/>
              </w:rPr>
              <w:t>生产过程不产生废水。车辆冲洗废水排入沉淀池中经沉淀处理后循环使用，不外排。</w:t>
            </w:r>
          </w:p>
          <w:p>
            <w:pPr>
              <w:adjustRightInd w:val="0"/>
              <w:snapToGrid w:val="0"/>
              <w:rPr>
                <w:rFonts w:cs="Times New Roman"/>
                <w:b/>
              </w:rPr>
            </w:pPr>
            <w:r>
              <w:rPr>
                <w:rFonts w:cs="Times New Roman"/>
                <w:b/>
              </w:rPr>
              <w:t>（三）噪声排放标准</w:t>
            </w:r>
          </w:p>
          <w:p>
            <w:pPr>
              <w:adjustRightInd w:val="0"/>
              <w:snapToGrid w:val="0"/>
              <w:ind w:firstLine="480" w:firstLineChars="200"/>
              <w:rPr>
                <w:rFonts w:cs="Times New Roman"/>
              </w:rPr>
            </w:pPr>
            <w:r>
              <w:rPr>
                <w:rFonts w:cs="Times New Roman"/>
              </w:rPr>
              <w:t>施工期噪声执行《建筑施工场界环境噪声排放标准》（GB12523-2011）中的有关要求；运营期噪声排放执行《工业企业厂界环境噪声排放标准》（GB12348-2008）中的2类标准具体标准值见下表3-4。</w:t>
            </w:r>
          </w:p>
          <w:p>
            <w:pPr>
              <w:adjustRightInd w:val="0"/>
              <w:snapToGrid w:val="0"/>
              <w:spacing w:line="240" w:lineRule="auto"/>
              <w:jc w:val="center"/>
              <w:rPr>
                <w:rFonts w:cs="Times New Roman"/>
                <w:b/>
                <w:bCs/>
                <w:sz w:val="21"/>
                <w:szCs w:val="21"/>
              </w:rPr>
            </w:pPr>
            <w:r>
              <w:rPr>
                <w:rFonts w:cs="Times New Roman"/>
                <w:b/>
                <w:bCs/>
                <w:sz w:val="21"/>
                <w:szCs w:val="21"/>
              </w:rPr>
              <w:t>表3-4  噪声污染物排放标准单位：dB（A）</w:t>
            </w:r>
          </w:p>
          <w:tbl>
            <w:tblPr>
              <w:tblStyle w:val="18"/>
              <w:tblW w:w="4996"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812"/>
              <w:gridCol w:w="773"/>
              <w:gridCol w:w="650"/>
              <w:gridCol w:w="871"/>
              <w:gridCol w:w="492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kern w:val="21"/>
                      <w:sz w:val="21"/>
                      <w:szCs w:val="21"/>
                    </w:rPr>
                  </w:pPr>
                  <w:r>
                    <w:rPr>
                      <w:rFonts w:cs="Times New Roman"/>
                      <w:b/>
                      <w:bCs/>
                      <w:kern w:val="21"/>
                      <w:sz w:val="21"/>
                      <w:szCs w:val="21"/>
                    </w:rPr>
                    <w:t>污染物名称</w:t>
                  </w:r>
                </w:p>
              </w:tc>
              <w:tc>
                <w:tcPr>
                  <w:tcW w:w="437"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kern w:val="21"/>
                      <w:sz w:val="21"/>
                      <w:szCs w:val="21"/>
                    </w:rPr>
                  </w:pPr>
                  <w:r>
                    <w:rPr>
                      <w:rFonts w:cs="Times New Roman"/>
                      <w:b/>
                      <w:bCs/>
                      <w:kern w:val="21"/>
                      <w:sz w:val="21"/>
                      <w:szCs w:val="21"/>
                    </w:rPr>
                    <w:t>监控点</w:t>
                  </w:r>
                </w:p>
              </w:tc>
              <w:tc>
                <w:tcPr>
                  <w:tcW w:w="416"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kern w:val="21"/>
                      <w:sz w:val="21"/>
                      <w:szCs w:val="21"/>
                    </w:rPr>
                  </w:pPr>
                  <w:r>
                    <w:rPr>
                      <w:rFonts w:cs="Times New Roman"/>
                      <w:b/>
                      <w:bCs/>
                      <w:kern w:val="21"/>
                      <w:sz w:val="21"/>
                      <w:szCs w:val="21"/>
                    </w:rPr>
                    <w:t>级别</w:t>
                  </w:r>
                </w:p>
              </w:tc>
              <w:tc>
                <w:tcPr>
                  <w:tcW w:w="819" w:type="pct"/>
                  <w:gridSpan w:val="2"/>
                  <w:tcBorders>
                    <w:tl2br w:val="nil"/>
                    <w:tr2bl w:val="nil"/>
                  </w:tcBorders>
                  <w:tcMar>
                    <w:left w:w="0" w:type="dxa"/>
                    <w:right w:w="0" w:type="dxa"/>
                  </w:tcMar>
                  <w:vAlign w:val="center"/>
                </w:tcPr>
                <w:p>
                  <w:pPr>
                    <w:adjustRightInd w:val="0"/>
                    <w:snapToGrid w:val="0"/>
                    <w:spacing w:line="240" w:lineRule="auto"/>
                    <w:jc w:val="center"/>
                    <w:rPr>
                      <w:rFonts w:cs="Times New Roman"/>
                      <w:b/>
                      <w:bCs/>
                      <w:kern w:val="21"/>
                      <w:sz w:val="21"/>
                      <w:szCs w:val="21"/>
                    </w:rPr>
                  </w:pPr>
                  <w:r>
                    <w:rPr>
                      <w:rFonts w:cs="Times New Roman"/>
                      <w:b/>
                      <w:bCs/>
                      <w:kern w:val="21"/>
                      <w:sz w:val="21"/>
                      <w:szCs w:val="21"/>
                    </w:rPr>
                    <w:t>标准值</w:t>
                  </w:r>
                </w:p>
              </w:tc>
              <w:tc>
                <w:tcPr>
                  <w:tcW w:w="2651"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kern w:val="21"/>
                      <w:sz w:val="21"/>
                      <w:szCs w:val="21"/>
                    </w:rPr>
                  </w:pPr>
                  <w:r>
                    <w:rPr>
                      <w:rFonts w:cs="Times New Roman"/>
                      <w:b/>
                      <w:bCs/>
                      <w:kern w:val="21"/>
                      <w:sz w:val="21"/>
                      <w:szCs w:val="21"/>
                    </w:rPr>
                    <w:t>标准来源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p>
              </w:tc>
              <w:tc>
                <w:tcPr>
                  <w:tcW w:w="437"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p>
              </w:tc>
              <w:tc>
                <w:tcPr>
                  <w:tcW w:w="416"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p>
              </w:tc>
              <w:tc>
                <w:tcPr>
                  <w:tcW w:w="350" w:type="pct"/>
                  <w:tcBorders>
                    <w:tl2br w:val="nil"/>
                    <w:tr2bl w:val="nil"/>
                  </w:tcBorders>
                  <w:tcMar>
                    <w:left w:w="0" w:type="dxa"/>
                    <w:right w:w="0" w:type="dxa"/>
                  </w:tcMar>
                  <w:vAlign w:val="center"/>
                </w:tcPr>
                <w:p>
                  <w:pPr>
                    <w:adjustRightInd w:val="0"/>
                    <w:snapToGrid w:val="0"/>
                    <w:spacing w:line="240" w:lineRule="auto"/>
                    <w:jc w:val="center"/>
                    <w:rPr>
                      <w:rFonts w:cs="Times New Roman"/>
                      <w:b/>
                      <w:bCs/>
                      <w:kern w:val="21"/>
                      <w:sz w:val="21"/>
                      <w:szCs w:val="21"/>
                    </w:rPr>
                  </w:pPr>
                  <w:r>
                    <w:rPr>
                      <w:rFonts w:cs="Times New Roman"/>
                      <w:b/>
                      <w:bCs/>
                      <w:kern w:val="21"/>
                      <w:sz w:val="21"/>
                      <w:szCs w:val="21"/>
                    </w:rPr>
                    <w:t>昼间</w:t>
                  </w:r>
                </w:p>
              </w:tc>
              <w:tc>
                <w:tcPr>
                  <w:tcW w:w="469" w:type="pct"/>
                  <w:tcBorders>
                    <w:tl2br w:val="nil"/>
                    <w:tr2bl w:val="nil"/>
                  </w:tcBorders>
                  <w:tcMar>
                    <w:left w:w="0" w:type="dxa"/>
                    <w:right w:w="0" w:type="dxa"/>
                  </w:tcMar>
                  <w:vAlign w:val="center"/>
                </w:tcPr>
                <w:p>
                  <w:pPr>
                    <w:adjustRightInd w:val="0"/>
                    <w:snapToGrid w:val="0"/>
                    <w:spacing w:line="240" w:lineRule="auto"/>
                    <w:jc w:val="center"/>
                    <w:rPr>
                      <w:rFonts w:cs="Times New Roman"/>
                      <w:b/>
                      <w:bCs/>
                      <w:kern w:val="21"/>
                      <w:sz w:val="21"/>
                      <w:szCs w:val="21"/>
                    </w:rPr>
                  </w:pPr>
                  <w:r>
                    <w:rPr>
                      <w:rFonts w:cs="Times New Roman"/>
                      <w:b/>
                      <w:bCs/>
                      <w:kern w:val="21"/>
                      <w:sz w:val="21"/>
                      <w:szCs w:val="21"/>
                    </w:rPr>
                    <w:t>夜间</w:t>
                  </w:r>
                </w:p>
              </w:tc>
              <w:tc>
                <w:tcPr>
                  <w:tcW w:w="2651"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施工期噪声</w:t>
                  </w:r>
                </w:p>
              </w:tc>
              <w:tc>
                <w:tcPr>
                  <w:tcW w:w="437"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厂界</w:t>
                  </w:r>
                </w:p>
              </w:tc>
              <w:tc>
                <w:tcPr>
                  <w:tcW w:w="416"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w:t>
                  </w:r>
                </w:p>
              </w:tc>
              <w:tc>
                <w:tcPr>
                  <w:tcW w:w="350"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70</w:t>
                  </w:r>
                </w:p>
              </w:tc>
              <w:tc>
                <w:tcPr>
                  <w:tcW w:w="469"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55</w:t>
                  </w:r>
                </w:p>
              </w:tc>
              <w:tc>
                <w:tcPr>
                  <w:tcW w:w="2651" w:type="pct"/>
                  <w:tcBorders>
                    <w:tl2br w:val="nil"/>
                    <w:tr2bl w:val="nil"/>
                  </w:tcBorders>
                  <w:tcMar>
                    <w:left w:w="0" w:type="dxa"/>
                    <w:right w:w="0" w:type="dxa"/>
                  </w:tcMar>
                  <w:vAlign w:val="center"/>
                </w:tcPr>
                <w:p>
                  <w:pPr>
                    <w:adjustRightInd w:val="0"/>
                    <w:snapToGrid w:val="0"/>
                    <w:spacing w:line="240" w:lineRule="auto"/>
                    <w:jc w:val="center"/>
                    <w:rPr>
                      <w:rFonts w:eastAsia="宋体" w:cs="Times New Roman"/>
                      <w:kern w:val="21"/>
                      <w:sz w:val="21"/>
                      <w:szCs w:val="21"/>
                    </w:rPr>
                  </w:pPr>
                  <w:r>
                    <w:rPr>
                      <w:rFonts w:cs="Times New Roman"/>
                      <w:kern w:val="21"/>
                      <w:sz w:val="21"/>
                      <w:szCs w:val="21"/>
                    </w:rPr>
                    <w:t>《建筑施工厂界环境噪声排放标准》（GB12523-2011）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运营期噪声</w:t>
                  </w:r>
                </w:p>
              </w:tc>
              <w:tc>
                <w:tcPr>
                  <w:tcW w:w="437"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厂界</w:t>
                  </w:r>
                </w:p>
              </w:tc>
              <w:tc>
                <w:tcPr>
                  <w:tcW w:w="416"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2类</w:t>
                  </w:r>
                </w:p>
              </w:tc>
              <w:tc>
                <w:tcPr>
                  <w:tcW w:w="350" w:type="pct"/>
                  <w:tcBorders>
                    <w:tl2br w:val="nil"/>
                    <w:tr2bl w:val="nil"/>
                  </w:tcBorders>
                  <w:tcMar>
                    <w:left w:w="0" w:type="dxa"/>
                    <w:right w:w="0" w:type="dxa"/>
                  </w:tcMar>
                  <w:vAlign w:val="center"/>
                </w:tcPr>
                <w:p>
                  <w:pPr>
                    <w:adjustRightInd w:val="0"/>
                    <w:snapToGrid w:val="0"/>
                    <w:spacing w:line="240" w:lineRule="auto"/>
                    <w:jc w:val="center"/>
                    <w:rPr>
                      <w:rFonts w:eastAsia="宋体" w:cs="Times New Roman"/>
                      <w:kern w:val="21"/>
                      <w:sz w:val="21"/>
                      <w:szCs w:val="21"/>
                    </w:rPr>
                  </w:pPr>
                  <w:r>
                    <w:rPr>
                      <w:rFonts w:cs="Times New Roman"/>
                      <w:kern w:val="21"/>
                      <w:sz w:val="21"/>
                      <w:szCs w:val="21"/>
                    </w:rPr>
                    <w:t>60</w:t>
                  </w:r>
                </w:p>
              </w:tc>
              <w:tc>
                <w:tcPr>
                  <w:tcW w:w="469" w:type="pct"/>
                  <w:tcBorders>
                    <w:tl2br w:val="nil"/>
                    <w:tr2bl w:val="nil"/>
                  </w:tcBorders>
                  <w:tcMar>
                    <w:left w:w="0" w:type="dxa"/>
                    <w:right w:w="0" w:type="dxa"/>
                  </w:tcMar>
                  <w:vAlign w:val="center"/>
                </w:tcPr>
                <w:p>
                  <w:pPr>
                    <w:adjustRightInd w:val="0"/>
                    <w:snapToGrid w:val="0"/>
                    <w:spacing w:line="240" w:lineRule="auto"/>
                    <w:jc w:val="center"/>
                    <w:rPr>
                      <w:rFonts w:eastAsia="宋体" w:cs="Times New Roman"/>
                      <w:kern w:val="21"/>
                      <w:sz w:val="21"/>
                      <w:szCs w:val="21"/>
                    </w:rPr>
                  </w:pPr>
                  <w:r>
                    <w:rPr>
                      <w:rFonts w:cs="Times New Roman"/>
                      <w:kern w:val="21"/>
                      <w:sz w:val="21"/>
                      <w:szCs w:val="21"/>
                    </w:rPr>
                    <w:t>50</w:t>
                  </w:r>
                </w:p>
              </w:tc>
              <w:tc>
                <w:tcPr>
                  <w:tcW w:w="2651" w:type="pct"/>
                  <w:tcBorders>
                    <w:tl2br w:val="nil"/>
                    <w:tr2bl w:val="nil"/>
                  </w:tcBorders>
                  <w:tcMar>
                    <w:left w:w="0" w:type="dxa"/>
                    <w:right w:w="0" w:type="dxa"/>
                  </w:tcMar>
                  <w:vAlign w:val="center"/>
                </w:tcPr>
                <w:p>
                  <w:pPr>
                    <w:adjustRightInd w:val="0"/>
                    <w:snapToGrid w:val="0"/>
                    <w:spacing w:line="240" w:lineRule="auto"/>
                    <w:jc w:val="center"/>
                    <w:rPr>
                      <w:rFonts w:cs="Times New Roman"/>
                      <w:kern w:val="21"/>
                      <w:sz w:val="21"/>
                      <w:szCs w:val="21"/>
                    </w:rPr>
                  </w:pPr>
                  <w:r>
                    <w:rPr>
                      <w:rFonts w:cs="Times New Roman"/>
                      <w:kern w:val="21"/>
                      <w:sz w:val="21"/>
                      <w:szCs w:val="21"/>
                    </w:rPr>
                    <w:t>《工业企业厂界环境噪声排放标准》（GB12348－2008）</w:t>
                  </w:r>
                </w:p>
              </w:tc>
            </w:tr>
          </w:tbl>
          <w:p>
            <w:pPr>
              <w:adjustRightInd w:val="0"/>
              <w:snapToGrid w:val="0"/>
              <w:spacing w:before="120" w:beforeLines="50"/>
              <w:rPr>
                <w:rFonts w:cs="Times New Roman"/>
                <w:b/>
              </w:rPr>
            </w:pPr>
            <w:r>
              <w:rPr>
                <w:rFonts w:cs="Times New Roman"/>
                <w:b/>
              </w:rPr>
              <w:t>（四）固体废物处理与处置</w:t>
            </w:r>
          </w:p>
          <w:p>
            <w:pPr>
              <w:adjustRightInd w:val="0"/>
              <w:snapToGrid w:val="0"/>
              <w:ind w:firstLine="480" w:firstLineChars="200"/>
              <w:rPr>
                <w:rFonts w:cs="Times New Roman"/>
                <w:kern w:val="21"/>
                <w:szCs w:val="21"/>
                <w:highlight w:val="yellow"/>
              </w:rPr>
            </w:pPr>
            <w:r>
              <w:rPr>
                <w:rFonts w:cs="Times New Roman"/>
              </w:rPr>
              <w:t>一般固体废物执行《一般工业固体废物贮存和填埋处置污染控制标准》（GB18599-2020）中相关规定危险；危险废物执行《危险废物贮存污染控制标准》（GB18597-2023）中有关规定。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226" w:type="pct"/>
            <w:vAlign w:val="center"/>
          </w:tcPr>
          <w:p>
            <w:pPr>
              <w:adjustRightInd w:val="0"/>
              <w:snapToGrid w:val="0"/>
              <w:spacing w:line="240" w:lineRule="auto"/>
              <w:jc w:val="center"/>
              <w:rPr>
                <w:rFonts w:cs="Times New Roman"/>
                <w:kern w:val="21"/>
                <w:szCs w:val="24"/>
              </w:rPr>
            </w:pPr>
            <w:r>
              <w:rPr>
                <w:rFonts w:cs="Times New Roman"/>
                <w:kern w:val="21"/>
                <w:szCs w:val="24"/>
              </w:rPr>
              <w:t>总量</w:t>
            </w:r>
          </w:p>
          <w:p>
            <w:pPr>
              <w:adjustRightInd w:val="0"/>
              <w:snapToGrid w:val="0"/>
              <w:spacing w:line="240" w:lineRule="auto"/>
              <w:jc w:val="center"/>
              <w:rPr>
                <w:rFonts w:cs="Times New Roman"/>
                <w:kern w:val="21"/>
                <w:szCs w:val="24"/>
              </w:rPr>
            </w:pPr>
            <w:r>
              <w:rPr>
                <w:rFonts w:cs="Times New Roman"/>
                <w:kern w:val="21"/>
                <w:szCs w:val="24"/>
              </w:rPr>
              <w:t>控制</w:t>
            </w:r>
          </w:p>
          <w:p>
            <w:pPr>
              <w:adjustRightInd w:val="0"/>
              <w:snapToGrid w:val="0"/>
              <w:spacing w:line="240" w:lineRule="auto"/>
              <w:jc w:val="center"/>
              <w:rPr>
                <w:rFonts w:cs="Times New Roman"/>
                <w:kern w:val="21"/>
                <w:szCs w:val="24"/>
              </w:rPr>
            </w:pPr>
            <w:r>
              <w:rPr>
                <w:rFonts w:cs="Times New Roman"/>
                <w:kern w:val="21"/>
                <w:szCs w:val="24"/>
              </w:rPr>
              <w:t>指标</w:t>
            </w:r>
          </w:p>
        </w:tc>
        <w:tc>
          <w:tcPr>
            <w:tcW w:w="4773" w:type="pct"/>
            <w:vAlign w:val="center"/>
          </w:tcPr>
          <w:p>
            <w:pPr>
              <w:ind w:firstLine="499" w:firstLineChars="208"/>
              <w:jc w:val="both"/>
              <w:rPr>
                <w:rFonts w:eastAsia="宋体" w:cs="Times New Roman"/>
                <w:szCs w:val="24"/>
              </w:rPr>
            </w:pPr>
          </w:p>
          <w:p>
            <w:pPr>
              <w:ind w:firstLine="499" w:firstLineChars="208"/>
              <w:jc w:val="both"/>
              <w:rPr>
                <w:rFonts w:eastAsia="宋体" w:cs="Times New Roman"/>
                <w:szCs w:val="24"/>
              </w:rPr>
            </w:pPr>
            <w:r>
              <w:rPr>
                <w:rFonts w:eastAsia="宋体" w:cs="Times New Roman"/>
                <w:szCs w:val="24"/>
              </w:rPr>
              <w:t>根据国务院关于印发《“十四五”节能减排综合工作方案的通知》，我国“十四五”期间对化学需氧量、氨氮、氮氧化物和挥发性有机物排放总量实行排放总量控制。</w:t>
            </w:r>
          </w:p>
          <w:p>
            <w:pPr>
              <w:ind w:firstLine="499" w:firstLineChars="208"/>
              <w:jc w:val="both"/>
              <w:rPr>
                <w:rFonts w:eastAsia="宋体" w:cs="Times New Roman"/>
                <w:szCs w:val="24"/>
              </w:rPr>
            </w:pPr>
            <w:r>
              <w:rPr>
                <w:rFonts w:eastAsia="宋体" w:cs="Times New Roman"/>
                <w:szCs w:val="24"/>
              </w:rPr>
              <w:t>根据国家对污染物排放总量控制的要求及本项目污染物排放特点，本项目无需申请总量控制指标。</w:t>
            </w:r>
          </w:p>
          <w:p>
            <w:pPr>
              <w:ind w:firstLine="499" w:firstLineChars="208"/>
              <w:jc w:val="both"/>
              <w:rPr>
                <w:rFonts w:cs="Times New Roman"/>
                <w:kern w:val="21"/>
              </w:rPr>
            </w:pPr>
          </w:p>
        </w:tc>
      </w:tr>
    </w:tbl>
    <w:p>
      <w:pPr>
        <w:rPr>
          <w:rFonts w:eastAsia="宋体" w:cs="Times New Roman"/>
          <w:szCs w:val="24"/>
        </w:rPr>
      </w:pPr>
    </w:p>
    <w:p>
      <w:pPr>
        <w:rPr>
          <w:rFonts w:cs="Times New Roman"/>
          <w:sz w:val="28"/>
          <w:szCs w:val="24"/>
        </w:rPr>
        <w:sectPr>
          <w:pgSz w:w="11907" w:h="16840"/>
          <w:pgMar w:top="1440" w:right="1080" w:bottom="1440" w:left="1080" w:header="850" w:footer="851" w:gutter="0"/>
          <w:pgNumType w:fmt="numberInDash"/>
          <w:cols w:space="720" w:num="1"/>
          <w:docGrid w:linePitch="312" w:charSpace="0"/>
        </w:sectPr>
      </w:pPr>
    </w:p>
    <w:p>
      <w:pPr>
        <w:jc w:val="center"/>
        <w:rPr>
          <w:rFonts w:cs="Times New Roman"/>
          <w:b/>
          <w:bCs/>
          <w:sz w:val="28"/>
          <w:szCs w:val="24"/>
        </w:rPr>
      </w:pPr>
      <w:r>
        <w:rPr>
          <w:rFonts w:cs="Times New Roman"/>
          <w:b/>
          <w:bCs/>
          <w:sz w:val="28"/>
          <w:szCs w:val="24"/>
        </w:rPr>
        <w:t>四、主要环境影响和保护措施</w:t>
      </w:r>
    </w:p>
    <w:tbl>
      <w:tblPr>
        <w:tblStyle w:val="18"/>
        <w:tblW w:w="52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2"/>
        <w:gridCol w:w="98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0" w:type="pct"/>
            <w:tcMar>
              <w:left w:w="28" w:type="dxa"/>
              <w:right w:w="28" w:type="dxa"/>
            </w:tcMar>
            <w:vAlign w:val="center"/>
          </w:tcPr>
          <w:p>
            <w:pPr>
              <w:adjustRightInd w:val="0"/>
              <w:snapToGrid w:val="0"/>
              <w:spacing w:line="240" w:lineRule="auto"/>
              <w:jc w:val="center"/>
              <w:rPr>
                <w:rFonts w:cs="Times New Roman"/>
                <w:kern w:val="21"/>
                <w:szCs w:val="24"/>
              </w:rPr>
            </w:pPr>
            <w:r>
              <w:rPr>
                <w:rFonts w:cs="Times New Roman"/>
                <w:kern w:val="21"/>
                <w:szCs w:val="24"/>
              </w:rPr>
              <w:t>施工</w:t>
            </w:r>
          </w:p>
          <w:p>
            <w:pPr>
              <w:adjustRightInd w:val="0"/>
              <w:snapToGrid w:val="0"/>
              <w:spacing w:line="240" w:lineRule="auto"/>
              <w:jc w:val="center"/>
              <w:rPr>
                <w:rFonts w:cs="Times New Roman"/>
                <w:kern w:val="21"/>
                <w:szCs w:val="24"/>
              </w:rPr>
            </w:pPr>
            <w:r>
              <w:rPr>
                <w:rFonts w:cs="Times New Roman"/>
                <w:kern w:val="21"/>
                <w:szCs w:val="24"/>
              </w:rPr>
              <w:t>期环</w:t>
            </w:r>
          </w:p>
          <w:p>
            <w:pPr>
              <w:adjustRightInd w:val="0"/>
              <w:snapToGrid w:val="0"/>
              <w:spacing w:line="240" w:lineRule="auto"/>
              <w:jc w:val="center"/>
              <w:rPr>
                <w:rFonts w:cs="Times New Roman"/>
                <w:kern w:val="21"/>
                <w:szCs w:val="24"/>
              </w:rPr>
            </w:pPr>
            <w:r>
              <w:rPr>
                <w:rFonts w:cs="Times New Roman"/>
                <w:kern w:val="21"/>
                <w:szCs w:val="24"/>
              </w:rPr>
              <w:t>境保</w:t>
            </w:r>
          </w:p>
          <w:p>
            <w:pPr>
              <w:adjustRightInd w:val="0"/>
              <w:snapToGrid w:val="0"/>
              <w:spacing w:line="240" w:lineRule="auto"/>
              <w:jc w:val="center"/>
              <w:rPr>
                <w:rFonts w:cs="Times New Roman"/>
                <w:kern w:val="21"/>
                <w:szCs w:val="24"/>
              </w:rPr>
            </w:pPr>
            <w:r>
              <w:rPr>
                <w:rFonts w:cs="Times New Roman"/>
                <w:kern w:val="21"/>
                <w:szCs w:val="24"/>
              </w:rPr>
              <w:t>护措</w:t>
            </w:r>
          </w:p>
          <w:p>
            <w:pPr>
              <w:adjustRightInd w:val="0"/>
              <w:snapToGrid w:val="0"/>
              <w:spacing w:line="240" w:lineRule="auto"/>
              <w:jc w:val="center"/>
              <w:rPr>
                <w:rFonts w:cs="Times New Roman"/>
                <w:kern w:val="21"/>
                <w:szCs w:val="24"/>
              </w:rPr>
            </w:pPr>
            <w:r>
              <w:rPr>
                <w:rFonts w:cs="Times New Roman"/>
                <w:kern w:val="21"/>
                <w:szCs w:val="24"/>
              </w:rPr>
              <w:t>施</w:t>
            </w:r>
          </w:p>
        </w:tc>
        <w:tc>
          <w:tcPr>
            <w:tcW w:w="4789" w:type="pct"/>
            <w:vAlign w:val="center"/>
          </w:tcPr>
          <w:p>
            <w:pPr>
              <w:pStyle w:val="41"/>
              <w:snapToGrid w:val="0"/>
              <w:spacing w:before="120" w:beforeLines="50" w:line="360" w:lineRule="auto"/>
              <w:ind w:firstLine="480" w:firstLineChars="200"/>
              <w:rPr>
                <w:rFonts w:ascii="Times New Roman" w:eastAsia="宋体" w:cs="Times New Roman"/>
                <w:color w:val="auto"/>
              </w:rPr>
            </w:pPr>
            <w:r>
              <w:rPr>
                <w:rFonts w:ascii="Times New Roman" w:eastAsia="宋体" w:cs="Times New Roman"/>
                <w:color w:val="auto"/>
              </w:rPr>
              <w:t>施工过程中不可避免的产生废气、废水、噪声及固废，其影响及保护措施分析如下：</w:t>
            </w:r>
          </w:p>
          <w:p>
            <w:pPr>
              <w:adjustRightInd w:val="0"/>
              <w:snapToGrid w:val="0"/>
              <w:rPr>
                <w:rFonts w:cs="Times New Roman"/>
                <w:b/>
              </w:rPr>
            </w:pPr>
            <w:r>
              <w:rPr>
                <w:rFonts w:cs="Times New Roman"/>
                <w:b/>
              </w:rPr>
              <w:t>（一）废气</w:t>
            </w:r>
            <w:r>
              <w:rPr>
                <w:rFonts w:cs="Times New Roman"/>
                <w:b/>
                <w:bCs/>
              </w:rPr>
              <w:t>影响保护措施</w:t>
            </w:r>
          </w:p>
          <w:p>
            <w:pPr>
              <w:adjustRightInd w:val="0"/>
              <w:snapToGrid w:val="0"/>
              <w:ind w:firstLine="480" w:firstLineChars="200"/>
              <w:rPr>
                <w:rFonts w:cs="Times New Roman"/>
              </w:rPr>
            </w:pPr>
            <w:r>
              <w:rPr>
                <w:rFonts w:cs="Times New Roman"/>
              </w:rPr>
              <w:t>施工期废气污染主要是施工扬尘，为使施工过程中产生的扬尘对周围环境空气的影响降低到最小程度，根据《陕西省</w:t>
            </w:r>
            <w:r>
              <w:rPr>
                <w:rFonts w:hint="eastAsia" w:cs="Times New Roman"/>
              </w:rPr>
              <w:t>大气污染治理专项行动方案</w:t>
            </w:r>
            <w:r>
              <w:rPr>
                <w:rFonts w:cs="Times New Roman"/>
              </w:rPr>
              <w:t>（2023-2027年）》、《</w:t>
            </w:r>
            <w:r>
              <w:rPr>
                <w:rFonts w:hint="eastAsia" w:cs="Times New Roman"/>
              </w:rPr>
              <w:t>西安市大气污染治理专项行动方案（2023-2027年）</w:t>
            </w:r>
            <w:r>
              <w:rPr>
                <w:rFonts w:cs="Times New Roman"/>
              </w:rPr>
              <w:t>》、《陕西省建筑施工扬尘治理措施16条》、《陕西省建筑施工扬尘治理措施16条》、《西安市扬尘污染防治条例》（2020年11月26日第二次修正）等文件规定要求，评价提出以下措施和要求：</w:t>
            </w:r>
          </w:p>
          <w:p>
            <w:pPr>
              <w:numPr>
                <w:ilvl w:val="0"/>
                <w:numId w:val="2"/>
              </w:numPr>
              <w:adjustRightInd w:val="0"/>
              <w:snapToGrid w:val="0"/>
              <w:ind w:firstLine="480" w:firstLineChars="200"/>
              <w:rPr>
                <w:rFonts w:cs="Times New Roman"/>
              </w:rPr>
            </w:pPr>
            <w:r>
              <w:rPr>
                <w:rFonts w:cs="Times New Roman"/>
              </w:rPr>
              <w:t>建设单位应当在施工前向工程主管部门、环境保护行政主管部门提交工地扬尘污染防治方案，将扬尘污染防治纳入工程监理范围，所需费用列入工程预算，并在工程承包合同中明确施工单位防治扬尘污染的责任。</w:t>
            </w:r>
          </w:p>
          <w:p>
            <w:pPr>
              <w:numPr>
                <w:ilvl w:val="0"/>
                <w:numId w:val="2"/>
              </w:numPr>
              <w:adjustRightInd w:val="0"/>
              <w:snapToGrid w:val="0"/>
              <w:ind w:firstLine="480" w:firstLineChars="200"/>
              <w:rPr>
                <w:rFonts w:cs="Times New Roman"/>
              </w:rPr>
            </w:pPr>
            <w:r>
              <w:rPr>
                <w:rFonts w:cs="Times New Roman"/>
              </w:rPr>
              <w:t>施工单位应当按照工地扬尘污染防治方案的要求施工，在建设工地必须设置环境保护牌，标明扬尘治理措施、责任人及监督电话、扬尘监管行政主管部门等有关信息，接受社会监督。</w:t>
            </w:r>
          </w:p>
          <w:p>
            <w:pPr>
              <w:numPr>
                <w:ilvl w:val="0"/>
                <w:numId w:val="2"/>
              </w:numPr>
              <w:adjustRightInd w:val="0"/>
              <w:snapToGrid w:val="0"/>
              <w:ind w:firstLine="480" w:firstLineChars="200"/>
              <w:rPr>
                <w:rFonts w:cs="Times New Roman"/>
              </w:rPr>
            </w:pPr>
            <w:r>
              <w:rPr>
                <w:rFonts w:cs="Times New Roman"/>
              </w:rPr>
              <w:t>施工场地内易产生扬尘的物料堆置必须采取封闭式、遮盖、洒水等抑尘措施，减少露天装卸作业。</w:t>
            </w:r>
          </w:p>
          <w:p>
            <w:pPr>
              <w:numPr>
                <w:ilvl w:val="0"/>
                <w:numId w:val="2"/>
              </w:numPr>
              <w:adjustRightInd w:val="0"/>
              <w:snapToGrid w:val="0"/>
              <w:ind w:firstLine="480" w:firstLineChars="200"/>
              <w:rPr>
                <w:rFonts w:cs="Times New Roman"/>
              </w:rPr>
            </w:pPr>
            <w:r>
              <w:rPr>
                <w:rFonts w:cs="Times New Roman"/>
              </w:rPr>
              <w:t>加强施工车辆运输监管，杜绝超速、超高装载、带泥上路、抛洒泄漏等现象。</w:t>
            </w:r>
          </w:p>
          <w:p>
            <w:pPr>
              <w:numPr>
                <w:ilvl w:val="0"/>
                <w:numId w:val="2"/>
              </w:numPr>
              <w:adjustRightInd w:val="0"/>
              <w:snapToGrid w:val="0"/>
              <w:ind w:firstLine="480" w:firstLineChars="200"/>
              <w:rPr>
                <w:rFonts w:cs="Times New Roman"/>
              </w:rPr>
            </w:pPr>
            <w:r>
              <w:rPr>
                <w:rFonts w:cs="Times New Roman"/>
              </w:rPr>
              <w:t>运输车辆加蓬盖、装卸场地在装卸前先冲洗干净，减少车轮、底盘等携带泥土散落路面。</w:t>
            </w:r>
          </w:p>
          <w:p>
            <w:pPr>
              <w:numPr>
                <w:ilvl w:val="0"/>
                <w:numId w:val="2"/>
              </w:numPr>
              <w:adjustRightInd w:val="0"/>
              <w:snapToGrid w:val="0"/>
              <w:ind w:firstLine="480" w:firstLineChars="200"/>
              <w:rPr>
                <w:rFonts w:cs="Times New Roman"/>
              </w:rPr>
            </w:pPr>
            <w:r>
              <w:rPr>
                <w:rFonts w:cs="Times New Roman"/>
              </w:rPr>
              <w:t>定期利用处理后的施工废水对裸露的运输道路和施工场所洒水。</w:t>
            </w:r>
          </w:p>
          <w:p>
            <w:pPr>
              <w:numPr>
                <w:ilvl w:val="0"/>
                <w:numId w:val="2"/>
              </w:numPr>
              <w:adjustRightInd w:val="0"/>
              <w:snapToGrid w:val="0"/>
              <w:ind w:firstLine="480" w:firstLineChars="200"/>
              <w:rPr>
                <w:rFonts w:cs="Times New Roman"/>
              </w:rPr>
            </w:pPr>
            <w:r>
              <w:rPr>
                <w:rFonts w:cs="Times New Roman"/>
              </w:rPr>
              <w:t>施工单位必须选用符合国家卫生防护标准的施工机械和运输工具，确保其废气排放符合国家有关标准。加强对机械设备的养护，减少不必要的空转时间，以控制尾气排放；严禁使用冒黑烟的柴油打桩机。</w:t>
            </w:r>
          </w:p>
          <w:p>
            <w:pPr>
              <w:numPr>
                <w:ilvl w:val="0"/>
                <w:numId w:val="2"/>
              </w:numPr>
              <w:adjustRightInd w:val="0"/>
              <w:snapToGrid w:val="0"/>
              <w:ind w:firstLine="480" w:firstLineChars="200"/>
              <w:rPr>
                <w:rFonts w:cs="Times New Roman"/>
              </w:rPr>
            </w:pPr>
            <w:r>
              <w:rPr>
                <w:rFonts w:cs="Times New Roman"/>
              </w:rPr>
              <w:t>施工工地内的车行道路采取硬化或者铺设礁渣、砾石或其他功能相当的材料，并辅以洒水、喷洒抑尘剂等措施。</w:t>
            </w:r>
          </w:p>
          <w:p>
            <w:pPr>
              <w:numPr>
                <w:ilvl w:val="0"/>
                <w:numId w:val="2"/>
              </w:numPr>
              <w:adjustRightInd w:val="0"/>
              <w:snapToGrid w:val="0"/>
              <w:ind w:firstLine="480" w:firstLineChars="200"/>
              <w:rPr>
                <w:rFonts w:cs="Times New Roman"/>
              </w:rPr>
            </w:pPr>
            <w:r>
              <w:rPr>
                <w:rFonts w:cs="Times New Roman"/>
              </w:rPr>
              <w:t>施工工地出入口内侧安装车辆冲洗设备，车辆冲洗干净后方可驶出。</w:t>
            </w:r>
          </w:p>
          <w:p>
            <w:pPr>
              <w:numPr>
                <w:ilvl w:val="0"/>
                <w:numId w:val="2"/>
              </w:numPr>
              <w:adjustRightInd w:val="0"/>
              <w:snapToGrid w:val="0"/>
              <w:ind w:firstLine="480" w:firstLineChars="200"/>
              <w:rPr>
                <w:rFonts w:cs="Times New Roman"/>
              </w:rPr>
            </w:pPr>
            <w:r>
              <w:rPr>
                <w:rFonts w:cs="Times New Roman"/>
              </w:rPr>
              <w:t>保持施工工地出入口通道及其周边道路的清洁。</w:t>
            </w:r>
          </w:p>
          <w:p>
            <w:pPr>
              <w:numPr>
                <w:ilvl w:val="0"/>
                <w:numId w:val="2"/>
              </w:numPr>
              <w:adjustRightInd w:val="0"/>
              <w:snapToGrid w:val="0"/>
              <w:ind w:firstLine="480" w:firstLineChars="200"/>
              <w:rPr>
                <w:rFonts w:cs="Times New Roman"/>
              </w:rPr>
            </w:pPr>
            <w:r>
              <w:rPr>
                <w:rFonts w:cs="Times New Roman"/>
              </w:rPr>
              <w:t>建筑垃圾和渣土不能及时清运的，完全覆盖防尘布或者防尘网。</w:t>
            </w:r>
          </w:p>
          <w:p>
            <w:pPr>
              <w:numPr>
                <w:ilvl w:val="0"/>
                <w:numId w:val="2"/>
              </w:numPr>
              <w:adjustRightInd w:val="0"/>
              <w:snapToGrid w:val="0"/>
              <w:ind w:firstLine="480" w:firstLineChars="200"/>
              <w:rPr>
                <w:rFonts w:cs="Times New Roman"/>
              </w:rPr>
            </w:pPr>
            <w:r>
              <w:rPr>
                <w:rFonts w:cs="Times New Roman"/>
              </w:rPr>
              <w:t>在工地内堆放砂石、土方及其他易产生扬尘物料的，采取覆盖防尘布或者防尘网、定期喷洒抑尘剂或者洒水等措施。</w:t>
            </w:r>
          </w:p>
          <w:p>
            <w:pPr>
              <w:adjustRightInd w:val="0"/>
              <w:snapToGrid w:val="0"/>
              <w:ind w:firstLine="480" w:firstLineChars="200"/>
              <w:rPr>
                <w:rFonts w:cs="Times New Roman"/>
              </w:rPr>
            </w:pPr>
            <w:r>
              <w:rPr>
                <w:rFonts w:cs="Times New Roman"/>
              </w:rPr>
              <w:t>建设单位施工过程必须达到“六个百分之百”标准要求，即施工工地周边100%围挡、物料堆放100%苫盖、出入车辆100%冲洗、施工现场地面100%覆盖、出入口100%硬化、渣土车辆100%封闭式运输，确保施工场界扬尘满足《施工场界扬尘排放限值》（DB61/1078-2017）排放限值要求，减缓施工扬尘对周围环境的影响。</w:t>
            </w:r>
          </w:p>
          <w:p>
            <w:pPr>
              <w:adjustRightInd w:val="0"/>
              <w:snapToGrid w:val="0"/>
              <w:ind w:firstLine="480" w:firstLineChars="200"/>
              <w:rPr>
                <w:rFonts w:cs="Times New Roman"/>
              </w:rPr>
            </w:pPr>
            <w:r>
              <w:rPr>
                <w:rFonts w:cs="Times New Roman"/>
              </w:rPr>
              <w:t>采取以上废气污染防治措施，施工期扬尘对周围环境的影响很小，措施可行。</w:t>
            </w:r>
          </w:p>
          <w:p>
            <w:pPr>
              <w:adjustRightInd w:val="0"/>
              <w:snapToGrid w:val="0"/>
              <w:rPr>
                <w:rFonts w:cs="Times New Roman"/>
                <w:b/>
              </w:rPr>
            </w:pPr>
            <w:r>
              <w:rPr>
                <w:rFonts w:cs="Times New Roman"/>
                <w:b/>
              </w:rPr>
              <w:t>（二）废水</w:t>
            </w:r>
            <w:r>
              <w:rPr>
                <w:rFonts w:cs="Times New Roman"/>
                <w:b/>
                <w:bCs/>
              </w:rPr>
              <w:t>影响保护措施</w:t>
            </w:r>
          </w:p>
          <w:p>
            <w:pPr>
              <w:numPr>
                <w:ilvl w:val="0"/>
                <w:numId w:val="3"/>
              </w:numPr>
              <w:adjustRightInd w:val="0"/>
              <w:snapToGrid w:val="0"/>
              <w:ind w:firstLine="480" w:firstLineChars="200"/>
              <w:rPr>
                <w:rFonts w:cs="Times New Roman"/>
              </w:rPr>
            </w:pPr>
            <w:r>
              <w:rPr>
                <w:rFonts w:cs="Times New Roman"/>
              </w:rPr>
              <w:t>施工废水</w:t>
            </w:r>
          </w:p>
          <w:p>
            <w:pPr>
              <w:adjustRightInd w:val="0"/>
              <w:snapToGrid w:val="0"/>
              <w:ind w:firstLine="480" w:firstLineChars="200"/>
              <w:rPr>
                <w:rFonts w:cs="Times New Roman"/>
              </w:rPr>
            </w:pPr>
            <w:r>
              <w:rPr>
                <w:rFonts w:cs="Times New Roman"/>
              </w:rPr>
              <w:t xml:space="preserve">施工废水主要污染物为泥沙，依托厂内现有沉淀池，施工废水经沉淀后回用于车辆冲洗、工地洒水降尘等，不外排，基本不会对水环境造成明显不利影响，措施可行。 </w:t>
            </w:r>
          </w:p>
          <w:p>
            <w:pPr>
              <w:numPr>
                <w:ilvl w:val="0"/>
                <w:numId w:val="3"/>
              </w:numPr>
              <w:adjustRightInd w:val="0"/>
              <w:snapToGrid w:val="0"/>
              <w:ind w:firstLine="480" w:firstLineChars="200"/>
              <w:rPr>
                <w:rFonts w:cs="Times New Roman"/>
              </w:rPr>
            </w:pPr>
            <w:r>
              <w:rPr>
                <w:rFonts w:cs="Times New Roman"/>
              </w:rPr>
              <w:t>施工人员生活污水</w:t>
            </w:r>
          </w:p>
          <w:p>
            <w:pPr>
              <w:adjustRightInd w:val="0"/>
              <w:snapToGrid w:val="0"/>
              <w:ind w:firstLine="480" w:firstLineChars="200"/>
              <w:rPr>
                <w:rFonts w:cs="Times New Roman"/>
              </w:rPr>
            </w:pPr>
            <w:r>
              <w:rPr>
                <w:rFonts w:cs="Times New Roman"/>
              </w:rPr>
              <w:t>生活污水项目施工人员厂区现有化粪池，施工期平均施工人员约20人，不在厂区内食宿，根据《建筑施工计算手册》临时设施施工，以每人每天用水量0.06m</w:t>
            </w:r>
            <w:r>
              <w:rPr>
                <w:rFonts w:cs="Times New Roman"/>
                <w:vertAlign w:val="superscript"/>
              </w:rPr>
              <w:t>3</w:t>
            </w:r>
            <w:r>
              <w:rPr>
                <w:rFonts w:cs="Times New Roman"/>
              </w:rPr>
              <w:t>计，则施工期施工人员用水量为1.2m</w:t>
            </w:r>
            <w:r>
              <w:rPr>
                <w:rFonts w:cs="Times New Roman"/>
                <w:vertAlign w:val="superscript"/>
              </w:rPr>
              <w:t>3</w:t>
            </w:r>
            <w:r>
              <w:rPr>
                <w:rFonts w:cs="Times New Roman"/>
              </w:rPr>
              <w:t>/d，废水产生系数取0.8，施工过程中废水产生量为0.96m</w:t>
            </w:r>
            <w:r>
              <w:rPr>
                <w:rFonts w:cs="Times New Roman"/>
                <w:vertAlign w:val="superscript"/>
              </w:rPr>
              <w:t>3</w:t>
            </w:r>
            <w:r>
              <w:rPr>
                <w:rFonts w:cs="Times New Roman"/>
              </w:rPr>
              <w:t>/d，施工人员来自附近村落，生活污水排入化粪池，定期清掏用作农肥。少量生活盥洗水收集后作施工场地、道路和绿化洒水，不会对周围地表水环境产生明显不利影响。</w:t>
            </w:r>
          </w:p>
          <w:p>
            <w:pPr>
              <w:adjustRightInd w:val="0"/>
              <w:snapToGrid w:val="0"/>
              <w:rPr>
                <w:rFonts w:cs="Times New Roman"/>
                <w:b/>
              </w:rPr>
            </w:pPr>
            <w:r>
              <w:rPr>
                <w:rFonts w:cs="Times New Roman"/>
                <w:b/>
              </w:rPr>
              <w:t>（三）噪声</w:t>
            </w:r>
            <w:r>
              <w:rPr>
                <w:rFonts w:cs="Times New Roman"/>
                <w:b/>
                <w:bCs/>
              </w:rPr>
              <w:t>影响保护措施</w:t>
            </w:r>
          </w:p>
          <w:p>
            <w:pPr>
              <w:adjustRightInd w:val="0"/>
              <w:snapToGrid w:val="0"/>
              <w:ind w:firstLine="480" w:firstLineChars="200"/>
              <w:rPr>
                <w:rFonts w:cs="Times New Roman"/>
              </w:rPr>
            </w:pPr>
            <w:r>
              <w:rPr>
                <w:rFonts w:cs="Times New Roman"/>
              </w:rPr>
              <w:t>根据类比调查及本项目提供的主要设备选型等有关资料分析，设备高达90dB(A)以上的噪声源施工机械主要有挖掘机、振均机、电钻等，仅在昼间施工。在实际施工过程中可能出现多台施工机械同时在一起作业，为了进一步减少噪声对环境的影响，做出以下措施：</w:t>
            </w:r>
          </w:p>
          <w:p>
            <w:pPr>
              <w:adjustRightInd w:val="0"/>
              <w:snapToGrid w:val="0"/>
              <w:ind w:firstLine="480" w:firstLineChars="200"/>
              <w:rPr>
                <w:rFonts w:cs="Times New Roman"/>
              </w:rPr>
            </w:pPr>
            <w:r>
              <w:rPr>
                <w:rFonts w:cs="Times New Roman"/>
              </w:rPr>
              <w:t>（1）在施工过程中选用低噪声设备和工艺，加强检查、维护和保养机械设备，保持润滑，紧固各部件，减少运行震动噪声。整体设备安放稳固，并与地面保持良好接触，有条件的应使用减振机座，降低噪声。对动力机械设备进行定期维修、养护，避免设备因松动部件的振动或消声器的损坏而增加其工作时的声压级；设备用完或不用时应及时关闭。</w:t>
            </w:r>
          </w:p>
          <w:p>
            <w:pPr>
              <w:adjustRightInd w:val="0"/>
              <w:snapToGrid w:val="0"/>
              <w:ind w:firstLine="480" w:firstLineChars="200"/>
              <w:rPr>
                <w:rFonts w:cs="Times New Roman"/>
              </w:rPr>
            </w:pPr>
            <w:r>
              <w:rPr>
                <w:rFonts w:cs="Times New Roman"/>
              </w:rPr>
              <w:t>（2）建筑施工过程中使用机械设备，可能产生环境噪声污染的，施工单位应当在工程开工前十五日向工程所在地的环境保护行政主管部门申报该工程的项目名称、施工场所和期限、可能产生的环境噪声值以及所采取的环境噪声污染防治措施的情况。</w:t>
            </w:r>
          </w:p>
          <w:p>
            <w:pPr>
              <w:adjustRightInd w:val="0"/>
              <w:snapToGrid w:val="0"/>
              <w:ind w:firstLine="480" w:firstLineChars="200"/>
              <w:rPr>
                <w:rFonts w:cs="Times New Roman"/>
              </w:rPr>
            </w:pPr>
            <w:r>
              <w:rPr>
                <w:rFonts w:cs="Times New Roman"/>
              </w:rPr>
              <w:t>（3）合理安排施工计划和施工机械设备组合以及施工时间，禁止在夜间（22:00～6:00）施工，避免在同一时间集中使用大量的动力机械设备。</w:t>
            </w:r>
          </w:p>
          <w:p>
            <w:pPr>
              <w:adjustRightInd w:val="0"/>
              <w:snapToGrid w:val="0"/>
              <w:ind w:firstLine="480" w:firstLineChars="200"/>
              <w:rPr>
                <w:rFonts w:cs="Times New Roman"/>
              </w:rPr>
            </w:pPr>
            <w:r>
              <w:rPr>
                <w:rFonts w:cs="Times New Roman"/>
              </w:rPr>
              <w:t>（4）合理布局施工现场，避免在同一地点安排大量动力机械设备，导致局部噪声级过高；各种高噪声级机械布置在施工场地中央，通过距离衰减和外围建筑阻隔来实现降噪；</w:t>
            </w:r>
          </w:p>
          <w:p>
            <w:pPr>
              <w:adjustRightInd w:val="0"/>
              <w:snapToGrid w:val="0"/>
              <w:ind w:firstLine="480" w:firstLineChars="200"/>
              <w:rPr>
                <w:rFonts w:cs="Times New Roman"/>
              </w:rPr>
            </w:pPr>
            <w:r>
              <w:rPr>
                <w:rFonts w:cs="Times New Roman"/>
              </w:rPr>
              <w:t>（5）严格操作规程，加强施工机械管理，降低人为噪声影响。不合理施工作业是产生人为噪声的主要原因，如钢筋材料装卸及其安装过程产生的金属撞击声和落料声等均会产生较大距离的声环境影响，因此要杜绝人为敲打、野蛮装卸现象，禁止建筑物料、土石方清运车辆进出工地高速行驶和鸣笛等；</w:t>
            </w:r>
          </w:p>
          <w:p>
            <w:pPr>
              <w:adjustRightInd w:val="0"/>
              <w:snapToGrid w:val="0"/>
              <w:ind w:firstLine="480" w:firstLineChars="200"/>
              <w:rPr>
                <w:rFonts w:cs="Times New Roman"/>
              </w:rPr>
            </w:pPr>
            <w:r>
              <w:rPr>
                <w:rFonts w:cs="Times New Roman"/>
              </w:rPr>
              <w:t>（6）强化项目施工期间环境管理，提高施工机械化程度，缩短施工工期。严格控制施工车辆运行时段，避免进出场地造成道路堵塞；经过敏感点时，车辆应限速行驶、禁鸣喇叭，减少交通噪声对沿途敏感点的影响；</w:t>
            </w:r>
          </w:p>
          <w:p>
            <w:pPr>
              <w:pStyle w:val="42"/>
              <w:adjustRightInd w:val="0"/>
              <w:snapToGrid w:val="0"/>
              <w:rPr>
                <w:rFonts w:ascii="Times New Roman" w:hAnsi="Times New Roman" w:cs="Times New Roman"/>
                <w:color w:val="auto"/>
              </w:rPr>
            </w:pPr>
            <w:r>
              <w:rPr>
                <w:rFonts w:ascii="Times New Roman" w:hAnsi="Times New Roman" w:cs="Times New Roman"/>
                <w:color w:val="auto"/>
              </w:rPr>
              <w:t>（7）合理安排运输路线，尽量减少夜间运输量；适当限制大型载重车车速，尤其进入乡村等声敏感区时应限速禁鸣；对运输车辆定期维修、养护。</w:t>
            </w:r>
          </w:p>
          <w:p>
            <w:pPr>
              <w:adjustRightInd w:val="0"/>
              <w:snapToGrid w:val="0"/>
              <w:rPr>
                <w:rFonts w:cs="Times New Roman"/>
                <w:b/>
              </w:rPr>
            </w:pPr>
            <w:r>
              <w:rPr>
                <w:rFonts w:cs="Times New Roman"/>
                <w:b/>
              </w:rPr>
              <w:t>（四）固废</w:t>
            </w:r>
            <w:r>
              <w:rPr>
                <w:rFonts w:cs="Times New Roman"/>
                <w:b/>
                <w:bCs/>
              </w:rPr>
              <w:t>影响保护措施</w:t>
            </w:r>
          </w:p>
          <w:p>
            <w:pPr>
              <w:adjustRightInd w:val="0"/>
              <w:snapToGrid w:val="0"/>
              <w:ind w:firstLine="480" w:firstLineChars="200"/>
              <w:rPr>
                <w:rFonts w:cs="Times New Roman"/>
              </w:rPr>
            </w:pPr>
            <w:r>
              <w:rPr>
                <w:rFonts w:cs="Times New Roman"/>
              </w:rPr>
              <w:t>施工固体废物主要包括施工产生的建筑垃圾和生活垃圾。建筑垃圾主要来自于施工作业，包括废弃砂石、废金属等废料，上述建筑材料均是按照施工进度计划购置的，一般不会产生剩余弃渣，但在建设过程中会产生废弃的包装材料及砂石等。建筑废弃材料应分类回收，由</w:t>
            </w:r>
            <w:r>
              <w:rPr>
                <w:rFonts w:cs="Times New Roman"/>
                <w:kern w:val="0"/>
              </w:rPr>
              <w:t>垃圾车转运至政府指定的建筑垃圾堆放场，不得随意倾倒。</w:t>
            </w:r>
            <w:r>
              <w:rPr>
                <w:rFonts w:cs="Times New Roman"/>
              </w:rPr>
              <w:t>施工人员不在项目区住宿，施工期生活垃圾产生量为7.5kg/d。生活垃圾分类收集后交环卫部门统一处理。</w:t>
            </w:r>
          </w:p>
          <w:p>
            <w:pPr>
              <w:adjustRightInd w:val="0"/>
              <w:snapToGrid w:val="0"/>
              <w:ind w:firstLine="480" w:firstLineChars="200"/>
              <w:rPr>
                <w:rFonts w:cs="Times New Roman"/>
              </w:rPr>
            </w:pPr>
            <w:r>
              <w:rPr>
                <w:rFonts w:cs="Times New Roman"/>
              </w:rPr>
              <w:t>采取以上措施，施工期固体废物可以得到妥善处置，对环境影响较小，措施可行。</w:t>
            </w: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40" w:firstLineChars="200"/>
              <w:rPr>
                <w:rFonts w:cs="Times New Roman"/>
                <w:bCs/>
                <w:spacing w:val="-1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0" w:type="pct"/>
            <w:tcMar>
              <w:left w:w="28" w:type="dxa"/>
              <w:right w:w="28" w:type="dxa"/>
            </w:tcMar>
            <w:vAlign w:val="center"/>
          </w:tcPr>
          <w:p>
            <w:pPr>
              <w:adjustRightInd w:val="0"/>
              <w:snapToGrid w:val="0"/>
              <w:spacing w:line="240" w:lineRule="auto"/>
              <w:jc w:val="center"/>
              <w:rPr>
                <w:rFonts w:cs="Times New Roman"/>
                <w:kern w:val="21"/>
                <w:szCs w:val="24"/>
              </w:rPr>
            </w:pPr>
            <w:r>
              <w:rPr>
                <w:rFonts w:cs="Times New Roman"/>
                <w:kern w:val="21"/>
                <w:szCs w:val="24"/>
              </w:rPr>
              <w:t>运营</w:t>
            </w:r>
          </w:p>
          <w:p>
            <w:pPr>
              <w:adjustRightInd w:val="0"/>
              <w:snapToGrid w:val="0"/>
              <w:spacing w:line="240" w:lineRule="auto"/>
              <w:jc w:val="center"/>
              <w:rPr>
                <w:rFonts w:cs="Times New Roman"/>
                <w:kern w:val="21"/>
                <w:szCs w:val="24"/>
              </w:rPr>
            </w:pPr>
            <w:r>
              <w:rPr>
                <w:rFonts w:cs="Times New Roman"/>
                <w:kern w:val="21"/>
                <w:szCs w:val="24"/>
              </w:rPr>
              <w:t>期环</w:t>
            </w:r>
          </w:p>
          <w:p>
            <w:pPr>
              <w:adjustRightInd w:val="0"/>
              <w:snapToGrid w:val="0"/>
              <w:spacing w:line="240" w:lineRule="auto"/>
              <w:jc w:val="center"/>
              <w:rPr>
                <w:rFonts w:cs="Times New Roman"/>
                <w:kern w:val="21"/>
                <w:szCs w:val="24"/>
              </w:rPr>
            </w:pPr>
            <w:r>
              <w:rPr>
                <w:rFonts w:cs="Times New Roman"/>
                <w:kern w:val="21"/>
                <w:szCs w:val="24"/>
              </w:rPr>
              <w:t>境影</w:t>
            </w:r>
          </w:p>
          <w:p>
            <w:pPr>
              <w:adjustRightInd w:val="0"/>
              <w:snapToGrid w:val="0"/>
              <w:spacing w:line="240" w:lineRule="auto"/>
              <w:jc w:val="center"/>
              <w:rPr>
                <w:rFonts w:cs="Times New Roman"/>
                <w:kern w:val="21"/>
                <w:szCs w:val="24"/>
              </w:rPr>
            </w:pPr>
            <w:r>
              <w:rPr>
                <w:rFonts w:cs="Times New Roman"/>
                <w:kern w:val="21"/>
                <w:szCs w:val="24"/>
              </w:rPr>
              <w:t>响和</w:t>
            </w:r>
          </w:p>
          <w:p>
            <w:pPr>
              <w:adjustRightInd w:val="0"/>
              <w:snapToGrid w:val="0"/>
              <w:spacing w:line="240" w:lineRule="auto"/>
              <w:jc w:val="center"/>
              <w:rPr>
                <w:rFonts w:cs="Times New Roman"/>
                <w:kern w:val="21"/>
                <w:szCs w:val="24"/>
              </w:rPr>
            </w:pPr>
            <w:r>
              <w:rPr>
                <w:rFonts w:cs="Times New Roman"/>
                <w:kern w:val="21"/>
                <w:szCs w:val="24"/>
              </w:rPr>
              <w:t>保护</w:t>
            </w:r>
          </w:p>
          <w:p>
            <w:pPr>
              <w:adjustRightInd w:val="0"/>
              <w:snapToGrid w:val="0"/>
              <w:spacing w:line="240" w:lineRule="auto"/>
              <w:jc w:val="center"/>
              <w:rPr>
                <w:rFonts w:cs="Times New Roman"/>
                <w:kern w:val="21"/>
                <w:szCs w:val="24"/>
              </w:rPr>
            </w:pPr>
            <w:r>
              <w:rPr>
                <w:rFonts w:cs="Times New Roman"/>
                <w:kern w:val="21"/>
                <w:szCs w:val="24"/>
              </w:rPr>
              <w:t>措施</w:t>
            </w:r>
          </w:p>
        </w:tc>
        <w:tc>
          <w:tcPr>
            <w:tcW w:w="4789" w:type="pct"/>
          </w:tcPr>
          <w:p>
            <w:pPr>
              <w:adjustRightInd w:val="0"/>
              <w:snapToGrid w:val="0"/>
              <w:spacing w:before="120" w:beforeLines="50"/>
              <w:rPr>
                <w:rFonts w:cs="Times New Roman"/>
                <w:b/>
              </w:rPr>
            </w:pPr>
            <w:r>
              <w:rPr>
                <w:rFonts w:cs="Times New Roman"/>
                <w:b/>
              </w:rPr>
              <w:t>（一）大气环境影响分析</w:t>
            </w:r>
          </w:p>
          <w:p>
            <w:pPr>
              <w:adjustRightInd w:val="0"/>
              <w:snapToGrid w:val="0"/>
              <w:ind w:firstLine="480" w:firstLineChars="200"/>
              <w:rPr>
                <w:rFonts w:cs="Times New Roman"/>
              </w:rPr>
            </w:pPr>
            <w:bookmarkStart w:id="7" w:name="_Hlk155186192"/>
            <w:r>
              <w:rPr>
                <w:rFonts w:cs="Times New Roman"/>
              </w:rPr>
              <w:t>本项目运营期的废气污染物排放量较小，在采取本次评价中的各项处理处置措施后，各污染物均能达标排放，对周围环境影响较小，大气环境影响可接受。具体大气环境影响分析见本项目大气环境影响专项评价。</w:t>
            </w:r>
            <w:bookmarkEnd w:id="7"/>
            <w:bookmarkStart w:id="8" w:name="_Hlk155190539"/>
          </w:p>
          <w:bookmarkEnd w:id="8"/>
          <w:p>
            <w:pPr>
              <w:adjustRightInd w:val="0"/>
              <w:snapToGrid w:val="0"/>
              <w:rPr>
                <w:rFonts w:cs="Times New Roman"/>
                <w:b/>
              </w:rPr>
            </w:pPr>
            <w:r>
              <w:rPr>
                <w:rFonts w:cs="Times New Roman"/>
                <w:b/>
              </w:rPr>
              <w:t>（二）地表水环境影响分析</w:t>
            </w:r>
          </w:p>
          <w:p>
            <w:pPr>
              <w:adjustRightInd w:val="0"/>
              <w:snapToGrid w:val="0"/>
              <w:ind w:firstLine="482" w:firstLineChars="200"/>
              <w:rPr>
                <w:rFonts w:cs="Times New Roman"/>
                <w:b/>
                <w:bCs/>
              </w:rPr>
            </w:pPr>
            <w:r>
              <w:rPr>
                <w:rFonts w:cs="Times New Roman"/>
                <w:b/>
                <w:bCs/>
              </w:rPr>
              <w:t>1、废水污染物源强核算</w:t>
            </w:r>
          </w:p>
          <w:p>
            <w:pPr>
              <w:adjustRightInd w:val="0"/>
              <w:snapToGrid w:val="0"/>
              <w:ind w:firstLine="480" w:firstLineChars="200"/>
              <w:rPr>
                <w:rFonts w:cs="Times New Roman"/>
              </w:rPr>
            </w:pPr>
            <w:r>
              <w:rPr>
                <w:rFonts w:cs="Times New Roman"/>
              </w:rPr>
              <w:t>本项目扩建的水稳材料生产线在搅拌过程中需使用水，沥青混凝土生产工艺不发生变化。本项目不新增劳动定员，由现有工程工作人员抽调。故本次扩建项目主要新增的用水为生产搅拌用水、车辆冲洗用水及喷淋抑尘用水。</w:t>
            </w:r>
          </w:p>
          <w:p>
            <w:pPr>
              <w:adjustRightInd w:val="0"/>
              <w:snapToGrid w:val="0"/>
              <w:ind w:firstLine="480" w:firstLineChars="200"/>
              <w:rPr>
                <w:rFonts w:cs="Times New Roman"/>
              </w:rPr>
            </w:pPr>
            <w:r>
              <w:rPr>
                <w:rFonts w:cs="Times New Roman"/>
              </w:rPr>
              <w:t>生产搅拌用水直接进入产品；车辆冲洗废水依托现有洗车台及沉淀池，废水经沉淀池处理后回用；设备冲洗废水收集至沉淀池处理后回用；喷淋抑尘用水在使用中损耗。</w:t>
            </w:r>
          </w:p>
          <w:p>
            <w:pPr>
              <w:adjustRightInd w:val="0"/>
              <w:snapToGrid w:val="0"/>
              <w:ind w:firstLine="480" w:firstLineChars="200"/>
              <w:rPr>
                <w:rFonts w:cs="Times New Roman"/>
              </w:rPr>
            </w:pPr>
            <w:r>
              <w:rPr>
                <w:rFonts w:hint="eastAsia" w:ascii="宋体" w:hAnsi="宋体" w:eastAsia="宋体" w:cs="宋体"/>
              </w:rPr>
              <w:t>①</w:t>
            </w:r>
            <w:r>
              <w:rPr>
                <w:rFonts w:cs="Times New Roman"/>
              </w:rPr>
              <w:t>生产搅拌水</w:t>
            </w:r>
          </w:p>
          <w:p>
            <w:pPr>
              <w:adjustRightInd w:val="0"/>
              <w:snapToGrid w:val="0"/>
              <w:ind w:firstLine="480" w:firstLineChars="200"/>
              <w:rPr>
                <w:rFonts w:cs="Times New Roman"/>
              </w:rPr>
            </w:pPr>
            <w:r>
              <w:rPr>
                <w:rFonts w:cs="Times New Roman"/>
              </w:rPr>
              <w:t>本工程新增水稳材料生产过程需加水配料，根据企业提供的资料，项目生产搅拌用水量约为产品总量的1%，本项目水稳材料年产量为20万t/a，则生产搅拌用水量为2000t/a，配料用水全部进入产品。</w:t>
            </w:r>
          </w:p>
          <w:p>
            <w:pPr>
              <w:adjustRightInd w:val="0"/>
              <w:snapToGrid w:val="0"/>
              <w:ind w:firstLine="480" w:firstLineChars="200"/>
              <w:rPr>
                <w:rFonts w:cs="Times New Roman"/>
              </w:rPr>
            </w:pPr>
            <w:r>
              <w:rPr>
                <w:rFonts w:hint="eastAsia" w:ascii="宋体" w:hAnsi="宋体" w:eastAsia="宋体" w:cs="宋体"/>
              </w:rPr>
              <w:t>②</w:t>
            </w:r>
            <w:r>
              <w:rPr>
                <w:rFonts w:cs="Times New Roman"/>
              </w:rPr>
              <w:t>车辆冲洗水</w:t>
            </w:r>
          </w:p>
          <w:p>
            <w:pPr>
              <w:adjustRightInd w:val="0"/>
              <w:snapToGrid w:val="0"/>
              <w:ind w:firstLine="480" w:firstLineChars="200"/>
              <w:rPr>
                <w:rFonts w:cs="Times New Roman"/>
              </w:rPr>
            </w:pPr>
            <w:r>
              <w:rPr>
                <w:rFonts w:cs="Times New Roman"/>
              </w:rPr>
              <w:t>项目在原料装卸、停止运输或交接班时需要对运输车辆进行冲洗，以减少车辆运输过程中扬尘的产生，本项目运输车辆约为17辆次/d，年工作时间300天。根据《行业用水定额（修订稿）》（DB61/T943-2020），洗车用水量以55L/辆·次，则洗车用水量为280.5m</w:t>
            </w:r>
            <w:r>
              <w:rPr>
                <w:rFonts w:cs="Times New Roman"/>
                <w:vertAlign w:val="superscript"/>
              </w:rPr>
              <w:t>3</w:t>
            </w:r>
            <w:r>
              <w:rPr>
                <w:rFonts w:cs="Times New Roman"/>
              </w:rPr>
              <w:t>/a（0.935m</w:t>
            </w:r>
            <w:r>
              <w:rPr>
                <w:rFonts w:cs="Times New Roman"/>
                <w:vertAlign w:val="superscript"/>
              </w:rPr>
              <w:t>3</w:t>
            </w:r>
            <w:r>
              <w:rPr>
                <w:rFonts w:cs="Times New Roman"/>
              </w:rPr>
              <w:t>/d）。洗车用水损耗以20%计，则洗车补充用水量为56.1m</w:t>
            </w:r>
            <w:r>
              <w:rPr>
                <w:rFonts w:cs="Times New Roman"/>
                <w:vertAlign w:val="superscript"/>
              </w:rPr>
              <w:t>3</w:t>
            </w:r>
            <w:r>
              <w:rPr>
                <w:rFonts w:cs="Times New Roman"/>
              </w:rPr>
              <w:t>/a（0.187m</w:t>
            </w:r>
            <w:r>
              <w:rPr>
                <w:rFonts w:cs="Times New Roman"/>
                <w:vertAlign w:val="superscript"/>
              </w:rPr>
              <w:t>3</w:t>
            </w:r>
            <w:r>
              <w:rPr>
                <w:rFonts w:cs="Times New Roman"/>
              </w:rPr>
              <w:t>/d）。冲洗废水产生量为224.4m</w:t>
            </w:r>
            <w:r>
              <w:rPr>
                <w:rFonts w:cs="Times New Roman"/>
                <w:vertAlign w:val="superscript"/>
              </w:rPr>
              <w:t>3</w:t>
            </w:r>
            <w:r>
              <w:rPr>
                <w:rFonts w:cs="Times New Roman"/>
              </w:rPr>
              <w:t>/a（0.748m</w:t>
            </w:r>
            <w:r>
              <w:rPr>
                <w:rFonts w:cs="Times New Roman"/>
                <w:vertAlign w:val="superscript"/>
              </w:rPr>
              <w:t>3</w:t>
            </w:r>
            <w:r>
              <w:rPr>
                <w:rFonts w:cs="Times New Roman"/>
              </w:rPr>
              <w:t>/d），洗车废水经洗车台沉淀处理后循环使用。</w:t>
            </w:r>
          </w:p>
          <w:p>
            <w:pPr>
              <w:adjustRightInd w:val="0"/>
              <w:snapToGrid w:val="0"/>
              <w:ind w:firstLine="480" w:firstLineChars="200"/>
              <w:rPr>
                <w:rFonts w:cs="Times New Roman"/>
              </w:rPr>
            </w:pPr>
            <w:r>
              <w:rPr>
                <w:rFonts w:hint="eastAsia" w:ascii="宋体" w:hAnsi="宋体" w:eastAsia="宋体" w:cs="宋体"/>
              </w:rPr>
              <w:t>③</w:t>
            </w:r>
            <w:r>
              <w:rPr>
                <w:rFonts w:cs="Times New Roman"/>
              </w:rPr>
              <w:t>喷淋用水</w:t>
            </w:r>
          </w:p>
          <w:p>
            <w:pPr>
              <w:adjustRightInd w:val="0"/>
              <w:snapToGrid w:val="0"/>
              <w:ind w:firstLine="480" w:firstLineChars="200"/>
              <w:rPr>
                <w:rFonts w:cs="Times New Roman"/>
              </w:rPr>
            </w:pPr>
            <w:r>
              <w:rPr>
                <w:rFonts w:cs="Times New Roman"/>
              </w:rPr>
              <w:t>本项目密闭车间顶部配备有喷淋抑尘设施，可有效减少无组织粉尘的排放。根据企业提供的资料，喷雾装置用水量约为10L/min，运营期每天开启6次，每次开启10min。项目年工作300天，则喷淋用水量为180m</w:t>
            </w:r>
            <w:r>
              <w:rPr>
                <w:rFonts w:cs="Times New Roman"/>
                <w:vertAlign w:val="superscript"/>
              </w:rPr>
              <w:t>3</w:t>
            </w:r>
            <w:r>
              <w:rPr>
                <w:rFonts w:cs="Times New Roman"/>
              </w:rPr>
              <w:t>/a（0.6m</w:t>
            </w:r>
            <w:r>
              <w:rPr>
                <w:rFonts w:cs="Times New Roman"/>
                <w:vertAlign w:val="superscript"/>
              </w:rPr>
              <w:t>3</w:t>
            </w:r>
            <w:r>
              <w:rPr>
                <w:rFonts w:cs="Times New Roman"/>
              </w:rPr>
              <w:t>/d）。</w:t>
            </w:r>
          </w:p>
          <w:p>
            <w:pPr>
              <w:adjustRightInd w:val="0"/>
              <w:snapToGrid w:val="0"/>
              <w:ind w:firstLine="480" w:firstLineChars="200"/>
              <w:rPr>
                <w:rFonts w:cs="Times New Roman"/>
              </w:rPr>
            </w:pPr>
            <w:r>
              <w:rPr>
                <w:rFonts w:hint="eastAsia" w:ascii="宋体" w:hAnsi="宋体" w:eastAsia="宋体" w:cs="宋体"/>
              </w:rPr>
              <w:t>④</w:t>
            </w:r>
            <w:r>
              <w:rPr>
                <w:rFonts w:cs="Times New Roman"/>
              </w:rPr>
              <w:t>路面洒水</w:t>
            </w:r>
          </w:p>
          <w:p>
            <w:pPr>
              <w:adjustRightInd w:val="0"/>
              <w:snapToGrid w:val="0"/>
              <w:ind w:firstLine="480" w:firstLineChars="200"/>
              <w:rPr>
                <w:rFonts w:cs="Times New Roman"/>
              </w:rPr>
            </w:pPr>
            <w:r>
              <w:rPr>
                <w:rFonts w:cs="Times New Roman"/>
              </w:rPr>
              <w:t>为了进一步控制道路扬尘的产生，项目运营期约每3天对道路洒水1次。根据《行业用水定额（修订稿）》（DB61/T943-2020），道路浇洒用水定额为1.5L/（m</w:t>
            </w:r>
            <w:r>
              <w:rPr>
                <w:rFonts w:cs="Times New Roman"/>
                <w:vertAlign w:val="superscript"/>
              </w:rPr>
              <w:t>2</w:t>
            </w:r>
            <w:r>
              <w:rPr>
                <w:rFonts w:cs="Times New Roman"/>
              </w:rPr>
              <w:t>·d），本项目场地新增硬化路面面积以1000m</w:t>
            </w:r>
            <w:r>
              <w:rPr>
                <w:rFonts w:cs="Times New Roman"/>
                <w:vertAlign w:val="superscript"/>
              </w:rPr>
              <w:t>2</w:t>
            </w:r>
            <w:r>
              <w:rPr>
                <w:rFonts w:cs="Times New Roman"/>
              </w:rPr>
              <w:t>计，则每次洒水量为1.5m</w:t>
            </w:r>
            <w:r>
              <w:rPr>
                <w:rFonts w:cs="Times New Roman"/>
                <w:vertAlign w:val="superscript"/>
              </w:rPr>
              <w:t>3</w:t>
            </w:r>
            <w:r>
              <w:rPr>
                <w:rFonts w:cs="Times New Roman"/>
              </w:rPr>
              <w:t>。则本项目路面洒水量为150m</w:t>
            </w:r>
            <w:r>
              <w:rPr>
                <w:rFonts w:cs="Times New Roman"/>
                <w:vertAlign w:val="superscript"/>
              </w:rPr>
              <w:t>3</w:t>
            </w:r>
            <w:r>
              <w:rPr>
                <w:rFonts w:cs="Times New Roman"/>
              </w:rPr>
              <w:t>/a。</w:t>
            </w:r>
          </w:p>
          <w:p>
            <w:pPr>
              <w:pStyle w:val="24"/>
              <w:rPr>
                <w:rFonts w:cs="Times New Roman"/>
                <w:szCs w:val="21"/>
              </w:rPr>
            </w:pPr>
            <w:r>
              <w:rPr>
                <w:rFonts w:cs="Times New Roman"/>
                <w:szCs w:val="21"/>
              </w:rPr>
              <w:t>表4-</w:t>
            </w:r>
            <w:r>
              <w:rPr>
                <w:rFonts w:cs="Times New Roman"/>
                <w:szCs w:val="21"/>
                <w:lang w:val="en-US"/>
              </w:rPr>
              <w:t>1</w:t>
            </w:r>
            <w:r>
              <w:rPr>
                <w:rFonts w:cs="Times New Roman"/>
                <w:szCs w:val="21"/>
              </w:rPr>
              <w:t xml:space="preserve"> 本项目废水产生与排放情况一览表</w:t>
            </w:r>
          </w:p>
          <w:tbl>
            <w:tblPr>
              <w:tblStyle w:val="18"/>
              <w:tblW w:w="4999" w:type="pct"/>
              <w:tblInd w:w="0"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363"/>
              <w:gridCol w:w="4025"/>
              <w:gridCol w:w="4250"/>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szCs w:val="21"/>
                    </w:rPr>
                  </w:pPr>
                  <w:r>
                    <w:rPr>
                      <w:rFonts w:cs="Times New Roman"/>
                      <w:szCs w:val="21"/>
                    </w:rPr>
                    <w:t>产污环节</w:t>
                  </w:r>
                </w:p>
              </w:tc>
              <w:tc>
                <w:tcPr>
                  <w:tcW w:w="2205" w:type="pct"/>
                  <w:tcBorders>
                    <w:tl2br w:val="nil"/>
                    <w:tr2bl w:val="nil"/>
                  </w:tcBorders>
                  <w:vAlign w:val="center"/>
                </w:tcPr>
                <w:p>
                  <w:pPr>
                    <w:pStyle w:val="24"/>
                    <w:rPr>
                      <w:rFonts w:cs="Times New Roman"/>
                      <w:szCs w:val="21"/>
                    </w:rPr>
                  </w:pPr>
                  <w:r>
                    <w:rPr>
                      <w:rFonts w:cs="Times New Roman"/>
                      <w:kern w:val="2"/>
                      <w:szCs w:val="21"/>
                      <w:lang w:val="en-US" w:bidi="ar-SA"/>
                    </w:rPr>
                    <w:t>车辆冲洗废水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rPr>
                  </w:pPr>
                  <w:r>
                    <w:rPr>
                      <w:rFonts w:cs="Times New Roman"/>
                      <w:b w:val="0"/>
                      <w:bCs/>
                      <w:szCs w:val="21"/>
                    </w:rPr>
                    <w:t>产生量m</w:t>
                  </w:r>
                  <w:r>
                    <w:rPr>
                      <w:rFonts w:cs="Times New Roman"/>
                      <w:b w:val="0"/>
                      <w:bCs/>
                      <w:szCs w:val="21"/>
                      <w:vertAlign w:val="superscript"/>
                    </w:rPr>
                    <w:t>3</w:t>
                  </w:r>
                  <w:r>
                    <w:rPr>
                      <w:rFonts w:cs="Times New Roman"/>
                      <w:b w:val="0"/>
                      <w:bCs/>
                      <w:szCs w:val="21"/>
                    </w:rPr>
                    <w:t>/d</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0.748</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rPr>
                  </w:pPr>
                  <w:r>
                    <w:rPr>
                      <w:rFonts w:cs="Times New Roman"/>
                      <w:b w:val="0"/>
                      <w:bCs/>
                      <w:szCs w:val="21"/>
                    </w:rPr>
                    <w:t>污染物种类</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SS</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lang w:val="en-US"/>
                    </w:rPr>
                  </w:pPr>
                  <w:r>
                    <w:rPr>
                      <w:rFonts w:cs="Times New Roman"/>
                      <w:b w:val="0"/>
                      <w:bCs/>
                      <w:szCs w:val="21"/>
                      <w:lang w:val="en-US"/>
                    </w:rPr>
                    <w:t>污染物产生浓度mg/L</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lang w:val="en-US"/>
                    </w:rPr>
                  </w:pPr>
                  <w:r>
                    <w:rPr>
                      <w:rFonts w:cs="Times New Roman"/>
                      <w:b w:val="0"/>
                      <w:bCs/>
                      <w:szCs w:val="21"/>
                      <w:lang w:val="en-US"/>
                    </w:rPr>
                    <w:t>污染物产生量t/a</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0.748</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7" w:type="pct"/>
                  <w:vMerge w:val="restart"/>
                  <w:tcBorders>
                    <w:tl2br w:val="nil"/>
                    <w:tr2bl w:val="nil"/>
                  </w:tcBorders>
                  <w:vAlign w:val="center"/>
                </w:tcPr>
                <w:p>
                  <w:pPr>
                    <w:pStyle w:val="24"/>
                    <w:rPr>
                      <w:rFonts w:cs="Times New Roman"/>
                      <w:b w:val="0"/>
                      <w:bCs/>
                      <w:szCs w:val="21"/>
                    </w:rPr>
                  </w:pPr>
                  <w:r>
                    <w:rPr>
                      <w:rFonts w:cs="Times New Roman"/>
                      <w:b w:val="0"/>
                      <w:bCs/>
                      <w:szCs w:val="21"/>
                    </w:rPr>
                    <w:t>污染治理设施</w:t>
                  </w:r>
                </w:p>
              </w:tc>
              <w:tc>
                <w:tcPr>
                  <w:tcW w:w="2088" w:type="pct"/>
                  <w:tcBorders>
                    <w:tl2br w:val="nil"/>
                    <w:tr2bl w:val="nil"/>
                  </w:tcBorders>
                  <w:vAlign w:val="center"/>
                </w:tcPr>
                <w:p>
                  <w:pPr>
                    <w:pStyle w:val="24"/>
                    <w:rPr>
                      <w:rFonts w:cs="Times New Roman"/>
                      <w:b w:val="0"/>
                      <w:bCs/>
                      <w:szCs w:val="21"/>
                    </w:rPr>
                  </w:pPr>
                  <w:r>
                    <w:rPr>
                      <w:rFonts w:cs="Times New Roman"/>
                      <w:b w:val="0"/>
                      <w:bCs/>
                      <w:szCs w:val="21"/>
                    </w:rPr>
                    <w:t>设施编号</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TW001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7" w:type="pct"/>
                  <w:vMerge w:val="continue"/>
                  <w:tcBorders>
                    <w:tl2br w:val="nil"/>
                    <w:tr2bl w:val="nil"/>
                  </w:tcBorders>
                  <w:vAlign w:val="center"/>
                </w:tcPr>
                <w:p>
                  <w:pPr>
                    <w:pStyle w:val="24"/>
                    <w:rPr>
                      <w:rFonts w:cs="Times New Roman"/>
                      <w:b w:val="0"/>
                      <w:bCs/>
                      <w:szCs w:val="21"/>
                    </w:rPr>
                  </w:pPr>
                </w:p>
              </w:tc>
              <w:tc>
                <w:tcPr>
                  <w:tcW w:w="2088" w:type="pct"/>
                  <w:tcBorders>
                    <w:tl2br w:val="nil"/>
                    <w:tr2bl w:val="nil"/>
                  </w:tcBorders>
                  <w:vAlign w:val="center"/>
                </w:tcPr>
                <w:p>
                  <w:pPr>
                    <w:pStyle w:val="24"/>
                    <w:rPr>
                      <w:rFonts w:cs="Times New Roman"/>
                      <w:b w:val="0"/>
                      <w:bCs/>
                      <w:szCs w:val="21"/>
                    </w:rPr>
                  </w:pPr>
                  <w:r>
                    <w:rPr>
                      <w:rFonts w:cs="Times New Roman"/>
                      <w:b w:val="0"/>
                      <w:bCs/>
                      <w:szCs w:val="21"/>
                    </w:rPr>
                    <w:t>设施名称</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沉淀池（120m</w:t>
                  </w:r>
                  <w:r>
                    <w:rPr>
                      <w:rFonts w:cs="Times New Roman"/>
                      <w:b w:val="0"/>
                      <w:bCs/>
                      <w:szCs w:val="21"/>
                      <w:vertAlign w:val="superscript"/>
                      <w:lang w:val="en-US"/>
                    </w:rPr>
                    <w:t>3</w:t>
                  </w:r>
                  <w:r>
                    <w:rPr>
                      <w:rFonts w:cs="Times New Roman"/>
                      <w:b w:val="0"/>
                      <w:bCs/>
                      <w:szCs w:val="21"/>
                      <w:lang w:val="en-US"/>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7" w:type="pct"/>
                  <w:vMerge w:val="continue"/>
                  <w:tcBorders>
                    <w:tl2br w:val="nil"/>
                    <w:tr2bl w:val="nil"/>
                  </w:tcBorders>
                  <w:vAlign w:val="center"/>
                </w:tcPr>
                <w:p>
                  <w:pPr>
                    <w:pStyle w:val="24"/>
                    <w:rPr>
                      <w:rFonts w:cs="Times New Roman"/>
                      <w:b w:val="0"/>
                      <w:bCs/>
                      <w:szCs w:val="21"/>
                    </w:rPr>
                  </w:pPr>
                </w:p>
              </w:tc>
              <w:tc>
                <w:tcPr>
                  <w:tcW w:w="2088" w:type="pct"/>
                  <w:tcBorders>
                    <w:tl2br w:val="nil"/>
                    <w:tr2bl w:val="nil"/>
                  </w:tcBorders>
                  <w:vAlign w:val="center"/>
                </w:tcPr>
                <w:p>
                  <w:pPr>
                    <w:pStyle w:val="24"/>
                    <w:rPr>
                      <w:rFonts w:cs="Times New Roman"/>
                      <w:b w:val="0"/>
                      <w:bCs/>
                      <w:szCs w:val="21"/>
                    </w:rPr>
                  </w:pPr>
                  <w:r>
                    <w:rPr>
                      <w:rFonts w:cs="Times New Roman"/>
                      <w:b w:val="0"/>
                      <w:bCs/>
                      <w:szCs w:val="21"/>
                    </w:rPr>
                    <w:t>处理工艺</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沉淀后回用生产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7" w:type="pct"/>
                  <w:vMerge w:val="continue"/>
                  <w:tcBorders>
                    <w:tl2br w:val="nil"/>
                    <w:tr2bl w:val="nil"/>
                  </w:tcBorders>
                  <w:vAlign w:val="center"/>
                </w:tcPr>
                <w:p>
                  <w:pPr>
                    <w:pStyle w:val="24"/>
                    <w:rPr>
                      <w:rFonts w:cs="Times New Roman"/>
                      <w:b w:val="0"/>
                      <w:bCs/>
                      <w:szCs w:val="21"/>
                    </w:rPr>
                  </w:pPr>
                </w:p>
              </w:tc>
              <w:tc>
                <w:tcPr>
                  <w:tcW w:w="2088" w:type="pct"/>
                  <w:tcBorders>
                    <w:tl2br w:val="nil"/>
                    <w:tr2bl w:val="nil"/>
                  </w:tcBorders>
                  <w:vAlign w:val="center"/>
                </w:tcPr>
                <w:p>
                  <w:pPr>
                    <w:pStyle w:val="24"/>
                    <w:rPr>
                      <w:rFonts w:cs="Times New Roman"/>
                      <w:b w:val="0"/>
                      <w:bCs/>
                      <w:szCs w:val="21"/>
                    </w:rPr>
                  </w:pPr>
                  <w:r>
                    <w:rPr>
                      <w:rFonts w:cs="Times New Roman"/>
                      <w:b w:val="0"/>
                      <w:bCs/>
                      <w:szCs w:val="21"/>
                    </w:rPr>
                    <w:t>处理效率</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7" w:type="pct"/>
                  <w:vMerge w:val="continue"/>
                  <w:tcBorders>
                    <w:tl2br w:val="nil"/>
                    <w:tr2bl w:val="nil"/>
                  </w:tcBorders>
                  <w:vAlign w:val="center"/>
                </w:tcPr>
                <w:p>
                  <w:pPr>
                    <w:pStyle w:val="24"/>
                    <w:rPr>
                      <w:rFonts w:cs="Times New Roman"/>
                      <w:b w:val="0"/>
                      <w:bCs/>
                      <w:szCs w:val="21"/>
                    </w:rPr>
                  </w:pPr>
                </w:p>
              </w:tc>
              <w:tc>
                <w:tcPr>
                  <w:tcW w:w="2088" w:type="pct"/>
                  <w:tcBorders>
                    <w:tl2br w:val="nil"/>
                    <w:tr2bl w:val="nil"/>
                  </w:tcBorders>
                  <w:vAlign w:val="center"/>
                </w:tcPr>
                <w:p>
                  <w:pPr>
                    <w:pStyle w:val="24"/>
                    <w:rPr>
                      <w:rFonts w:cs="Times New Roman"/>
                      <w:b w:val="0"/>
                      <w:bCs/>
                      <w:szCs w:val="21"/>
                    </w:rPr>
                  </w:pPr>
                  <w:r>
                    <w:rPr>
                      <w:rFonts w:cs="Times New Roman"/>
                      <w:b w:val="0"/>
                      <w:bCs/>
                      <w:szCs w:val="21"/>
                    </w:rPr>
                    <w:t>是否可行</w:t>
                  </w:r>
                </w:p>
              </w:tc>
              <w:tc>
                <w:tcPr>
                  <w:tcW w:w="2205" w:type="pct"/>
                  <w:tcBorders>
                    <w:tl2br w:val="nil"/>
                    <w:tr2bl w:val="nil"/>
                  </w:tcBorders>
                  <w:vAlign w:val="center"/>
                </w:tcPr>
                <w:p>
                  <w:pPr>
                    <w:pStyle w:val="24"/>
                    <w:rPr>
                      <w:rFonts w:cs="Times New Roman"/>
                      <w:b w:val="0"/>
                      <w:bCs/>
                      <w:szCs w:val="21"/>
                    </w:rPr>
                  </w:pPr>
                  <w:r>
                    <w:rPr>
                      <w:rFonts w:cs="Times New Roman"/>
                      <w:b w:val="0"/>
                      <w:bCs/>
                      <w:szCs w:val="21"/>
                    </w:rPr>
                    <w:t>可行</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rPr>
                  </w:pPr>
                  <w:r>
                    <w:rPr>
                      <w:rFonts w:cs="Times New Roman"/>
                      <w:b w:val="0"/>
                      <w:bCs/>
                      <w:szCs w:val="21"/>
                    </w:rPr>
                    <w:t>污染物排放浓度</w:t>
                  </w:r>
                  <w:r>
                    <w:rPr>
                      <w:rFonts w:cs="Times New Roman"/>
                      <w:b w:val="0"/>
                      <w:bCs/>
                      <w:szCs w:val="21"/>
                      <w:lang w:val="en-US"/>
                    </w:rPr>
                    <w:t>mg/L</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rPr>
                  </w:pPr>
                  <w:r>
                    <w:rPr>
                      <w:rFonts w:cs="Times New Roman"/>
                      <w:b w:val="0"/>
                      <w:bCs/>
                      <w:szCs w:val="21"/>
                    </w:rPr>
                    <w:t>废水排放量m</w:t>
                  </w:r>
                  <w:r>
                    <w:rPr>
                      <w:rFonts w:cs="Times New Roman"/>
                      <w:b w:val="0"/>
                      <w:bCs/>
                      <w:szCs w:val="21"/>
                      <w:vertAlign w:val="superscript"/>
                    </w:rPr>
                    <w:t>3</w:t>
                  </w:r>
                  <w:r>
                    <w:rPr>
                      <w:rFonts w:cs="Times New Roman"/>
                      <w:b w:val="0"/>
                      <w:bCs/>
                      <w:szCs w:val="21"/>
                    </w:rPr>
                    <w:t>/d</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rPr>
                  </w:pPr>
                  <w:r>
                    <w:rPr>
                      <w:rFonts w:cs="Times New Roman"/>
                      <w:b w:val="0"/>
                      <w:bCs/>
                      <w:szCs w:val="21"/>
                    </w:rPr>
                    <w:t>污染物排放量t/a</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795" w:type="pct"/>
                  <w:gridSpan w:val="2"/>
                  <w:tcBorders>
                    <w:tl2br w:val="nil"/>
                    <w:tr2bl w:val="nil"/>
                  </w:tcBorders>
                  <w:vAlign w:val="center"/>
                </w:tcPr>
                <w:p>
                  <w:pPr>
                    <w:pStyle w:val="24"/>
                    <w:rPr>
                      <w:rFonts w:cs="Times New Roman"/>
                      <w:b w:val="0"/>
                      <w:bCs/>
                      <w:szCs w:val="21"/>
                      <w:lang w:val="en-US"/>
                    </w:rPr>
                  </w:pPr>
                  <w:r>
                    <w:rPr>
                      <w:rFonts w:cs="Times New Roman"/>
                      <w:b w:val="0"/>
                      <w:bCs/>
                      <w:szCs w:val="21"/>
                      <w:lang w:val="en-US"/>
                    </w:rPr>
                    <w:t>排放去向</w:t>
                  </w:r>
                </w:p>
              </w:tc>
              <w:tc>
                <w:tcPr>
                  <w:tcW w:w="2205" w:type="pct"/>
                  <w:tcBorders>
                    <w:tl2br w:val="nil"/>
                    <w:tr2bl w:val="nil"/>
                  </w:tcBorders>
                  <w:vAlign w:val="center"/>
                </w:tcPr>
                <w:p>
                  <w:pPr>
                    <w:pStyle w:val="24"/>
                    <w:rPr>
                      <w:rFonts w:cs="Times New Roman"/>
                      <w:b w:val="0"/>
                      <w:bCs/>
                      <w:szCs w:val="21"/>
                      <w:lang w:val="en-US"/>
                    </w:rPr>
                  </w:pPr>
                  <w:r>
                    <w:rPr>
                      <w:rFonts w:cs="Times New Roman"/>
                      <w:b w:val="0"/>
                      <w:bCs/>
                      <w:szCs w:val="21"/>
                      <w:lang w:val="en-US"/>
                    </w:rPr>
                    <w:t>沉淀后回用于洗车工序</w:t>
                  </w:r>
                </w:p>
              </w:tc>
            </w:tr>
          </w:tbl>
          <w:p>
            <w:pPr>
              <w:adjustRightInd w:val="0"/>
              <w:snapToGrid w:val="0"/>
              <w:ind w:firstLine="482" w:firstLineChars="200"/>
              <w:contextualSpacing/>
              <w:rPr>
                <w:rFonts w:cs="Times New Roman"/>
                <w:b/>
                <w:bCs/>
                <w:kern w:val="0"/>
              </w:rPr>
            </w:pPr>
            <w:r>
              <w:rPr>
                <w:rFonts w:cs="Times New Roman"/>
                <w:b/>
                <w:bCs/>
              </w:rPr>
              <w:t>2、</w:t>
            </w:r>
            <w:r>
              <w:rPr>
                <w:rFonts w:cs="Times New Roman"/>
                <w:b/>
                <w:bCs/>
                <w:kern w:val="0"/>
              </w:rPr>
              <w:t>废水治理措施可行性分析</w:t>
            </w:r>
          </w:p>
          <w:p>
            <w:pPr>
              <w:adjustRightInd w:val="0"/>
              <w:snapToGrid w:val="0"/>
              <w:ind w:firstLine="480" w:firstLineChars="200"/>
              <w:rPr>
                <w:rFonts w:cs="Times New Roman"/>
              </w:rPr>
            </w:pPr>
            <w:r>
              <w:rPr>
                <w:rFonts w:hint="eastAsia" w:cs="Times New Roman"/>
              </w:rPr>
              <w:t>本项目新建的雨水罐主要用于收集储存雨水，可有效降低新鲜水用量，实现节约水资源。收集的雨水可用于生产搅拌、车辆冲洗、道路洒水、堆场喷淋等各用水环节。</w:t>
            </w:r>
          </w:p>
          <w:p>
            <w:pPr>
              <w:adjustRightInd w:val="0"/>
              <w:snapToGrid w:val="0"/>
              <w:ind w:firstLine="480" w:firstLineChars="200"/>
              <w:rPr>
                <w:rFonts w:cs="Times New Roman"/>
              </w:rPr>
            </w:pPr>
            <w:r>
              <w:rPr>
                <w:rFonts w:cs="Times New Roman"/>
              </w:rPr>
              <w:t>本项目废水主要为进出车辆冲洗废水，冲洗废水中含有水泥、砂石等物质，悬浮物浓度较高，若未经收集、处理，会对本项目所在地及周边土壤甚至地下水环境造成影响。</w:t>
            </w:r>
          </w:p>
          <w:p>
            <w:pPr>
              <w:adjustRightInd w:val="0"/>
              <w:snapToGrid w:val="0"/>
              <w:ind w:firstLine="480" w:firstLineChars="200"/>
              <w:rPr>
                <w:rFonts w:cs="Times New Roman"/>
              </w:rPr>
            </w:pPr>
            <w:r>
              <w:rPr>
                <w:rFonts w:cs="Times New Roman"/>
              </w:rPr>
              <w:t>本项目现有工程在进出场通道处设有1座洗车台，并配有沉淀池（120m</w:t>
            </w:r>
            <w:r>
              <w:rPr>
                <w:rFonts w:cs="Times New Roman"/>
                <w:bCs/>
                <w:sz w:val="21"/>
                <w:szCs w:val="21"/>
                <w:vertAlign w:val="superscript"/>
              </w:rPr>
              <w:t>3</w:t>
            </w:r>
            <w:r>
              <w:rPr>
                <w:rFonts w:cs="Times New Roman"/>
              </w:rPr>
              <w:t>）可用于收集处理本项目产生的车辆冲洗废水（0.935m</w:t>
            </w:r>
            <w:r>
              <w:rPr>
                <w:rFonts w:cs="Times New Roman"/>
                <w:bCs/>
                <w:sz w:val="21"/>
                <w:szCs w:val="21"/>
                <w:vertAlign w:val="superscript"/>
              </w:rPr>
              <w:t>3</w:t>
            </w:r>
            <w:r>
              <w:rPr>
                <w:rFonts w:cs="Times New Roman"/>
              </w:rPr>
              <w:t>/d），可接纳本项目车辆冲洗废水，该部分废水经沉淀处理后上清液回用于车辆清洗及道路冲洗，不外排。</w:t>
            </w:r>
          </w:p>
          <w:p>
            <w:pPr>
              <w:adjustRightInd w:val="0"/>
              <w:snapToGrid w:val="0"/>
              <w:ind w:firstLine="480" w:firstLineChars="200"/>
              <w:rPr>
                <w:rFonts w:cs="Times New Roman"/>
              </w:rPr>
            </w:pPr>
            <w:r>
              <w:rPr>
                <w:rFonts w:cs="Times New Roman"/>
              </w:rPr>
              <w:t>综上所述，本项目废水可得到合理处理与处置，废水处理技术可行。</w:t>
            </w:r>
          </w:p>
          <w:p>
            <w:pPr>
              <w:adjustRightInd w:val="0"/>
              <w:snapToGrid w:val="0"/>
              <w:rPr>
                <w:rFonts w:cs="Times New Roman"/>
                <w:b/>
              </w:rPr>
            </w:pPr>
            <w:r>
              <w:rPr>
                <w:rFonts w:cs="Times New Roman"/>
                <w:b/>
              </w:rPr>
              <w:t>（三）噪声环境影响分析</w:t>
            </w:r>
          </w:p>
          <w:p>
            <w:pPr>
              <w:adjustRightInd w:val="0"/>
              <w:snapToGrid w:val="0"/>
              <w:ind w:firstLine="482" w:firstLineChars="200"/>
              <w:rPr>
                <w:rFonts w:cs="Times New Roman"/>
                <w:b/>
                <w:bCs/>
              </w:rPr>
            </w:pPr>
            <w:r>
              <w:rPr>
                <w:rFonts w:cs="Times New Roman"/>
                <w:b/>
                <w:bCs/>
              </w:rPr>
              <w:t>1、源强分析</w:t>
            </w:r>
          </w:p>
          <w:p>
            <w:pPr>
              <w:adjustRightInd w:val="0"/>
              <w:snapToGrid w:val="0"/>
              <w:ind w:firstLine="480" w:firstLineChars="200"/>
              <w:rPr>
                <w:rFonts w:cs="Times New Roman"/>
              </w:rPr>
            </w:pPr>
            <w:r>
              <w:rPr>
                <w:rFonts w:cs="Times New Roman"/>
              </w:rPr>
              <w:t>经调查，本项目运营期主要产噪设备为搅拌机</w:t>
            </w:r>
            <w:r>
              <w:rPr>
                <w:rFonts w:hint="eastAsia" w:cs="Times New Roman"/>
              </w:rPr>
              <w:t>、空压机、沥青泵</w:t>
            </w:r>
            <w:r>
              <w:rPr>
                <w:rFonts w:cs="Times New Roman"/>
              </w:rPr>
              <w:t>、环保风机、水泵</w:t>
            </w:r>
            <w:r>
              <w:rPr>
                <w:rFonts w:hint="eastAsia" w:cs="Times New Roman"/>
              </w:rPr>
              <w:t>等设备</w:t>
            </w:r>
            <w:r>
              <w:rPr>
                <w:rFonts w:cs="Times New Roman"/>
              </w:rPr>
              <w:t>，高噪声设备均采用基础减振和厂房隔声的降噪措施。</w:t>
            </w:r>
          </w:p>
          <w:p>
            <w:pPr>
              <w:pStyle w:val="24"/>
              <w:rPr>
                <w:rFonts w:cs="Times New Roman"/>
                <w:szCs w:val="21"/>
              </w:rPr>
            </w:pPr>
            <w:r>
              <w:rPr>
                <w:rFonts w:cs="Times New Roman"/>
                <w:szCs w:val="21"/>
              </w:rPr>
              <w:t>表</w:t>
            </w:r>
            <w:r>
              <w:rPr>
                <w:rFonts w:cs="Times New Roman"/>
                <w:szCs w:val="21"/>
                <w:lang w:val="en-US"/>
              </w:rPr>
              <w:t>4-2</w:t>
            </w:r>
            <w:r>
              <w:rPr>
                <w:rFonts w:cs="Times New Roman"/>
                <w:szCs w:val="21"/>
              </w:rPr>
              <w:t xml:space="preserve"> 本项目噪声源声级值</w:t>
            </w:r>
          </w:p>
          <w:tbl>
            <w:tblPr>
              <w:tblStyle w:val="18"/>
              <w:tblW w:w="4997"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368"/>
              <w:gridCol w:w="661"/>
              <w:gridCol w:w="1836"/>
              <w:gridCol w:w="2291"/>
              <w:gridCol w:w="261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tcBorders>
                    <w:tl2br w:val="nil"/>
                    <w:tr2bl w:val="nil"/>
                  </w:tcBorders>
                  <w:shd w:val="clear" w:color="auto" w:fill="auto"/>
                  <w:vAlign w:val="center"/>
                </w:tcPr>
                <w:p>
                  <w:pPr>
                    <w:pStyle w:val="24"/>
                    <w:rPr>
                      <w:rFonts w:cs="Times New Roman"/>
                      <w:szCs w:val="21"/>
                    </w:rPr>
                  </w:pPr>
                  <w:r>
                    <w:rPr>
                      <w:rFonts w:cs="Times New Roman"/>
                      <w:szCs w:val="21"/>
                    </w:rPr>
                    <w:t>序号</w:t>
                  </w:r>
                </w:p>
              </w:tc>
              <w:tc>
                <w:tcPr>
                  <w:tcW w:w="709" w:type="pct"/>
                  <w:tcBorders>
                    <w:tl2br w:val="nil"/>
                    <w:tr2bl w:val="nil"/>
                  </w:tcBorders>
                  <w:shd w:val="clear" w:color="auto" w:fill="auto"/>
                  <w:vAlign w:val="center"/>
                </w:tcPr>
                <w:p>
                  <w:pPr>
                    <w:pStyle w:val="24"/>
                    <w:rPr>
                      <w:rFonts w:cs="Times New Roman"/>
                      <w:szCs w:val="21"/>
                    </w:rPr>
                  </w:pPr>
                  <w:r>
                    <w:rPr>
                      <w:rFonts w:cs="Times New Roman"/>
                      <w:szCs w:val="21"/>
                    </w:rPr>
                    <w:t>设备名称</w:t>
                  </w:r>
                </w:p>
              </w:tc>
              <w:tc>
                <w:tcPr>
                  <w:tcW w:w="343" w:type="pct"/>
                  <w:tcBorders>
                    <w:tl2br w:val="nil"/>
                    <w:tr2bl w:val="nil"/>
                  </w:tcBorders>
                  <w:shd w:val="clear" w:color="auto" w:fill="auto"/>
                  <w:vAlign w:val="center"/>
                </w:tcPr>
                <w:p>
                  <w:pPr>
                    <w:pStyle w:val="24"/>
                    <w:rPr>
                      <w:rFonts w:cs="Times New Roman"/>
                      <w:szCs w:val="21"/>
                    </w:rPr>
                  </w:pPr>
                  <w:r>
                    <w:rPr>
                      <w:rFonts w:cs="Times New Roman"/>
                      <w:szCs w:val="21"/>
                    </w:rPr>
                    <w:t>数量</w:t>
                  </w:r>
                </w:p>
              </w:tc>
              <w:tc>
                <w:tcPr>
                  <w:tcW w:w="952" w:type="pct"/>
                  <w:tcBorders>
                    <w:tl2br w:val="nil"/>
                    <w:tr2bl w:val="nil"/>
                  </w:tcBorders>
                  <w:shd w:val="clear" w:color="auto" w:fill="auto"/>
                  <w:vAlign w:val="center"/>
                </w:tcPr>
                <w:p>
                  <w:pPr>
                    <w:pStyle w:val="24"/>
                    <w:rPr>
                      <w:rFonts w:cs="Times New Roman"/>
                      <w:szCs w:val="21"/>
                    </w:rPr>
                  </w:pPr>
                  <w:r>
                    <w:rPr>
                      <w:rFonts w:cs="Times New Roman"/>
                      <w:szCs w:val="21"/>
                    </w:rPr>
                    <w:t>单台源强dB（A）</w:t>
                  </w:r>
                </w:p>
              </w:tc>
              <w:tc>
                <w:tcPr>
                  <w:tcW w:w="1188" w:type="pct"/>
                  <w:tcBorders>
                    <w:tl2br w:val="nil"/>
                    <w:tr2bl w:val="nil"/>
                  </w:tcBorders>
                  <w:shd w:val="clear" w:color="auto" w:fill="auto"/>
                  <w:vAlign w:val="center"/>
                </w:tcPr>
                <w:p>
                  <w:pPr>
                    <w:pStyle w:val="24"/>
                    <w:rPr>
                      <w:rFonts w:cs="Times New Roman"/>
                      <w:szCs w:val="21"/>
                    </w:rPr>
                  </w:pPr>
                  <w:r>
                    <w:rPr>
                      <w:rFonts w:cs="Times New Roman"/>
                      <w:szCs w:val="21"/>
                    </w:rPr>
                    <w:t>降噪措施</w:t>
                  </w:r>
                </w:p>
              </w:tc>
              <w:tc>
                <w:tcPr>
                  <w:tcW w:w="1358" w:type="pct"/>
                  <w:tcBorders>
                    <w:tl2br w:val="nil"/>
                    <w:tr2bl w:val="nil"/>
                  </w:tcBorders>
                  <w:shd w:val="clear" w:color="auto" w:fill="auto"/>
                  <w:vAlign w:val="center"/>
                </w:tcPr>
                <w:p>
                  <w:pPr>
                    <w:pStyle w:val="24"/>
                    <w:rPr>
                      <w:rFonts w:cs="Times New Roman"/>
                      <w:szCs w:val="21"/>
                    </w:rPr>
                  </w:pPr>
                  <w:r>
                    <w:rPr>
                      <w:rFonts w:cs="Times New Roman"/>
                      <w:szCs w:val="21"/>
                    </w:rPr>
                    <w:t>降噪后单台噪声级dB（A）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tcBorders>
                    <w:tl2br w:val="nil"/>
                    <w:tr2bl w:val="nil"/>
                  </w:tcBorders>
                  <w:shd w:val="clear" w:color="auto" w:fill="auto"/>
                  <w:vAlign w:val="center"/>
                </w:tcPr>
                <w:p>
                  <w:pPr>
                    <w:pStyle w:val="24"/>
                    <w:rPr>
                      <w:rFonts w:cs="Times New Roman"/>
                      <w:b w:val="0"/>
                      <w:bCs/>
                      <w:szCs w:val="21"/>
                      <w:lang w:val="en-US"/>
                    </w:rPr>
                  </w:pPr>
                  <w:r>
                    <w:rPr>
                      <w:rFonts w:cs="Times New Roman"/>
                      <w:b w:val="0"/>
                      <w:bCs/>
                      <w:szCs w:val="21"/>
                      <w:lang w:val="en-US"/>
                    </w:rPr>
                    <w:t>1</w:t>
                  </w:r>
                </w:p>
              </w:tc>
              <w:tc>
                <w:tcPr>
                  <w:tcW w:w="709"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搅拌机</w:t>
                  </w:r>
                </w:p>
              </w:tc>
              <w:tc>
                <w:tcPr>
                  <w:tcW w:w="343"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1台</w:t>
                  </w:r>
                </w:p>
              </w:tc>
              <w:tc>
                <w:tcPr>
                  <w:tcW w:w="952"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90</w:t>
                  </w:r>
                </w:p>
              </w:tc>
              <w:tc>
                <w:tcPr>
                  <w:tcW w:w="118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基础减振、厂房隔声</w:t>
                  </w:r>
                </w:p>
              </w:tc>
              <w:tc>
                <w:tcPr>
                  <w:tcW w:w="135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80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tcBorders>
                    <w:tl2br w:val="nil"/>
                    <w:tr2bl w:val="nil"/>
                  </w:tcBorders>
                  <w:shd w:val="clear" w:color="auto" w:fill="auto"/>
                  <w:vAlign w:val="center"/>
                </w:tcPr>
                <w:p>
                  <w:pPr>
                    <w:pStyle w:val="24"/>
                    <w:rPr>
                      <w:rFonts w:cs="Times New Roman"/>
                      <w:b w:val="0"/>
                      <w:bCs/>
                      <w:szCs w:val="21"/>
                      <w:lang w:val="en-US"/>
                    </w:rPr>
                  </w:pPr>
                  <w:r>
                    <w:rPr>
                      <w:rFonts w:cs="Times New Roman"/>
                      <w:b w:val="0"/>
                      <w:bCs/>
                      <w:szCs w:val="21"/>
                      <w:lang w:val="en-US"/>
                    </w:rPr>
                    <w:t>2</w:t>
                  </w:r>
                </w:p>
              </w:tc>
              <w:tc>
                <w:tcPr>
                  <w:tcW w:w="709"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风机</w:t>
                  </w:r>
                </w:p>
              </w:tc>
              <w:tc>
                <w:tcPr>
                  <w:tcW w:w="343"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1台</w:t>
                  </w:r>
                </w:p>
              </w:tc>
              <w:tc>
                <w:tcPr>
                  <w:tcW w:w="952"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90</w:t>
                  </w:r>
                </w:p>
              </w:tc>
              <w:tc>
                <w:tcPr>
                  <w:tcW w:w="118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基础减振、厂房隔声</w:t>
                  </w:r>
                </w:p>
              </w:tc>
              <w:tc>
                <w:tcPr>
                  <w:tcW w:w="135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80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tcBorders>
                    <w:tl2br w:val="nil"/>
                    <w:tr2bl w:val="nil"/>
                  </w:tcBorders>
                  <w:shd w:val="clear" w:color="auto" w:fill="auto"/>
                  <w:vAlign w:val="center"/>
                </w:tcPr>
                <w:p>
                  <w:pPr>
                    <w:pStyle w:val="24"/>
                    <w:rPr>
                      <w:rFonts w:cs="Times New Roman"/>
                      <w:b w:val="0"/>
                      <w:bCs/>
                      <w:szCs w:val="21"/>
                      <w:lang w:val="en-US"/>
                    </w:rPr>
                  </w:pPr>
                  <w:r>
                    <w:rPr>
                      <w:rFonts w:cs="Times New Roman"/>
                      <w:b w:val="0"/>
                      <w:bCs/>
                      <w:szCs w:val="21"/>
                      <w:lang w:val="en-US"/>
                    </w:rPr>
                    <w:t>3</w:t>
                  </w:r>
                </w:p>
              </w:tc>
              <w:tc>
                <w:tcPr>
                  <w:tcW w:w="709"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水泵</w:t>
                  </w:r>
                </w:p>
              </w:tc>
              <w:tc>
                <w:tcPr>
                  <w:tcW w:w="343"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2台</w:t>
                  </w:r>
                </w:p>
              </w:tc>
              <w:tc>
                <w:tcPr>
                  <w:tcW w:w="952"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80</w:t>
                  </w:r>
                </w:p>
              </w:tc>
              <w:tc>
                <w:tcPr>
                  <w:tcW w:w="118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基础减振、厂房隔声</w:t>
                  </w:r>
                </w:p>
              </w:tc>
              <w:tc>
                <w:tcPr>
                  <w:tcW w:w="135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70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tcBorders>
                    <w:tl2br w:val="nil"/>
                    <w:tr2bl w:val="nil"/>
                  </w:tcBorders>
                  <w:shd w:val="clear" w:color="auto" w:fill="auto"/>
                  <w:vAlign w:val="center"/>
                </w:tcPr>
                <w:p>
                  <w:pPr>
                    <w:pStyle w:val="24"/>
                    <w:rPr>
                      <w:rFonts w:cs="Times New Roman"/>
                      <w:b w:val="0"/>
                      <w:bCs/>
                      <w:szCs w:val="21"/>
                      <w:lang w:val="en-US"/>
                    </w:rPr>
                  </w:pPr>
                  <w:r>
                    <w:rPr>
                      <w:rFonts w:hint="eastAsia" w:cs="Times New Roman"/>
                      <w:b w:val="0"/>
                      <w:bCs/>
                      <w:szCs w:val="21"/>
                      <w:lang w:val="en-US"/>
                    </w:rPr>
                    <w:t>4</w:t>
                  </w:r>
                </w:p>
              </w:tc>
              <w:tc>
                <w:tcPr>
                  <w:tcW w:w="709" w:type="pct"/>
                  <w:tcBorders>
                    <w:tl2br w:val="nil"/>
                    <w:tr2bl w:val="nil"/>
                  </w:tcBorders>
                  <w:shd w:val="clear" w:color="auto" w:fill="auto"/>
                  <w:vAlign w:val="center"/>
                </w:tcPr>
                <w:p>
                  <w:pPr>
                    <w:pStyle w:val="24"/>
                    <w:rPr>
                      <w:rFonts w:cs="Times New Roman"/>
                      <w:b w:val="0"/>
                      <w:bCs/>
                      <w:szCs w:val="21"/>
                    </w:rPr>
                  </w:pPr>
                  <w:r>
                    <w:rPr>
                      <w:rFonts w:hint="eastAsia" w:cs="Times New Roman"/>
                      <w:b w:val="0"/>
                      <w:bCs/>
                      <w:szCs w:val="21"/>
                    </w:rPr>
                    <w:t>沥青泵</w:t>
                  </w:r>
                </w:p>
              </w:tc>
              <w:tc>
                <w:tcPr>
                  <w:tcW w:w="343"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1台</w:t>
                  </w:r>
                </w:p>
              </w:tc>
              <w:tc>
                <w:tcPr>
                  <w:tcW w:w="952"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85</w:t>
                  </w:r>
                </w:p>
              </w:tc>
              <w:tc>
                <w:tcPr>
                  <w:tcW w:w="118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基础减振、厂房隔声</w:t>
                  </w:r>
                </w:p>
              </w:tc>
              <w:tc>
                <w:tcPr>
                  <w:tcW w:w="135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75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tcBorders>
                    <w:tl2br w:val="nil"/>
                    <w:tr2bl w:val="nil"/>
                  </w:tcBorders>
                  <w:shd w:val="clear" w:color="auto" w:fill="auto"/>
                  <w:vAlign w:val="center"/>
                </w:tcPr>
                <w:p>
                  <w:pPr>
                    <w:pStyle w:val="24"/>
                    <w:rPr>
                      <w:rFonts w:cs="Times New Roman"/>
                      <w:b w:val="0"/>
                      <w:bCs/>
                      <w:szCs w:val="21"/>
                      <w:lang w:val="en-US"/>
                    </w:rPr>
                  </w:pPr>
                  <w:r>
                    <w:rPr>
                      <w:rFonts w:hint="eastAsia" w:cs="Times New Roman"/>
                      <w:b w:val="0"/>
                      <w:bCs/>
                      <w:szCs w:val="21"/>
                      <w:lang w:val="en-US"/>
                    </w:rPr>
                    <w:t>5</w:t>
                  </w:r>
                </w:p>
              </w:tc>
              <w:tc>
                <w:tcPr>
                  <w:tcW w:w="709" w:type="pct"/>
                  <w:tcBorders>
                    <w:tl2br w:val="nil"/>
                    <w:tr2bl w:val="nil"/>
                  </w:tcBorders>
                  <w:shd w:val="clear" w:color="auto" w:fill="auto"/>
                  <w:vAlign w:val="center"/>
                </w:tcPr>
                <w:p>
                  <w:pPr>
                    <w:pStyle w:val="24"/>
                    <w:rPr>
                      <w:rFonts w:cs="Times New Roman"/>
                      <w:b w:val="0"/>
                      <w:bCs/>
                      <w:szCs w:val="21"/>
                    </w:rPr>
                  </w:pPr>
                  <w:r>
                    <w:rPr>
                      <w:rFonts w:hint="eastAsia" w:cs="Times New Roman"/>
                      <w:b w:val="0"/>
                      <w:bCs/>
                      <w:szCs w:val="21"/>
                    </w:rPr>
                    <w:t>空压机</w:t>
                  </w:r>
                </w:p>
              </w:tc>
              <w:tc>
                <w:tcPr>
                  <w:tcW w:w="343"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1台</w:t>
                  </w:r>
                </w:p>
              </w:tc>
              <w:tc>
                <w:tcPr>
                  <w:tcW w:w="952" w:type="pct"/>
                  <w:tcBorders>
                    <w:tl2br w:val="nil"/>
                    <w:tr2bl w:val="nil"/>
                  </w:tcBorders>
                  <w:shd w:val="clear" w:color="auto" w:fill="auto"/>
                  <w:vAlign w:val="center"/>
                </w:tcPr>
                <w:p>
                  <w:pPr>
                    <w:pStyle w:val="24"/>
                    <w:rPr>
                      <w:rFonts w:cs="Times New Roman"/>
                      <w:b w:val="0"/>
                      <w:bCs/>
                      <w:szCs w:val="21"/>
                    </w:rPr>
                  </w:pPr>
                  <w:r>
                    <w:rPr>
                      <w:rFonts w:hint="eastAsia" w:cs="Times New Roman"/>
                      <w:b w:val="0"/>
                      <w:bCs/>
                      <w:szCs w:val="21"/>
                    </w:rPr>
                    <w:t>9</w:t>
                  </w:r>
                  <w:r>
                    <w:rPr>
                      <w:rFonts w:cs="Times New Roman"/>
                      <w:b w:val="0"/>
                      <w:bCs/>
                      <w:szCs w:val="21"/>
                    </w:rPr>
                    <w:t>0</w:t>
                  </w:r>
                </w:p>
              </w:tc>
              <w:tc>
                <w:tcPr>
                  <w:tcW w:w="118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基础减振、厂房隔声</w:t>
                  </w:r>
                </w:p>
              </w:tc>
              <w:tc>
                <w:tcPr>
                  <w:tcW w:w="1358" w:type="pct"/>
                  <w:tcBorders>
                    <w:tl2br w:val="nil"/>
                    <w:tr2bl w:val="nil"/>
                  </w:tcBorders>
                  <w:shd w:val="clear" w:color="auto" w:fill="auto"/>
                  <w:vAlign w:val="center"/>
                </w:tcPr>
                <w:p>
                  <w:pPr>
                    <w:pStyle w:val="24"/>
                    <w:rPr>
                      <w:rFonts w:cs="Times New Roman"/>
                      <w:b w:val="0"/>
                      <w:bCs/>
                      <w:kern w:val="2"/>
                      <w:szCs w:val="21"/>
                      <w:lang w:bidi="ar-SA"/>
                    </w:rPr>
                  </w:pPr>
                  <w:r>
                    <w:rPr>
                      <w:rFonts w:hint="eastAsia" w:cs="Times New Roman"/>
                      <w:b w:val="0"/>
                      <w:bCs/>
                      <w:kern w:val="2"/>
                      <w:szCs w:val="21"/>
                      <w:lang w:bidi="ar-SA"/>
                    </w:rPr>
                    <w:t>8</w:t>
                  </w:r>
                  <w:r>
                    <w:rPr>
                      <w:rFonts w:cs="Times New Roman"/>
                      <w:b w:val="0"/>
                      <w:bCs/>
                      <w:kern w:val="2"/>
                      <w:szCs w:val="21"/>
                      <w:lang w:bidi="ar-SA"/>
                    </w:rPr>
                    <w:t>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tcBorders>
                    <w:tl2br w:val="nil"/>
                    <w:tr2bl w:val="nil"/>
                  </w:tcBorders>
                  <w:shd w:val="clear" w:color="auto" w:fill="auto"/>
                  <w:vAlign w:val="center"/>
                </w:tcPr>
                <w:p>
                  <w:pPr>
                    <w:pStyle w:val="24"/>
                    <w:rPr>
                      <w:rFonts w:cs="Times New Roman"/>
                      <w:b w:val="0"/>
                      <w:bCs/>
                      <w:szCs w:val="21"/>
                      <w:lang w:val="en-US"/>
                    </w:rPr>
                  </w:pPr>
                  <w:r>
                    <w:rPr>
                      <w:rFonts w:hint="eastAsia" w:cs="Times New Roman"/>
                      <w:b w:val="0"/>
                      <w:bCs/>
                      <w:szCs w:val="21"/>
                      <w:lang w:val="en-US"/>
                    </w:rPr>
                    <w:t>6</w:t>
                  </w:r>
                </w:p>
              </w:tc>
              <w:tc>
                <w:tcPr>
                  <w:tcW w:w="709" w:type="pct"/>
                  <w:tcBorders>
                    <w:tl2br w:val="nil"/>
                    <w:tr2bl w:val="nil"/>
                  </w:tcBorders>
                  <w:shd w:val="clear" w:color="auto" w:fill="auto"/>
                  <w:vAlign w:val="center"/>
                </w:tcPr>
                <w:p>
                  <w:pPr>
                    <w:pStyle w:val="24"/>
                    <w:rPr>
                      <w:rFonts w:cs="Times New Roman"/>
                      <w:b w:val="0"/>
                      <w:bCs/>
                      <w:szCs w:val="21"/>
                    </w:rPr>
                  </w:pPr>
                  <w:r>
                    <w:rPr>
                      <w:rFonts w:hint="eastAsia" w:cs="Times New Roman"/>
                      <w:b w:val="0"/>
                      <w:bCs/>
                      <w:szCs w:val="21"/>
                    </w:rPr>
                    <w:t>铲车</w:t>
                  </w:r>
                </w:p>
              </w:tc>
              <w:tc>
                <w:tcPr>
                  <w:tcW w:w="343" w:type="pct"/>
                  <w:tcBorders>
                    <w:tl2br w:val="nil"/>
                    <w:tr2bl w:val="nil"/>
                  </w:tcBorders>
                  <w:shd w:val="clear" w:color="auto" w:fill="auto"/>
                  <w:vAlign w:val="center"/>
                </w:tcPr>
                <w:p>
                  <w:pPr>
                    <w:pStyle w:val="24"/>
                    <w:rPr>
                      <w:rFonts w:cs="Times New Roman"/>
                      <w:b w:val="0"/>
                      <w:bCs/>
                      <w:szCs w:val="21"/>
                    </w:rPr>
                  </w:pPr>
                  <w:r>
                    <w:rPr>
                      <w:rFonts w:cs="Times New Roman"/>
                      <w:b w:val="0"/>
                      <w:bCs/>
                      <w:szCs w:val="21"/>
                    </w:rPr>
                    <w:t>1台</w:t>
                  </w:r>
                </w:p>
              </w:tc>
              <w:tc>
                <w:tcPr>
                  <w:tcW w:w="952" w:type="pct"/>
                  <w:tcBorders>
                    <w:tl2br w:val="nil"/>
                    <w:tr2bl w:val="nil"/>
                  </w:tcBorders>
                  <w:shd w:val="clear" w:color="auto" w:fill="auto"/>
                  <w:vAlign w:val="center"/>
                </w:tcPr>
                <w:p>
                  <w:pPr>
                    <w:pStyle w:val="24"/>
                    <w:rPr>
                      <w:rFonts w:cs="Times New Roman"/>
                      <w:b w:val="0"/>
                      <w:bCs/>
                      <w:szCs w:val="21"/>
                    </w:rPr>
                  </w:pPr>
                  <w:r>
                    <w:rPr>
                      <w:rFonts w:hint="eastAsia" w:cs="Times New Roman"/>
                      <w:b w:val="0"/>
                      <w:bCs/>
                      <w:szCs w:val="21"/>
                    </w:rPr>
                    <w:t>9</w:t>
                  </w:r>
                  <w:r>
                    <w:rPr>
                      <w:rFonts w:cs="Times New Roman"/>
                      <w:b w:val="0"/>
                      <w:bCs/>
                      <w:szCs w:val="21"/>
                    </w:rPr>
                    <w:t>5</w:t>
                  </w:r>
                </w:p>
              </w:tc>
              <w:tc>
                <w:tcPr>
                  <w:tcW w:w="1188" w:type="pct"/>
                  <w:tcBorders>
                    <w:tl2br w:val="nil"/>
                    <w:tr2bl w:val="nil"/>
                  </w:tcBorders>
                  <w:shd w:val="clear" w:color="auto" w:fill="auto"/>
                  <w:vAlign w:val="center"/>
                </w:tcPr>
                <w:p>
                  <w:pPr>
                    <w:pStyle w:val="24"/>
                    <w:rPr>
                      <w:rFonts w:cs="Times New Roman"/>
                      <w:b w:val="0"/>
                      <w:bCs/>
                      <w:kern w:val="2"/>
                      <w:szCs w:val="21"/>
                      <w:lang w:bidi="ar-SA"/>
                    </w:rPr>
                  </w:pPr>
                  <w:r>
                    <w:rPr>
                      <w:rFonts w:cs="Times New Roman"/>
                      <w:b w:val="0"/>
                      <w:bCs/>
                      <w:kern w:val="2"/>
                      <w:szCs w:val="21"/>
                      <w:lang w:bidi="ar-SA"/>
                    </w:rPr>
                    <w:t>厂房隔声</w:t>
                  </w:r>
                </w:p>
              </w:tc>
              <w:tc>
                <w:tcPr>
                  <w:tcW w:w="1358" w:type="pct"/>
                  <w:tcBorders>
                    <w:tl2br w:val="nil"/>
                    <w:tr2bl w:val="nil"/>
                  </w:tcBorders>
                  <w:shd w:val="clear" w:color="auto" w:fill="auto"/>
                  <w:vAlign w:val="center"/>
                </w:tcPr>
                <w:p>
                  <w:pPr>
                    <w:pStyle w:val="24"/>
                    <w:rPr>
                      <w:rFonts w:cs="Times New Roman"/>
                      <w:b w:val="0"/>
                      <w:bCs/>
                      <w:kern w:val="2"/>
                      <w:szCs w:val="21"/>
                      <w:lang w:bidi="ar-SA"/>
                    </w:rPr>
                  </w:pPr>
                  <w:r>
                    <w:rPr>
                      <w:rFonts w:hint="eastAsia" w:cs="Times New Roman"/>
                      <w:b w:val="0"/>
                      <w:bCs/>
                      <w:kern w:val="2"/>
                      <w:szCs w:val="21"/>
                      <w:lang w:bidi="ar-SA"/>
                    </w:rPr>
                    <w:t>9</w:t>
                  </w:r>
                  <w:r>
                    <w:rPr>
                      <w:rFonts w:cs="Times New Roman"/>
                      <w:b w:val="0"/>
                      <w:bCs/>
                      <w:kern w:val="2"/>
                      <w:szCs w:val="21"/>
                      <w:lang w:bidi="ar-SA"/>
                    </w:rPr>
                    <w:t>0</w:t>
                  </w:r>
                </w:p>
              </w:tc>
            </w:tr>
          </w:tbl>
          <w:p>
            <w:pPr>
              <w:adjustRightInd w:val="0"/>
              <w:snapToGrid w:val="0"/>
              <w:ind w:firstLine="482" w:firstLineChars="200"/>
              <w:rPr>
                <w:rFonts w:cs="Times New Roman"/>
                <w:b/>
                <w:bCs/>
              </w:rPr>
            </w:pPr>
            <w:r>
              <w:rPr>
                <w:rFonts w:cs="Times New Roman"/>
                <w:b/>
                <w:bCs/>
              </w:rPr>
              <w:t>2、预测模型</w:t>
            </w:r>
          </w:p>
          <w:p>
            <w:pPr>
              <w:adjustRightInd w:val="0"/>
              <w:snapToGrid w:val="0"/>
              <w:ind w:firstLine="380"/>
              <w:rPr>
                <w:rFonts w:cs="Times New Roman"/>
                <w:bCs/>
              </w:rPr>
            </w:pPr>
            <w:r>
              <w:rPr>
                <w:rFonts w:cs="Times New Roman"/>
                <w:bCs/>
              </w:rPr>
              <w:t>根据项目建设内容，本项目高噪声设备均位于室内，本次环评参考《环境影响评价技术导则 声环境》（HJ2.4-2021）附录A和附录B中预测模式对项目声环境影响进行分析，预测模型如下。</w:t>
            </w:r>
          </w:p>
          <w:p>
            <w:pPr>
              <w:ind w:firstLine="482" w:firstLineChars="200"/>
              <w:rPr>
                <w:rFonts w:cs="Times New Roman"/>
                <w:b/>
                <w:bCs/>
              </w:rPr>
            </w:pPr>
            <w:r>
              <w:rPr>
                <w:rFonts w:cs="Times New Roman"/>
                <w:b/>
                <w:bCs/>
              </w:rPr>
              <w:t>（1）附录B.1.3室内声源等效室外声源声功率级计算方法</w:t>
            </w:r>
          </w:p>
          <w:p>
            <w:pPr>
              <w:ind w:firstLine="480" w:firstLineChars="200"/>
              <w:rPr>
                <w:rFonts w:cs="Times New Roman"/>
              </w:rPr>
            </w:pPr>
            <w:r>
              <w:rPr>
                <w:rFonts w:cs="Times New Roman"/>
              </w:rPr>
              <w:t>声源位于室内，室内声源可采用等效室外声源声功率级法进行计算。设靠近开口处（或窗户）室内、室外某倍频带的声压级或A声级分别为L</w:t>
            </w:r>
            <w:r>
              <w:rPr>
                <w:rFonts w:cs="Times New Roman"/>
                <w:vertAlign w:val="subscript"/>
              </w:rPr>
              <w:t>p1</w:t>
            </w:r>
            <w:r>
              <w:rPr>
                <w:rFonts w:cs="Times New Roman"/>
              </w:rPr>
              <w:t>和L</w:t>
            </w:r>
            <w:r>
              <w:rPr>
                <w:rFonts w:cs="Times New Roman"/>
                <w:vertAlign w:val="subscript"/>
              </w:rPr>
              <w:t>p2</w:t>
            </w:r>
            <w:r>
              <w:rPr>
                <w:rFonts w:cs="Times New Roman"/>
              </w:rPr>
              <w:t>。若声源所在室内声场为近似扩散声场，则室外的倍频带声压级可按式（B.1）近似求出：</w:t>
            </w:r>
          </w:p>
          <w:p>
            <w:pPr>
              <w:jc w:val="right"/>
              <w:rPr>
                <w:rFonts w:cs="Times New Roman"/>
              </w:rPr>
            </w:pPr>
            <w:r>
              <w:rPr>
                <w:rFonts w:cs="Times New Roman"/>
                <w:position w:val="-14"/>
              </w:rPr>
              <w:object>
                <v:shape id="_x0000_i1027" o:spt="75" type="#_x0000_t75" style="height:19.5pt;width:94.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cs="Times New Roman"/>
              </w:rPr>
              <w:t xml:space="preserve">                      （B.1）</w:t>
            </w:r>
          </w:p>
          <w:p>
            <w:pPr>
              <w:ind w:firstLine="480" w:firstLineChars="200"/>
              <w:rPr>
                <w:rFonts w:cs="Times New Roman"/>
              </w:rPr>
            </w:pPr>
            <w:r>
              <w:rPr>
                <w:rFonts w:cs="Times New Roman"/>
              </w:rPr>
              <w:t>式中：</w:t>
            </w:r>
            <w:r>
              <w:rPr>
                <w:rFonts w:cs="Times New Roman"/>
                <w:position w:val="-14"/>
              </w:rPr>
              <w:object>
                <v:shape id="_x0000_i1028" o:spt="75" type="#_x0000_t75" style="height:19.5pt;width:18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r>
              <w:rPr>
                <w:rFonts w:cs="Times New Roman"/>
              </w:rPr>
              <w:t>——靠近开口处（或窗户）室内某倍频带的声压级或A声级，dB；</w:t>
            </w:r>
          </w:p>
          <w:p>
            <w:pPr>
              <w:ind w:firstLine="1200" w:firstLineChars="500"/>
              <w:rPr>
                <w:rFonts w:cs="Times New Roman"/>
              </w:rPr>
            </w:pPr>
            <w:r>
              <w:rPr>
                <w:rFonts w:cs="Times New Roman"/>
                <w:position w:val="-14"/>
              </w:rPr>
              <w:object>
                <v:shape id="_x0000_i1029" o:spt="75" type="#_x0000_t75" style="height:19.5pt;width:19.5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1">
                  <o:LockedField>false</o:LockedField>
                </o:OLEObject>
              </w:object>
            </w:r>
            <w:r>
              <w:rPr>
                <w:rFonts w:cs="Times New Roman"/>
              </w:rPr>
              <w:t>——靠近开口处（或窗户）室外某倍频带的声压级或A声级，dB；</w:t>
            </w:r>
          </w:p>
          <w:p>
            <w:pPr>
              <w:ind w:firstLine="1200" w:firstLineChars="500"/>
              <w:rPr>
                <w:rFonts w:cs="Times New Roman"/>
              </w:rPr>
            </w:pPr>
            <w:r>
              <w:rPr>
                <w:rFonts w:cs="Times New Roman"/>
              </w:rPr>
              <w:t>TL——隔墙（或窗户）倍频带或A声级的隔声量，dB。</w:t>
            </w:r>
          </w:p>
          <w:p>
            <w:pPr>
              <w:ind w:firstLine="480" w:firstLineChars="200"/>
              <w:rPr>
                <w:rFonts w:cs="Times New Roman"/>
              </w:rPr>
            </w:pPr>
            <w:r>
              <w:rPr>
                <w:rFonts w:cs="Times New Roman"/>
              </w:rPr>
              <w:t>也可按式（B.2）计算某一室内声源靠近围护结构处产生的倍频带声压级或A声级：</w:t>
            </w:r>
          </w:p>
          <w:p>
            <w:pPr>
              <w:ind w:firstLine="480" w:firstLineChars="200"/>
              <w:jc w:val="right"/>
              <w:rPr>
                <w:rFonts w:cs="Times New Roman"/>
              </w:rPr>
            </w:pPr>
            <w:r>
              <w:rPr>
                <w:rFonts w:cs="Times New Roman"/>
                <w:position w:val="-28"/>
              </w:rPr>
              <w:object>
                <v:shape id="_x0000_i1030" o:spt="75" type="#_x0000_t75" style="height:34.5pt;width:133.5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30" r:id="rId23">
                  <o:LockedField>false</o:LockedField>
                </o:OLEObject>
              </w:object>
            </w:r>
            <w:r>
              <w:rPr>
                <w:rFonts w:cs="Times New Roman"/>
              </w:rPr>
              <w:t xml:space="preserve">                  （B.2）</w:t>
            </w:r>
          </w:p>
          <w:p>
            <w:pPr>
              <w:ind w:firstLine="480" w:firstLineChars="200"/>
              <w:rPr>
                <w:rFonts w:cs="Times New Roman"/>
              </w:rPr>
            </w:pPr>
            <w:r>
              <w:rPr>
                <w:rFonts w:cs="Times New Roman"/>
              </w:rPr>
              <w:t>式中：</w:t>
            </w:r>
            <w:r>
              <w:rPr>
                <w:rFonts w:cs="Times New Roman"/>
                <w:position w:val="-14"/>
              </w:rPr>
              <w:object>
                <v:shape id="_x0000_i1031" o:spt="75" type="#_x0000_t75" style="height:19.5pt;width:18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25">
                  <o:LockedField>false</o:LockedField>
                </o:OLEObject>
              </w:object>
            </w:r>
            <w:r>
              <w:rPr>
                <w:rFonts w:cs="Times New Roman"/>
              </w:rPr>
              <w:t>——靠近开口处（或窗户）室内某倍频带的声压级或A声级，dB；</w:t>
            </w:r>
          </w:p>
          <w:p>
            <w:pPr>
              <w:ind w:firstLine="1200" w:firstLineChars="500"/>
              <w:rPr>
                <w:rFonts w:cs="Times New Roman"/>
              </w:rPr>
            </w:pPr>
            <w:r>
              <w:rPr>
                <w:rFonts w:cs="Times New Roman"/>
                <w:position w:val="-12"/>
              </w:rPr>
              <w:object>
                <v:shape id="_x0000_i1032" o:spt="75" type="#_x0000_t75" style="height:18pt;width:1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cs="Times New Roman"/>
              </w:rPr>
              <w:t>——点声源声功率级（A计权或倍频带），dB；</w:t>
            </w:r>
          </w:p>
          <w:p>
            <w:pPr>
              <w:ind w:firstLine="1200" w:firstLineChars="500"/>
              <w:rPr>
                <w:rFonts w:cs="Times New Roman"/>
              </w:rPr>
            </w:pPr>
            <w:r>
              <w:rPr>
                <w:rFonts w:cs="Times New Roman"/>
                <w:position w:val="-10"/>
              </w:rPr>
              <w:object>
                <v:shape id="_x0000_i1033" o:spt="75" type="#_x0000_t75" style="height:15.75pt;width:12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28">
                  <o:LockedField>false</o:LockedField>
                </o:OLEObject>
              </w:object>
            </w:r>
            <w:r>
              <w:rPr>
                <w:rFonts w:cs="Times New Roman"/>
              </w:rPr>
              <w:t>——指向性因数；通常对无指向性声源，当声源放在房间中心时，</w:t>
            </w:r>
            <w:r>
              <w:rPr>
                <w:rFonts w:cs="Times New Roman"/>
                <w:position w:val="-10"/>
              </w:rPr>
              <w:object>
                <v:shape id="_x0000_i1034" o:spt="75" type="#_x0000_t75" style="height:15.75pt;width:27.75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4" r:id="rId30">
                  <o:LockedField>false</o:LockedField>
                </o:OLEObject>
              </w:object>
            </w:r>
            <w:r>
              <w:rPr>
                <w:rFonts w:cs="Times New Roman"/>
              </w:rPr>
              <w:t>；当放在一面墙的中心时，</w:t>
            </w:r>
            <w:r>
              <w:rPr>
                <w:rFonts w:cs="Times New Roman"/>
                <w:position w:val="-10"/>
              </w:rPr>
              <w:object>
                <v:shape id="_x0000_i1035" o:spt="75" type="#_x0000_t75" style="height:15.75pt;width:30pt;" o:ole="t" filled="f" o:preferrelative="t" stroked="f" coordsize="21600,21600">
                  <v:path/>
                  <v:fill on="f" focussize="0,0"/>
                  <v:stroke on="f" joinstyle="miter"/>
                  <v:imagedata r:id="rId33" o:title=""/>
                  <o:lock v:ext="edit" aspectratio="t"/>
                  <w10:wrap type="none"/>
                  <w10:anchorlock/>
                </v:shape>
                <o:OLEObject Type="Embed" ProgID="Equation.3" ShapeID="_x0000_i1035" DrawAspect="Content" ObjectID="_1468075735" r:id="rId32">
                  <o:LockedField>false</o:LockedField>
                </o:OLEObject>
              </w:object>
            </w:r>
            <w:r>
              <w:rPr>
                <w:rFonts w:cs="Times New Roman"/>
              </w:rPr>
              <w:t>；当放在两面墙夹角处时，</w:t>
            </w:r>
            <w:r>
              <w:rPr>
                <w:rFonts w:cs="Times New Roman"/>
                <w:position w:val="-10"/>
              </w:rPr>
              <w:object>
                <v:shape id="_x0000_i1036" o:spt="75" type="#_x0000_t75" style="height:15.75pt;width:30pt;" o:ole="t" filled="f" o:preferrelative="t" stroked="f" coordsize="21600,21600">
                  <v:path/>
                  <v:fill on="f" focussize="0,0"/>
                  <v:stroke on="f" joinstyle="miter"/>
                  <v:imagedata r:id="rId35" o:title=""/>
                  <o:lock v:ext="edit" aspectratio="t"/>
                  <w10:wrap type="none"/>
                  <w10:anchorlock/>
                </v:shape>
                <o:OLEObject Type="Embed" ProgID="Equation.3" ShapeID="_x0000_i1036" DrawAspect="Content" ObjectID="_1468075736" r:id="rId34">
                  <o:LockedField>false</o:LockedField>
                </o:OLEObject>
              </w:object>
            </w:r>
            <w:r>
              <w:rPr>
                <w:rFonts w:cs="Times New Roman"/>
              </w:rPr>
              <w:t>；当放在三面墙夹角处时，</w:t>
            </w:r>
            <w:r>
              <w:rPr>
                <w:rFonts w:cs="Times New Roman"/>
                <w:position w:val="-10"/>
              </w:rPr>
              <w:object>
                <v:shape id="_x0000_i1037" o:spt="75" type="#_x0000_t75" style="height:15.75pt;width:30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7" r:id="rId36">
                  <o:LockedField>false</o:LockedField>
                </o:OLEObject>
              </w:object>
            </w:r>
            <w:r>
              <w:rPr>
                <w:rFonts w:cs="Times New Roman"/>
              </w:rPr>
              <w:t>；</w:t>
            </w:r>
          </w:p>
          <w:p>
            <w:pPr>
              <w:ind w:firstLine="1200" w:firstLineChars="500"/>
              <w:rPr>
                <w:rFonts w:cs="Times New Roman"/>
              </w:rPr>
            </w:pPr>
            <w:r>
              <w:rPr>
                <w:rFonts w:cs="Times New Roman"/>
                <w:position w:val="-4"/>
              </w:rPr>
              <w:object>
                <v:shape id="_x0000_i1038" o:spt="75" type="#_x0000_t75" style="height:12.75pt;width:12pt;" o:ole="t" filled="f" o:preferrelative="t" stroked="f" coordsize="21600,21600">
                  <v:path/>
                  <v:fill on="f" focussize="0,0"/>
                  <v:stroke on="f" joinstyle="miter"/>
                  <v:imagedata r:id="rId39" o:title=""/>
                  <o:lock v:ext="edit" aspectratio="t"/>
                  <w10:wrap type="none"/>
                  <w10:anchorlock/>
                </v:shape>
                <o:OLEObject Type="Embed" ProgID="Equation.3" ShapeID="_x0000_i1038" DrawAspect="Content" ObjectID="_1468075738" r:id="rId38">
                  <o:LockedField>false</o:LockedField>
                </o:OLEObject>
              </w:object>
            </w:r>
            <w:r>
              <w:rPr>
                <w:rFonts w:cs="Times New Roman"/>
              </w:rPr>
              <w:t>——房间常数；</w:t>
            </w:r>
            <w:r>
              <w:rPr>
                <w:rFonts w:cs="Times New Roman"/>
                <w:position w:val="-10"/>
              </w:rPr>
              <w:object>
                <v:shape id="_x0000_i1039" o:spt="75" type="#_x0000_t75" style="height:17.25pt;width:74.25pt;" o:ole="t" filled="f" o:preferrelative="t" stroked="f" coordsize="21600,21600">
                  <v:path/>
                  <v:fill on="f" focussize="0,0"/>
                  <v:stroke on="f" joinstyle="miter"/>
                  <v:imagedata r:id="rId41" o:title=""/>
                  <o:lock v:ext="edit" aspectratio="t"/>
                  <w10:wrap type="none"/>
                  <w10:anchorlock/>
                </v:shape>
                <o:OLEObject Type="Embed" ProgID="Equation.3" ShapeID="_x0000_i1039" DrawAspect="Content" ObjectID="_1468075739" r:id="rId40">
                  <o:LockedField>false</o:LockedField>
                </o:OLEObject>
              </w:object>
            </w:r>
            <w:r>
              <w:rPr>
                <w:rFonts w:cs="Times New Roman"/>
              </w:rPr>
              <w:t>，</w:t>
            </w:r>
            <w:r>
              <w:rPr>
                <w:rFonts w:cs="Times New Roman"/>
                <w:position w:val="-6"/>
              </w:rPr>
              <w:object>
                <v:shape id="_x0000_i1040" o:spt="75" type="#_x0000_t75" style="height:14.25pt;width:10.5pt;" o:ole="t" filled="f" o:preferrelative="t" stroked="f" coordsize="21600,21600">
                  <v:path/>
                  <v:fill on="f" focussize="0,0"/>
                  <v:stroke on="f" joinstyle="miter"/>
                  <v:imagedata r:id="rId43" o:title=""/>
                  <o:lock v:ext="edit" aspectratio="t"/>
                  <w10:wrap type="none"/>
                  <w10:anchorlock/>
                </v:shape>
                <o:OLEObject Type="Embed" ProgID="Equation.3" ShapeID="_x0000_i1040" DrawAspect="Content" ObjectID="_1468075740" r:id="rId42">
                  <o:LockedField>false</o:LockedField>
                </o:OLEObject>
              </w:object>
            </w:r>
            <w:r>
              <w:rPr>
                <w:rFonts w:cs="Times New Roman"/>
              </w:rPr>
              <w:t>为房间内表面面积，</w:t>
            </w:r>
            <w:r>
              <w:rPr>
                <w:rFonts w:cs="Times New Roman"/>
                <w:position w:val="-6"/>
              </w:rPr>
              <w:object>
                <v:shape id="_x0000_i1041" o:spt="75" type="#_x0000_t75" style="height:15.75pt;width:17.25pt;" o:ole="t" filled="f" o:preferrelative="t" stroked="f" coordsize="21600,21600">
                  <v:path/>
                  <v:fill on="f" focussize="0,0"/>
                  <v:stroke on="f" joinstyle="miter"/>
                  <v:imagedata r:id="rId45" o:title=""/>
                  <o:lock v:ext="edit" aspectratio="t"/>
                  <w10:wrap type="none"/>
                  <w10:anchorlock/>
                </v:shape>
                <o:OLEObject Type="Embed" ProgID="Equation.3" ShapeID="_x0000_i1041" DrawAspect="Content" ObjectID="_1468075741" r:id="rId44">
                  <o:LockedField>false</o:LockedField>
                </o:OLEObject>
              </w:object>
            </w:r>
            <w:r>
              <w:rPr>
                <w:rFonts w:cs="Times New Roman"/>
              </w:rPr>
              <w:t>；</w:t>
            </w:r>
            <w:r>
              <w:rPr>
                <w:rFonts w:cs="Times New Roman"/>
                <w:position w:val="-6"/>
              </w:rPr>
              <w:object>
                <v:shape id="_x0000_i1042" o:spt="75" type="#_x0000_t75" style="height:10.5pt;width:12pt;" o:ole="t" filled="f" o:preferrelative="t" stroked="f" coordsize="21600,21600">
                  <v:path/>
                  <v:fill on="f" focussize="0,0"/>
                  <v:stroke on="f" joinstyle="miter"/>
                  <v:imagedata r:id="rId47" o:title=""/>
                  <o:lock v:ext="edit" aspectratio="t"/>
                  <w10:wrap type="none"/>
                  <w10:anchorlock/>
                </v:shape>
                <o:OLEObject Type="Embed" ProgID="Equation.3" ShapeID="_x0000_i1042" DrawAspect="Content" ObjectID="_1468075742" r:id="rId46">
                  <o:LockedField>false</o:LockedField>
                </o:OLEObject>
              </w:object>
            </w:r>
            <w:r>
              <w:rPr>
                <w:rFonts w:cs="Times New Roman"/>
              </w:rPr>
              <w:t>为平均吸声系数；</w:t>
            </w:r>
          </w:p>
          <w:p>
            <w:pPr>
              <w:ind w:firstLine="1200" w:firstLineChars="500"/>
              <w:rPr>
                <w:rFonts w:cs="Times New Roman"/>
              </w:rPr>
            </w:pPr>
            <w:r>
              <w:rPr>
                <w:rFonts w:cs="Times New Roman"/>
                <w:position w:val="-4"/>
              </w:rPr>
              <w:object>
                <v:shape id="_x0000_i1043" o:spt="75" type="#_x0000_t75" style="height:9.75pt;width:8.25pt;" o:ole="t" filled="f" o:preferrelative="t" stroked="f" coordsize="21600,21600">
                  <v:path/>
                  <v:fill on="f" focussize="0,0"/>
                  <v:stroke on="f" joinstyle="miter"/>
                  <v:imagedata r:id="rId49" o:title=""/>
                  <o:lock v:ext="edit" aspectratio="t"/>
                  <w10:wrap type="none"/>
                  <w10:anchorlock/>
                </v:shape>
                <o:OLEObject Type="Embed" ProgID="Equation.3" ShapeID="_x0000_i1043" DrawAspect="Content" ObjectID="_1468075743" r:id="rId48">
                  <o:LockedField>false</o:LockedField>
                </o:OLEObject>
              </w:object>
            </w:r>
            <w:r>
              <w:rPr>
                <w:rFonts w:cs="Times New Roman"/>
              </w:rPr>
              <w:t>——声源到靠近围护结构某点处的距离，m。</w:t>
            </w:r>
          </w:p>
          <w:p>
            <w:pPr>
              <w:ind w:firstLine="480" w:firstLineChars="200"/>
              <w:rPr>
                <w:rFonts w:cs="Times New Roman"/>
              </w:rPr>
            </w:pPr>
            <w:r>
              <w:rPr>
                <w:rFonts w:cs="Times New Roman"/>
              </w:rPr>
              <w:t>然后按式（B.3）计算出所有室内声源在围护结构处产生的</w:t>
            </w:r>
            <w:r>
              <w:rPr>
                <w:rFonts w:cs="Times New Roman"/>
                <w:position w:val="-6"/>
              </w:rPr>
              <w:object>
                <v:shape id="_x0000_i1044" o:spt="75" type="#_x0000_t75" style="height:12.75pt;width:6.75pt;" o:ole="t" filled="f" o:preferrelative="t" stroked="f" coordsize="21600,21600">
                  <v:path/>
                  <v:fill on="f" focussize="0,0"/>
                  <v:stroke on="f" joinstyle="miter"/>
                  <v:imagedata r:id="rId51" o:title=""/>
                  <o:lock v:ext="edit" aspectratio="t"/>
                  <w10:wrap type="none"/>
                  <w10:anchorlock/>
                </v:shape>
                <o:OLEObject Type="Embed" ProgID="Equation.3" ShapeID="_x0000_i1044" DrawAspect="Content" ObjectID="_1468075744" r:id="rId50">
                  <o:LockedField>false</o:LockedField>
                </o:OLEObject>
              </w:object>
            </w:r>
            <w:r>
              <w:rPr>
                <w:rFonts w:cs="Times New Roman"/>
              </w:rPr>
              <w:t>倍频带叠加声压级：</w:t>
            </w:r>
          </w:p>
          <w:p>
            <w:pPr>
              <w:ind w:firstLine="480" w:firstLineChars="200"/>
              <w:jc w:val="right"/>
              <w:rPr>
                <w:rFonts w:cs="Times New Roman"/>
              </w:rPr>
            </w:pPr>
            <w:r>
              <w:rPr>
                <w:rFonts w:cs="Times New Roman"/>
                <w:position w:val="-34"/>
              </w:rPr>
              <w:object>
                <v:shape id="_x0000_i1045" o:spt="75" type="#_x0000_t75" style="height:39.75pt;width:131.25pt;" o:ole="t" filled="f" o:preferrelative="t" stroked="f" coordsize="21600,21600">
                  <v:path/>
                  <v:fill on="f" focussize="0,0"/>
                  <v:stroke on="f" joinstyle="miter"/>
                  <v:imagedata r:id="rId53" o:title=""/>
                  <o:lock v:ext="edit" aspectratio="t"/>
                  <w10:wrap type="none"/>
                  <w10:anchorlock/>
                </v:shape>
                <o:OLEObject Type="Embed" ProgID="Equation.3" ShapeID="_x0000_i1045" DrawAspect="Content" ObjectID="_1468075745" r:id="rId52">
                  <o:LockedField>false</o:LockedField>
                </o:OLEObject>
              </w:object>
            </w:r>
            <w:r>
              <w:rPr>
                <w:rFonts w:cs="Times New Roman"/>
              </w:rPr>
              <w:t xml:space="preserve">               （B.3）</w:t>
            </w:r>
          </w:p>
          <w:p>
            <w:pPr>
              <w:ind w:firstLine="480" w:firstLineChars="200"/>
              <w:rPr>
                <w:rFonts w:cs="Times New Roman"/>
              </w:rPr>
            </w:pPr>
            <w:r>
              <w:rPr>
                <w:rFonts w:cs="Times New Roman"/>
              </w:rPr>
              <w:t>式中：</w:t>
            </w:r>
            <w:r>
              <w:rPr>
                <w:rFonts w:cs="Times New Roman"/>
                <w:position w:val="-14"/>
              </w:rPr>
              <w:object>
                <v:shape id="_x0000_i1046" o:spt="75" type="#_x0000_t75" style="height:19.5pt;width:36.75pt;" o:ole="t" filled="f" o:preferrelative="t" stroked="f" coordsize="21600,21600">
                  <v:path/>
                  <v:fill on="f" focussize="0,0"/>
                  <v:stroke on="f" joinstyle="miter"/>
                  <v:imagedata r:id="rId55" o:title=""/>
                  <o:lock v:ext="edit" aspectratio="t"/>
                  <w10:wrap type="none"/>
                  <w10:anchorlock/>
                </v:shape>
                <o:OLEObject Type="Embed" ProgID="Equation.3" ShapeID="_x0000_i1046" DrawAspect="Content" ObjectID="_1468075746" r:id="rId54">
                  <o:LockedField>false</o:LockedField>
                </o:OLEObject>
              </w:object>
            </w:r>
            <w:r>
              <w:rPr>
                <w:rFonts w:cs="Times New Roman"/>
              </w:rPr>
              <w:t>——靠近围护结构处室内</w:t>
            </w:r>
            <w:r>
              <w:rPr>
                <w:rFonts w:cs="Times New Roman"/>
                <w:position w:val="-6"/>
              </w:rPr>
              <w:object>
                <v:shape id="_x0000_i1047" o:spt="75" type="#_x0000_t75" style="height:14.25pt;width:14.25pt;" o:ole="t" filled="f" o:preferrelative="t" stroked="f" coordsize="21600,21600">
                  <v:path/>
                  <v:fill on="f" focussize="0,0"/>
                  <v:stroke on="f" joinstyle="miter"/>
                  <v:imagedata r:id="rId57" o:title=""/>
                  <o:lock v:ext="edit" aspectratio="t"/>
                  <w10:wrap type="none"/>
                  <w10:anchorlock/>
                </v:shape>
                <o:OLEObject Type="Embed" ProgID="Equation.3" ShapeID="_x0000_i1047" DrawAspect="Content" ObjectID="_1468075747" r:id="rId56">
                  <o:LockedField>false</o:LockedField>
                </o:OLEObject>
              </w:object>
            </w:r>
            <w:r>
              <w:rPr>
                <w:rFonts w:cs="Times New Roman"/>
              </w:rPr>
              <w:t>个声源</w:t>
            </w:r>
            <w:r>
              <w:rPr>
                <w:rFonts w:cs="Times New Roman"/>
                <w:position w:val="-6"/>
              </w:rPr>
              <w:object>
                <v:shape id="_x0000_i1048" o:spt="75" type="#_x0000_t75" style="height:12.75pt;width:6.75pt;" o:ole="t" filled="f" o:preferrelative="t" stroked="f" coordsize="21600,21600">
                  <v:path/>
                  <v:fill on="f" focussize="0,0"/>
                  <v:stroke on="f" joinstyle="miter"/>
                  <v:imagedata r:id="rId51" o:title=""/>
                  <o:lock v:ext="edit" aspectratio="t"/>
                  <w10:wrap type="none"/>
                  <w10:anchorlock/>
                </v:shape>
                <o:OLEObject Type="Embed" ProgID="Equation.3" ShapeID="_x0000_i1048" DrawAspect="Content" ObjectID="_1468075748" r:id="rId58">
                  <o:LockedField>false</o:LockedField>
                </o:OLEObject>
              </w:object>
            </w:r>
            <w:r>
              <w:rPr>
                <w:rFonts w:cs="Times New Roman"/>
              </w:rPr>
              <w:t>倍频带的叠加声压级，dB；</w:t>
            </w:r>
          </w:p>
          <w:p>
            <w:pPr>
              <w:ind w:firstLine="1200" w:firstLineChars="500"/>
              <w:rPr>
                <w:rFonts w:cs="Times New Roman"/>
              </w:rPr>
            </w:pPr>
            <w:r>
              <w:rPr>
                <w:rFonts w:cs="Times New Roman"/>
                <w:position w:val="-14"/>
              </w:rPr>
              <w:object>
                <v:shape id="_x0000_i1049" o:spt="75" type="#_x0000_t75" style="height:19.5pt;width:22.5pt;" o:ole="t" filled="f" o:preferrelative="t" stroked="f" coordsize="21600,21600">
                  <v:path/>
                  <v:fill on="f" focussize="0,0"/>
                  <v:stroke on="f" joinstyle="miter"/>
                  <v:imagedata r:id="rId60" o:title=""/>
                  <o:lock v:ext="edit" aspectratio="t"/>
                  <w10:wrap type="none"/>
                  <w10:anchorlock/>
                </v:shape>
                <o:OLEObject Type="Embed" ProgID="Equation.3" ShapeID="_x0000_i1049" DrawAspect="Content" ObjectID="_1468075749" r:id="rId59">
                  <o:LockedField>false</o:LockedField>
                </o:OLEObject>
              </w:object>
            </w:r>
            <w:r>
              <w:rPr>
                <w:rFonts w:cs="Times New Roman"/>
              </w:rPr>
              <w:t>——室内</w:t>
            </w:r>
            <w:r>
              <w:rPr>
                <w:rFonts w:cs="Times New Roman"/>
                <w:position w:val="-10"/>
              </w:rPr>
              <w:object>
                <v:shape id="_x0000_i1050" o:spt="75" type="#_x0000_t75" style="height:15pt;width:9.75pt;" o:ole="t" filled="f" o:preferrelative="t" stroked="f" coordsize="21600,21600">
                  <v:path/>
                  <v:fill on="f" focussize="0,0"/>
                  <v:stroke on="f" joinstyle="miter"/>
                  <v:imagedata r:id="rId62" o:title=""/>
                  <o:lock v:ext="edit" aspectratio="t"/>
                  <w10:wrap type="none"/>
                  <w10:anchorlock/>
                </v:shape>
                <o:OLEObject Type="Embed" ProgID="Equation.3" ShapeID="_x0000_i1050" DrawAspect="Content" ObjectID="_1468075750" r:id="rId61">
                  <o:LockedField>false</o:LockedField>
                </o:OLEObject>
              </w:object>
            </w:r>
            <w:r>
              <w:rPr>
                <w:rFonts w:cs="Times New Roman"/>
              </w:rPr>
              <w:t>声源</w:t>
            </w:r>
            <w:r>
              <w:rPr>
                <w:rFonts w:cs="Times New Roman"/>
                <w:position w:val="-6"/>
              </w:rPr>
              <w:object>
                <v:shape id="_x0000_i1051" o:spt="75" type="#_x0000_t75" style="height:12.75pt;width:6.75pt;" o:ole="t" filled="f" o:preferrelative="t" stroked="f" coordsize="21600,21600">
                  <v:path/>
                  <v:fill on="f" focussize="0,0"/>
                  <v:stroke on="f" joinstyle="miter"/>
                  <v:imagedata r:id="rId51" o:title=""/>
                  <o:lock v:ext="edit" aspectratio="t"/>
                  <w10:wrap type="none"/>
                  <w10:anchorlock/>
                </v:shape>
                <o:OLEObject Type="Embed" ProgID="Equation.3" ShapeID="_x0000_i1051" DrawAspect="Content" ObjectID="_1468075751" r:id="rId63">
                  <o:LockedField>false</o:LockedField>
                </o:OLEObject>
              </w:object>
            </w:r>
            <w:r>
              <w:rPr>
                <w:rFonts w:cs="Times New Roman"/>
              </w:rPr>
              <w:t>倍频带的声压级，dB；</w:t>
            </w:r>
          </w:p>
          <w:p>
            <w:pPr>
              <w:ind w:firstLine="1200" w:firstLineChars="500"/>
              <w:rPr>
                <w:rFonts w:cs="Times New Roman"/>
              </w:rPr>
            </w:pPr>
            <w:r>
              <w:rPr>
                <w:rFonts w:cs="Times New Roman"/>
                <w:position w:val="-6"/>
              </w:rPr>
              <w:object>
                <v:shape id="_x0000_i1052" o:spt="75" type="#_x0000_t75" style="height:14.25pt;width:14.25pt;" o:ole="t" filled="f" o:preferrelative="t" stroked="f" coordsize="21600,21600">
                  <v:path/>
                  <v:fill on="f" focussize="0,0"/>
                  <v:stroke on="f" joinstyle="miter"/>
                  <v:imagedata r:id="rId57" o:title=""/>
                  <o:lock v:ext="edit" aspectratio="t"/>
                  <w10:wrap type="none"/>
                  <w10:anchorlock/>
                </v:shape>
                <o:OLEObject Type="Embed" ProgID="Equation.3" ShapeID="_x0000_i1052" DrawAspect="Content" ObjectID="_1468075752" r:id="rId64">
                  <o:LockedField>false</o:LockedField>
                </o:OLEObject>
              </w:object>
            </w:r>
            <w:r>
              <w:rPr>
                <w:rFonts w:cs="Times New Roman"/>
              </w:rPr>
              <w:t>——室内声源总数。</w:t>
            </w:r>
          </w:p>
          <w:p>
            <w:pPr>
              <w:ind w:firstLine="480" w:firstLineChars="200"/>
              <w:jc w:val="right"/>
              <w:rPr>
                <w:rFonts w:cs="Times New Roman"/>
              </w:rPr>
            </w:pPr>
            <w:r>
              <w:rPr>
                <w:rFonts w:cs="Times New Roman"/>
              </w:rPr>
              <w:t>在室内近似为扩散声场时，按式（B.4）计算出靠近室外围护结构处的声压级：</w:t>
            </w:r>
            <w:r>
              <w:rPr>
                <w:rFonts w:cs="Times New Roman"/>
                <w:position w:val="-14"/>
              </w:rPr>
              <w:object>
                <v:shape id="_x0000_i1053" o:spt="75" type="#_x0000_t75" style="height:19.5pt;width:132pt;" o:ole="t" filled="f" o:preferrelative="t" stroked="f" coordsize="21600,21600">
                  <v:path/>
                  <v:fill on="f" focussize="0,0"/>
                  <v:stroke on="f" joinstyle="miter"/>
                  <v:imagedata r:id="rId66" o:title=""/>
                  <o:lock v:ext="edit" aspectratio="t"/>
                  <w10:wrap type="none"/>
                  <w10:anchorlock/>
                </v:shape>
                <o:OLEObject Type="Embed" ProgID="Equation.3" ShapeID="_x0000_i1053" DrawAspect="Content" ObjectID="_1468075753" r:id="rId65">
                  <o:LockedField>false</o:LockedField>
                </o:OLEObject>
              </w:object>
            </w:r>
            <w:r>
              <w:rPr>
                <w:rFonts w:cs="Times New Roman"/>
              </w:rPr>
              <w:t xml:space="preserve">              （B.4）</w:t>
            </w:r>
          </w:p>
          <w:p>
            <w:pPr>
              <w:ind w:left="1267" w:leftChars="228" w:hanging="720" w:hangingChars="300"/>
              <w:rPr>
                <w:rFonts w:cs="Times New Roman"/>
              </w:rPr>
            </w:pPr>
            <w:r>
              <w:rPr>
                <w:rFonts w:cs="Times New Roman"/>
              </w:rPr>
              <w:t>式中：</w:t>
            </w:r>
            <w:r>
              <w:rPr>
                <w:rFonts w:cs="Times New Roman"/>
                <w:position w:val="-14"/>
              </w:rPr>
              <w:object>
                <v:shape id="_x0000_i1054" o:spt="75" type="#_x0000_t75" style="height:19.5pt;width:37.5pt;" o:ole="t" filled="f" o:preferrelative="t" stroked="f" coordsize="21600,21600">
                  <v:path/>
                  <v:fill on="f" focussize="0,0"/>
                  <v:stroke on="f" joinstyle="miter"/>
                  <v:imagedata r:id="rId68" o:title=""/>
                  <o:lock v:ext="edit" aspectratio="t"/>
                  <w10:wrap type="none"/>
                  <w10:anchorlock/>
                </v:shape>
                <o:OLEObject Type="Embed" ProgID="Equation.3" ShapeID="_x0000_i1054" DrawAspect="Content" ObjectID="_1468075754" r:id="rId67">
                  <o:LockedField>false</o:LockedField>
                </o:OLEObject>
              </w:object>
            </w:r>
            <w:r>
              <w:rPr>
                <w:rFonts w:cs="Times New Roman"/>
              </w:rPr>
              <w:t>——靠近围护结构处室外</w:t>
            </w:r>
            <w:r>
              <w:rPr>
                <w:rFonts w:cs="Times New Roman"/>
                <w:position w:val="-6"/>
              </w:rPr>
              <w:object>
                <v:shape id="_x0000_i1055" o:spt="75" type="#_x0000_t75" style="height:14.25pt;width:14.25pt;" o:ole="t" filled="f" o:preferrelative="t" stroked="f" coordsize="21600,21600">
                  <v:path/>
                  <v:fill on="f" focussize="0,0"/>
                  <v:stroke on="f" joinstyle="miter"/>
                  <v:imagedata r:id="rId57" o:title=""/>
                  <o:lock v:ext="edit" aspectratio="t"/>
                  <w10:wrap type="none"/>
                  <w10:anchorlock/>
                </v:shape>
                <o:OLEObject Type="Embed" ProgID="Equation.3" ShapeID="_x0000_i1055" DrawAspect="Content" ObjectID="_1468075755" r:id="rId69">
                  <o:LockedField>false</o:LockedField>
                </o:OLEObject>
              </w:object>
            </w:r>
            <w:r>
              <w:rPr>
                <w:rFonts w:cs="Times New Roman"/>
              </w:rPr>
              <w:t>个声源</w:t>
            </w:r>
            <w:r>
              <w:rPr>
                <w:rFonts w:cs="Times New Roman"/>
                <w:position w:val="-6"/>
              </w:rPr>
              <w:object>
                <v:shape id="_x0000_i1056" o:spt="75" type="#_x0000_t75" style="height:12.75pt;width:6.75pt;" o:ole="t" filled="f" o:preferrelative="t" stroked="f" coordsize="21600,21600">
                  <v:path/>
                  <v:fill on="f" focussize="0,0"/>
                  <v:stroke on="f" joinstyle="miter"/>
                  <v:imagedata r:id="rId51" o:title=""/>
                  <o:lock v:ext="edit" aspectratio="t"/>
                  <w10:wrap type="none"/>
                  <w10:anchorlock/>
                </v:shape>
                <o:OLEObject Type="Embed" ProgID="Equation.3" ShapeID="_x0000_i1056" DrawAspect="Content" ObjectID="_1468075756" r:id="rId70">
                  <o:LockedField>false</o:LockedField>
                </o:OLEObject>
              </w:object>
            </w:r>
            <w:r>
              <w:rPr>
                <w:rFonts w:cs="Times New Roman"/>
              </w:rPr>
              <w:t>倍频带的叠加声压级，dB；</w:t>
            </w:r>
            <w:r>
              <w:rPr>
                <w:rFonts w:cs="Times New Roman"/>
                <w:position w:val="-14"/>
              </w:rPr>
              <w:object>
                <v:shape id="_x0000_i1057" o:spt="75" type="#_x0000_t75" style="height:19.5pt;width:36.75pt;" o:ole="t" filled="f" o:preferrelative="t" stroked="f" coordsize="21600,21600">
                  <v:path/>
                  <v:fill on="f" focussize="0,0"/>
                  <v:stroke on="f" joinstyle="miter"/>
                  <v:imagedata r:id="rId72" o:title=""/>
                  <o:lock v:ext="edit" aspectratio="t"/>
                  <w10:wrap type="none"/>
                  <w10:anchorlock/>
                </v:shape>
                <o:OLEObject Type="Embed" ProgID="Equation.3" ShapeID="_x0000_i1057" DrawAspect="Content" ObjectID="_1468075757" r:id="rId71">
                  <o:LockedField>false</o:LockedField>
                </o:OLEObject>
              </w:object>
            </w:r>
            <w:r>
              <w:rPr>
                <w:rFonts w:cs="Times New Roman"/>
              </w:rPr>
              <w:t>——靠近围护结构处室内</w:t>
            </w:r>
            <w:r>
              <w:rPr>
                <w:rFonts w:cs="Times New Roman"/>
                <w:position w:val="-6"/>
              </w:rPr>
              <w:object>
                <v:shape id="_x0000_i1058" o:spt="75" type="#_x0000_t75" style="height:14.25pt;width:14.25pt;" o:ole="t" filled="f" o:preferrelative="t" stroked="f" coordsize="21600,21600">
                  <v:path/>
                  <v:fill on="f" focussize="0,0"/>
                  <v:stroke on="f" joinstyle="miter"/>
                  <v:imagedata r:id="rId57" o:title=""/>
                  <o:lock v:ext="edit" aspectratio="t"/>
                  <w10:wrap type="none"/>
                  <w10:anchorlock/>
                </v:shape>
                <o:OLEObject Type="Embed" ProgID="Equation.3" ShapeID="_x0000_i1058" DrawAspect="Content" ObjectID="_1468075758" r:id="rId73">
                  <o:LockedField>false</o:LockedField>
                </o:OLEObject>
              </w:object>
            </w:r>
            <w:r>
              <w:rPr>
                <w:rFonts w:cs="Times New Roman"/>
              </w:rPr>
              <w:t>个声源</w:t>
            </w:r>
            <w:r>
              <w:rPr>
                <w:rFonts w:cs="Times New Roman"/>
                <w:position w:val="-6"/>
              </w:rPr>
              <w:object>
                <v:shape id="_x0000_i1059" o:spt="75" type="#_x0000_t75" style="height:12.75pt;width:6.75pt;" o:ole="t" filled="f" o:preferrelative="t" stroked="f" coordsize="21600,21600">
                  <v:path/>
                  <v:fill on="f" focussize="0,0"/>
                  <v:stroke on="f" joinstyle="miter"/>
                  <v:imagedata r:id="rId51" o:title=""/>
                  <o:lock v:ext="edit" aspectratio="t"/>
                  <w10:wrap type="none"/>
                  <w10:anchorlock/>
                </v:shape>
                <o:OLEObject Type="Embed" ProgID="Equation.3" ShapeID="_x0000_i1059" DrawAspect="Content" ObjectID="_1468075759" r:id="rId74">
                  <o:LockedField>false</o:LockedField>
                </o:OLEObject>
              </w:object>
            </w:r>
            <w:r>
              <w:rPr>
                <w:rFonts w:cs="Times New Roman"/>
              </w:rPr>
              <w:t>倍频带的叠加声压级，dB；</w:t>
            </w:r>
          </w:p>
          <w:p>
            <w:pPr>
              <w:ind w:firstLine="1200" w:firstLineChars="500"/>
              <w:rPr>
                <w:rFonts w:cs="Times New Roman"/>
              </w:rPr>
            </w:pPr>
            <w:r>
              <w:rPr>
                <w:rFonts w:cs="Times New Roman"/>
                <w:position w:val="-12"/>
              </w:rPr>
              <w:object>
                <v:shape id="_x0000_i1060" o:spt="75" type="#_x0000_t75" style="height:18pt;width:18pt;" o:ole="t" filled="f" o:preferrelative="t" stroked="f" coordsize="21600,21600">
                  <v:path/>
                  <v:fill on="f" focussize="0,0"/>
                  <v:stroke on="f" joinstyle="miter"/>
                  <v:imagedata r:id="rId76" o:title=""/>
                  <o:lock v:ext="edit" aspectratio="t"/>
                  <w10:wrap type="none"/>
                  <w10:anchorlock/>
                </v:shape>
                <o:OLEObject Type="Embed" ProgID="Equation.3" ShapeID="_x0000_i1060" DrawAspect="Content" ObjectID="_1468075760" r:id="rId75">
                  <o:LockedField>false</o:LockedField>
                </o:OLEObject>
              </w:object>
            </w:r>
            <w:r>
              <w:rPr>
                <w:rFonts w:cs="Times New Roman"/>
              </w:rPr>
              <w:t>——围护结构</w:t>
            </w:r>
            <w:r>
              <w:rPr>
                <w:rFonts w:cs="Times New Roman"/>
                <w:position w:val="-6"/>
              </w:rPr>
              <w:object>
                <v:shape id="_x0000_i1061" o:spt="75" type="#_x0000_t75" style="height:12.75pt;width:6.75pt;" o:ole="t" filled="f" o:preferrelative="t" stroked="f" coordsize="21600,21600">
                  <v:path/>
                  <v:fill on="f" focussize="0,0"/>
                  <v:stroke on="f" joinstyle="miter"/>
                  <v:imagedata r:id="rId51" o:title=""/>
                  <o:lock v:ext="edit" aspectratio="t"/>
                  <w10:wrap type="none"/>
                  <w10:anchorlock/>
                </v:shape>
                <o:OLEObject Type="Embed" ProgID="Equation.3" ShapeID="_x0000_i1061" DrawAspect="Content" ObjectID="_1468075761" r:id="rId77">
                  <o:LockedField>false</o:LockedField>
                </o:OLEObject>
              </w:object>
            </w:r>
            <w:r>
              <w:rPr>
                <w:rFonts w:cs="Times New Roman"/>
              </w:rPr>
              <w:t>倍频带的隔声量，dB。</w:t>
            </w:r>
          </w:p>
          <w:p>
            <w:pPr>
              <w:ind w:firstLine="480" w:firstLineChars="200"/>
              <w:rPr>
                <w:rFonts w:cs="Times New Roman"/>
              </w:rPr>
            </w:pPr>
            <w:r>
              <w:rPr>
                <w:rFonts w:cs="Times New Roman"/>
              </w:rPr>
              <w:t>然后按式（B.5）将室外声源的声压级和透过面积换算成等效的室外声源，计算出中心位置位于透声面积（</w:t>
            </w:r>
            <w:r>
              <w:rPr>
                <w:rFonts w:cs="Times New Roman"/>
                <w:position w:val="-6"/>
              </w:rPr>
              <w:object>
                <v:shape id="_x0000_i1062" o:spt="75" type="#_x0000_t75" style="height:14.25pt;width:10.5pt;" o:ole="t" filled="f" o:preferrelative="t" stroked="f" coordsize="21600,21600">
                  <v:path/>
                  <v:fill on="f" focussize="0,0"/>
                  <v:stroke on="f" joinstyle="miter"/>
                  <v:imagedata r:id="rId79" o:title=""/>
                  <o:lock v:ext="edit" aspectratio="t"/>
                  <w10:wrap type="none"/>
                  <w10:anchorlock/>
                </v:shape>
                <o:OLEObject Type="Embed" ProgID="Equation.3" ShapeID="_x0000_i1062" DrawAspect="Content" ObjectID="_1468075762" r:id="rId78">
                  <o:LockedField>false</o:LockedField>
                </o:OLEObject>
              </w:object>
            </w:r>
            <w:r>
              <w:rPr>
                <w:rFonts w:cs="Times New Roman"/>
              </w:rPr>
              <w:t>）处的等效声源的倍频带声功率级。</w:t>
            </w:r>
          </w:p>
          <w:p>
            <w:pPr>
              <w:ind w:firstLine="480" w:firstLineChars="200"/>
              <w:jc w:val="right"/>
              <w:rPr>
                <w:rFonts w:cs="Times New Roman"/>
              </w:rPr>
            </w:pPr>
            <w:r>
              <w:rPr>
                <w:rFonts w:cs="Times New Roman"/>
                <w:position w:val="-14"/>
              </w:rPr>
              <w:object>
                <v:shape id="_x0000_i1063" o:spt="75" type="#_x0000_t75" style="height:19.5pt;width:101.25pt;" o:ole="t" filled="f" o:preferrelative="t" stroked="f" coordsize="21600,21600">
                  <v:path/>
                  <v:fill on="f" focussize="0,0"/>
                  <v:stroke on="f" joinstyle="miter"/>
                  <v:imagedata r:id="rId81" o:title=""/>
                  <o:lock v:ext="edit" aspectratio="t"/>
                  <w10:wrap type="none"/>
                  <w10:anchorlock/>
                </v:shape>
                <o:OLEObject Type="Embed" ProgID="Equation.3" ShapeID="_x0000_i1063" DrawAspect="Content" ObjectID="_1468075763" r:id="rId80">
                  <o:LockedField>false</o:LockedField>
                </o:OLEObject>
              </w:object>
            </w:r>
            <w:r>
              <w:rPr>
                <w:rFonts w:cs="Times New Roman"/>
              </w:rPr>
              <w:t xml:space="preserve">                    （B.5）</w:t>
            </w:r>
          </w:p>
          <w:p>
            <w:pPr>
              <w:ind w:firstLine="480" w:firstLineChars="200"/>
              <w:rPr>
                <w:rFonts w:cs="Times New Roman"/>
              </w:rPr>
            </w:pPr>
            <w:r>
              <w:rPr>
                <w:rFonts w:cs="Times New Roman"/>
              </w:rPr>
              <w:t>式中：</w:t>
            </w:r>
            <w:r>
              <w:rPr>
                <w:rFonts w:cs="Times New Roman"/>
                <w:position w:val="-12"/>
              </w:rPr>
              <w:object>
                <v:shape id="_x0000_i1064" o:spt="75" type="#_x0000_t75" style="height:18pt;width:15pt;" o:ole="t" filled="f" o:preferrelative="t" stroked="f" coordsize="21600,21600">
                  <v:path/>
                  <v:fill on="f" focussize="0,0"/>
                  <v:stroke on="f" joinstyle="miter"/>
                  <v:imagedata r:id="rId83" o:title=""/>
                  <o:lock v:ext="edit" aspectratio="t"/>
                  <w10:wrap type="none"/>
                  <w10:anchorlock/>
                </v:shape>
                <o:OLEObject Type="Embed" ProgID="Equation.3" ShapeID="_x0000_i1064" DrawAspect="Content" ObjectID="_1468075764" r:id="rId82">
                  <o:LockedField>false</o:LockedField>
                </o:OLEObject>
              </w:object>
            </w:r>
            <w:r>
              <w:rPr>
                <w:rFonts w:cs="Times New Roman"/>
              </w:rPr>
              <w:t>——中心位置位于透声面积（</w:t>
            </w:r>
            <w:r>
              <w:rPr>
                <w:rFonts w:cs="Times New Roman"/>
                <w:position w:val="-6"/>
              </w:rPr>
              <w:object>
                <v:shape id="_x0000_i1065" o:spt="75" type="#_x0000_t75" style="height:14.25pt;width:10.5pt;" o:ole="t" filled="f" o:preferrelative="t" stroked="f" coordsize="21600,21600">
                  <v:path/>
                  <v:fill on="f" focussize="0,0"/>
                  <v:stroke on="f" joinstyle="miter"/>
                  <v:imagedata r:id="rId79" o:title=""/>
                  <o:lock v:ext="edit" aspectratio="t"/>
                  <w10:wrap type="none"/>
                  <w10:anchorlock/>
                </v:shape>
                <o:OLEObject Type="Embed" ProgID="Equation.3" ShapeID="_x0000_i1065" DrawAspect="Content" ObjectID="_1468075765" r:id="rId84">
                  <o:LockedField>false</o:LockedField>
                </o:OLEObject>
              </w:object>
            </w:r>
            <w:r>
              <w:rPr>
                <w:rFonts w:cs="Times New Roman"/>
              </w:rPr>
              <w:t>）处的等效声源的倍频带声功率级，dB；</w:t>
            </w:r>
          </w:p>
          <w:p>
            <w:pPr>
              <w:ind w:firstLine="1200" w:firstLineChars="500"/>
              <w:rPr>
                <w:rFonts w:cs="Times New Roman"/>
              </w:rPr>
            </w:pPr>
            <w:r>
              <w:rPr>
                <w:rFonts w:cs="Times New Roman"/>
                <w:position w:val="-14"/>
              </w:rPr>
              <w:object>
                <v:shape id="_x0000_i1066" o:spt="75" type="#_x0000_t75" style="height:19.5pt;width:35.25pt;" o:ole="t" filled="f" o:preferrelative="t" stroked="f" coordsize="21600,21600">
                  <v:path/>
                  <v:fill on="f" focussize="0,0"/>
                  <v:stroke on="f" joinstyle="miter"/>
                  <v:imagedata r:id="rId86" o:title=""/>
                  <o:lock v:ext="edit" aspectratio="t"/>
                  <w10:wrap type="none"/>
                  <w10:anchorlock/>
                </v:shape>
                <o:OLEObject Type="Embed" ProgID="Equation.3" ShapeID="_x0000_i1066" DrawAspect="Content" ObjectID="_1468075766" r:id="rId85">
                  <o:LockedField>false</o:LockedField>
                </o:OLEObject>
              </w:object>
            </w:r>
            <w:r>
              <w:rPr>
                <w:rFonts w:cs="Times New Roman"/>
              </w:rPr>
              <w:t>——靠近围护结构处室外声源的声压级，dB；</w:t>
            </w:r>
          </w:p>
          <w:p>
            <w:pPr>
              <w:ind w:firstLine="1200" w:firstLineChars="500"/>
              <w:rPr>
                <w:rFonts w:cs="Times New Roman"/>
              </w:rPr>
            </w:pPr>
            <w:r>
              <w:rPr>
                <w:rFonts w:cs="Times New Roman"/>
                <w:position w:val="-6"/>
              </w:rPr>
              <w:object>
                <v:shape id="_x0000_i1067" o:spt="75" type="#_x0000_t75" style="height:14.25pt;width:10.5pt;" o:ole="t" filled="f" o:preferrelative="t" stroked="f" coordsize="21600,21600">
                  <v:path/>
                  <v:fill on="f" focussize="0,0"/>
                  <v:stroke on="f" joinstyle="miter"/>
                  <v:imagedata r:id="rId79" o:title=""/>
                  <o:lock v:ext="edit" aspectratio="t"/>
                  <w10:wrap type="none"/>
                  <w10:anchorlock/>
                </v:shape>
                <o:OLEObject Type="Embed" ProgID="Equation.3" ShapeID="_x0000_i1067" DrawAspect="Content" ObjectID="_1468075767" r:id="rId87">
                  <o:LockedField>false</o:LockedField>
                </o:OLEObject>
              </w:object>
            </w:r>
            <w:r>
              <w:rPr>
                <w:rFonts w:cs="Times New Roman"/>
              </w:rPr>
              <w:t>——透声面积，</w:t>
            </w:r>
            <w:r>
              <w:rPr>
                <w:rFonts w:cs="Times New Roman"/>
                <w:position w:val="-6"/>
              </w:rPr>
              <w:object>
                <v:shape id="_x0000_i1068" o:spt="75" type="#_x0000_t75" style="height:15.75pt;width:17.25pt;" o:ole="t" filled="f" o:preferrelative="t" stroked="f" coordsize="21600,21600">
                  <v:path/>
                  <v:fill on="f" focussize="0,0"/>
                  <v:stroke on="f" joinstyle="miter"/>
                  <v:imagedata r:id="rId45" o:title=""/>
                  <o:lock v:ext="edit" aspectratio="t"/>
                  <w10:wrap type="none"/>
                  <w10:anchorlock/>
                </v:shape>
                <o:OLEObject Type="Embed" ProgID="Equation.3" ShapeID="_x0000_i1068" DrawAspect="Content" ObjectID="_1468075768" r:id="rId88">
                  <o:LockedField>false</o:LockedField>
                </o:OLEObject>
              </w:object>
            </w:r>
            <w:r>
              <w:rPr>
                <w:rFonts w:cs="Times New Roman"/>
              </w:rPr>
              <w:t>。</w:t>
            </w:r>
          </w:p>
          <w:p>
            <w:pPr>
              <w:ind w:firstLine="480" w:firstLineChars="200"/>
              <w:rPr>
                <w:rFonts w:cs="Times New Roman"/>
              </w:rPr>
            </w:pPr>
            <w:r>
              <w:rPr>
                <w:rFonts w:cs="Times New Roman"/>
              </w:rPr>
              <w:t>然后按室外声源预测方法计算预测点处的A声级。</w:t>
            </w:r>
          </w:p>
          <w:p>
            <w:pPr>
              <w:ind w:firstLine="482" w:firstLineChars="200"/>
              <w:rPr>
                <w:rFonts w:cs="Times New Roman"/>
                <w:b/>
                <w:bCs/>
              </w:rPr>
            </w:pPr>
            <w:r>
              <w:rPr>
                <w:rFonts w:cs="Times New Roman"/>
                <w:b/>
                <w:bCs/>
              </w:rPr>
              <w:t>（2）附录A.3.1.3面声源的几何发散衰减</w:t>
            </w:r>
          </w:p>
          <w:p>
            <w:pPr>
              <w:ind w:firstLine="480" w:firstLineChars="200"/>
              <w:rPr>
                <w:rFonts w:cs="Times New Roman"/>
              </w:rPr>
            </w:pPr>
            <w:r>
              <w:rPr>
                <w:rFonts w:cs="Times New Roman"/>
              </w:rPr>
              <w:t>一个大型机器设备的振动表面，车间透声的墙壁，均可以认为是面声源。如果已知面声源单位面积的声功率为W，各面积元噪声的位相是随机的，面声源可看做由无数点声源连续分布组合而成，其合成声级可按能量叠加法求出。</w:t>
            </w:r>
          </w:p>
          <w:p>
            <w:pPr>
              <w:ind w:firstLine="480" w:firstLineChars="200"/>
              <w:rPr>
                <w:rFonts w:cs="Times New Roman"/>
              </w:rPr>
            </w:pPr>
            <w:r>
              <w:rPr>
                <w:rFonts w:cs="Times New Roman"/>
              </w:rPr>
              <w:t>当预测点和面声源中心距离r处于以下条件时，可按下述方法近似计算：</w:t>
            </w:r>
          </w:p>
          <w:p>
            <w:pPr>
              <w:ind w:firstLine="480" w:firstLineChars="200"/>
              <w:rPr>
                <w:rFonts w:cs="Times New Roman"/>
              </w:rPr>
            </w:pPr>
            <w:r>
              <w:rPr>
                <w:rFonts w:hint="eastAsia" w:ascii="宋体" w:hAnsi="宋体" w:eastAsia="宋体" w:cs="宋体"/>
              </w:rPr>
              <w:t>①</w:t>
            </w:r>
            <w:r>
              <w:rPr>
                <w:rFonts w:cs="Times New Roman"/>
                <w:position w:val="-6"/>
              </w:rPr>
              <w:object>
                <v:shape id="_x0000_i1069" o:spt="75" type="#_x0000_t75" style="height:14.25pt;width:42pt;" o:ole="t" filled="f" o:preferrelative="t" stroked="f" coordsize="21600,21600">
                  <v:path/>
                  <v:fill on="f" focussize="0,0"/>
                  <v:stroke on="f" joinstyle="miter"/>
                  <v:imagedata r:id="rId90" o:title=""/>
                  <o:lock v:ext="edit" aspectratio="t"/>
                  <w10:wrap type="none"/>
                  <w10:anchorlock/>
                </v:shape>
                <o:OLEObject Type="Embed" ProgID="Equation.3" ShapeID="_x0000_i1069" DrawAspect="Content" ObjectID="_1468075769" r:id="rId89">
                  <o:LockedField>false</o:LockedField>
                </o:OLEObject>
              </w:object>
            </w:r>
            <w:r>
              <w:rPr>
                <w:rFonts w:cs="Times New Roman"/>
              </w:rPr>
              <w:t>时，几乎不衰减（</w:t>
            </w:r>
            <w:r>
              <w:rPr>
                <w:rFonts w:cs="Times New Roman"/>
                <w:position w:val="-12"/>
              </w:rPr>
              <w:object>
                <v:shape id="_x0000_i1070" o:spt="75" type="#_x0000_t75" style="height:18pt;width:39pt;" o:ole="t" filled="f" o:preferrelative="t" stroked="f" coordsize="21600,21600">
                  <v:path/>
                  <v:fill on="f" focussize="0,0"/>
                  <v:stroke on="f" joinstyle="miter"/>
                  <v:imagedata r:id="rId92" o:title=""/>
                  <o:lock v:ext="edit" aspectratio="t"/>
                  <w10:wrap type="none"/>
                  <w10:anchorlock/>
                </v:shape>
                <o:OLEObject Type="Embed" ProgID="Equation.3" ShapeID="_x0000_i1070" DrawAspect="Content" ObjectID="_1468075770" r:id="rId91">
                  <o:LockedField>false</o:LockedField>
                </o:OLEObject>
              </w:object>
            </w:r>
            <w:r>
              <w:rPr>
                <w:rFonts w:cs="Times New Roman"/>
              </w:rPr>
              <w:t>）；</w:t>
            </w:r>
          </w:p>
          <w:p>
            <w:pPr>
              <w:ind w:firstLine="480" w:firstLineChars="200"/>
              <w:rPr>
                <w:rFonts w:cs="Times New Roman"/>
              </w:rPr>
            </w:pPr>
            <w:r>
              <w:rPr>
                <w:rFonts w:hint="eastAsia" w:ascii="宋体" w:hAnsi="宋体" w:eastAsia="宋体" w:cs="宋体"/>
              </w:rPr>
              <w:t>②</w:t>
            </w:r>
            <w:r>
              <w:rPr>
                <w:rFonts w:cs="Times New Roman"/>
                <w:position w:val="-6"/>
              </w:rPr>
              <w:object>
                <v:shape id="_x0000_i1071" o:spt="75" type="#_x0000_t75" style="height:14.25pt;width:72.75pt;" o:ole="t" filled="f" o:preferrelative="t" stroked="f" coordsize="21600,21600">
                  <v:path/>
                  <v:fill on="f" focussize="0,0"/>
                  <v:stroke on="f" joinstyle="miter"/>
                  <v:imagedata r:id="rId94" o:title=""/>
                  <o:lock v:ext="edit" aspectratio="t"/>
                  <w10:wrap type="none"/>
                  <w10:anchorlock/>
                </v:shape>
                <o:OLEObject Type="Embed" ProgID="Equation.3" ShapeID="_x0000_i1071" DrawAspect="Content" ObjectID="_1468075771" r:id="rId93">
                  <o:LockedField>false</o:LockedField>
                </o:OLEObject>
              </w:object>
            </w:r>
            <w:r>
              <w:rPr>
                <w:rFonts w:cs="Times New Roman"/>
              </w:rPr>
              <w:t>，距离加倍衰减3dB左右，类似线声源衰减特性</w:t>
            </w:r>
            <w:r>
              <w:rPr>
                <w:rFonts w:cs="Times New Roman"/>
                <w:position w:val="-12"/>
              </w:rPr>
              <w:object>
                <v:shape id="_x0000_i1072" o:spt="75" type="#_x0000_t75" style="height:18pt;width:84.75pt;" o:ole="t" filled="f" o:preferrelative="t" stroked="f" coordsize="21600,21600">
                  <v:path/>
                  <v:fill on="f" focussize="0,0"/>
                  <v:stroke on="f" joinstyle="miter"/>
                  <v:imagedata r:id="rId96" o:title=""/>
                  <o:lock v:ext="edit" aspectratio="t"/>
                  <w10:wrap type="none"/>
                  <w10:anchorlock/>
                </v:shape>
                <o:OLEObject Type="Embed" ProgID="Equation.3" ShapeID="_x0000_i1072" DrawAspect="Content" ObjectID="_1468075772" r:id="rId95">
                  <o:LockedField>false</o:LockedField>
                </o:OLEObject>
              </w:object>
            </w:r>
            <w:r>
              <w:rPr>
                <w:rFonts w:cs="Times New Roman"/>
              </w:rPr>
              <w:t>；</w:t>
            </w:r>
          </w:p>
          <w:p>
            <w:pPr>
              <w:ind w:firstLine="480" w:firstLineChars="200"/>
              <w:rPr>
                <w:rFonts w:cs="Times New Roman"/>
              </w:rPr>
            </w:pPr>
            <w:r>
              <w:rPr>
                <w:rFonts w:hint="eastAsia" w:ascii="宋体" w:hAnsi="宋体" w:eastAsia="宋体" w:cs="宋体"/>
              </w:rPr>
              <w:t>③</w:t>
            </w:r>
            <w:r>
              <w:rPr>
                <w:rFonts w:cs="Times New Roman"/>
                <w:position w:val="-6"/>
              </w:rPr>
              <w:object>
                <v:shape id="_x0000_i1073" o:spt="75" type="#_x0000_t75" style="height:14.25pt;width:40.5pt;" o:ole="t" filled="f" o:preferrelative="t" stroked="f" coordsize="21600,21600">
                  <v:path/>
                  <v:fill on="f" focussize="0,0"/>
                  <v:stroke on="f" joinstyle="miter"/>
                  <v:imagedata r:id="rId98" o:title=""/>
                  <o:lock v:ext="edit" aspectratio="t"/>
                  <w10:wrap type="none"/>
                  <w10:anchorlock/>
                </v:shape>
                <o:OLEObject Type="Embed" ProgID="Equation.3" ShapeID="_x0000_i1073" DrawAspect="Content" ObjectID="_1468075773" r:id="rId97">
                  <o:LockedField>false</o:LockedField>
                </o:OLEObject>
              </w:object>
            </w:r>
            <w:r>
              <w:rPr>
                <w:rFonts w:cs="Times New Roman"/>
              </w:rPr>
              <w:t>时，距离加倍衰减趋近于6dB，类似点声源衰减特性</w:t>
            </w:r>
            <w:r>
              <w:rPr>
                <w:rFonts w:cs="Times New Roman"/>
                <w:position w:val="-12"/>
              </w:rPr>
              <w:object>
                <v:shape id="_x0000_i1074" o:spt="75" type="#_x0000_t75" style="height:18pt;width:86.25pt;" o:ole="t" filled="f" o:preferrelative="t" stroked="f" coordsize="21600,21600">
                  <v:path/>
                  <v:fill on="f" focussize="0,0"/>
                  <v:stroke on="f" joinstyle="miter"/>
                  <v:imagedata r:id="rId100" o:title=""/>
                  <o:lock v:ext="edit" aspectratio="t"/>
                  <w10:wrap type="none"/>
                  <w10:anchorlock/>
                </v:shape>
                <o:OLEObject Type="Embed" ProgID="Equation.3" ShapeID="_x0000_i1074" DrawAspect="Content" ObjectID="_1468075774" r:id="rId99">
                  <o:LockedField>false</o:LockedField>
                </o:OLEObject>
              </w:object>
            </w:r>
            <w:r>
              <w:rPr>
                <w:rFonts w:cs="Times New Roman"/>
              </w:rPr>
              <w:t>。其中面声源的</w:t>
            </w:r>
            <w:r>
              <w:rPr>
                <w:rFonts w:cs="Times New Roman"/>
                <w:position w:val="-6"/>
              </w:rPr>
              <w:object>
                <v:shape id="_x0000_i1075" o:spt="75" type="#_x0000_t75" style="height:14.25pt;width:27.75pt;" o:ole="t" filled="f" o:preferrelative="t" stroked="f" coordsize="21600,21600">
                  <v:path/>
                  <v:fill on="f" focussize="0,0"/>
                  <v:stroke on="f" joinstyle="miter"/>
                  <v:imagedata r:id="rId102" o:title=""/>
                  <o:lock v:ext="edit" aspectratio="t"/>
                  <w10:wrap type="none"/>
                  <w10:anchorlock/>
                </v:shape>
                <o:OLEObject Type="Embed" ProgID="Equation.3" ShapeID="_x0000_i1075" DrawAspect="Content" ObjectID="_1468075775" r:id="rId101">
                  <o:LockedField>false</o:LockedField>
                </o:OLEObject>
              </w:object>
            </w:r>
            <w:r>
              <w:rPr>
                <w:rFonts w:cs="Times New Roman"/>
              </w:rPr>
              <w:t>。</w:t>
            </w:r>
          </w:p>
          <w:p>
            <w:pPr>
              <w:ind w:firstLine="480" w:firstLineChars="200"/>
              <w:rPr>
                <w:rFonts w:cs="Times New Roman"/>
              </w:rPr>
            </w:pPr>
            <w:r>
              <w:rPr>
                <w:rFonts w:cs="Times New Roman"/>
              </w:rPr>
              <w:t>经调查，本项目工业企业噪声源强调查清单（室内）见下表：</w:t>
            </w: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ind w:firstLine="480" w:firstLineChars="200"/>
              <w:rPr>
                <w:rFonts w:cs="Times New Roman"/>
              </w:rPr>
            </w:pPr>
          </w:p>
        </w:tc>
      </w:tr>
    </w:tbl>
    <w:p>
      <w:pPr>
        <w:rPr>
          <w:rFonts w:cs="Times New Roman"/>
        </w:rPr>
        <w:sectPr>
          <w:pgSz w:w="11907" w:h="16840"/>
          <w:pgMar w:top="1440" w:right="1080" w:bottom="1440" w:left="1080" w:header="850" w:footer="851" w:gutter="0"/>
          <w:pgNumType w:fmt="numberInDash"/>
          <w:cols w:space="720" w:num="1"/>
          <w:docGrid w:linePitch="312" w:charSpace="0"/>
        </w:sectPr>
      </w:pPr>
    </w:p>
    <w:tbl>
      <w:tblPr>
        <w:tblStyle w:val="18"/>
        <w:tblW w:w="520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4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70" w:type="pct"/>
            <w:tcMar>
              <w:left w:w="28" w:type="dxa"/>
              <w:right w:w="28" w:type="dxa"/>
            </w:tcMar>
            <w:vAlign w:val="center"/>
          </w:tcPr>
          <w:p>
            <w:pPr>
              <w:adjustRightInd w:val="0"/>
              <w:snapToGrid w:val="0"/>
              <w:spacing w:line="240" w:lineRule="auto"/>
              <w:jc w:val="center"/>
              <w:rPr>
                <w:rFonts w:cs="Times New Roman"/>
                <w:kern w:val="21"/>
                <w:szCs w:val="24"/>
              </w:rPr>
            </w:pPr>
            <w:r>
              <w:rPr>
                <w:rFonts w:cs="Times New Roman"/>
                <w:kern w:val="21"/>
                <w:szCs w:val="24"/>
              </w:rPr>
              <w:t>运营</w:t>
            </w:r>
          </w:p>
          <w:p>
            <w:pPr>
              <w:adjustRightInd w:val="0"/>
              <w:snapToGrid w:val="0"/>
              <w:spacing w:line="240" w:lineRule="auto"/>
              <w:jc w:val="center"/>
              <w:rPr>
                <w:rFonts w:cs="Times New Roman"/>
                <w:kern w:val="21"/>
                <w:szCs w:val="24"/>
              </w:rPr>
            </w:pPr>
            <w:r>
              <w:rPr>
                <w:rFonts w:cs="Times New Roman"/>
                <w:kern w:val="21"/>
                <w:szCs w:val="24"/>
              </w:rPr>
              <w:t>期环</w:t>
            </w:r>
          </w:p>
          <w:p>
            <w:pPr>
              <w:adjustRightInd w:val="0"/>
              <w:snapToGrid w:val="0"/>
              <w:spacing w:line="240" w:lineRule="auto"/>
              <w:jc w:val="center"/>
              <w:rPr>
                <w:rFonts w:cs="Times New Roman"/>
                <w:kern w:val="21"/>
                <w:szCs w:val="24"/>
              </w:rPr>
            </w:pPr>
            <w:r>
              <w:rPr>
                <w:rFonts w:cs="Times New Roman"/>
                <w:kern w:val="21"/>
                <w:szCs w:val="24"/>
              </w:rPr>
              <w:t>境影</w:t>
            </w:r>
          </w:p>
          <w:p>
            <w:pPr>
              <w:adjustRightInd w:val="0"/>
              <w:snapToGrid w:val="0"/>
              <w:spacing w:line="240" w:lineRule="auto"/>
              <w:jc w:val="center"/>
              <w:rPr>
                <w:rFonts w:cs="Times New Roman"/>
                <w:kern w:val="21"/>
                <w:szCs w:val="24"/>
              </w:rPr>
            </w:pPr>
            <w:r>
              <w:rPr>
                <w:rFonts w:cs="Times New Roman"/>
                <w:kern w:val="21"/>
                <w:szCs w:val="24"/>
              </w:rPr>
              <w:t>响和</w:t>
            </w:r>
          </w:p>
          <w:p>
            <w:pPr>
              <w:adjustRightInd w:val="0"/>
              <w:snapToGrid w:val="0"/>
              <w:spacing w:line="240" w:lineRule="auto"/>
              <w:jc w:val="center"/>
              <w:rPr>
                <w:rFonts w:cs="Times New Roman"/>
                <w:kern w:val="21"/>
                <w:szCs w:val="24"/>
              </w:rPr>
            </w:pPr>
            <w:r>
              <w:rPr>
                <w:rFonts w:cs="Times New Roman"/>
                <w:kern w:val="21"/>
                <w:szCs w:val="24"/>
              </w:rPr>
              <w:t>保护</w:t>
            </w:r>
          </w:p>
          <w:p>
            <w:pPr>
              <w:adjustRightInd w:val="0"/>
              <w:snapToGrid w:val="0"/>
              <w:spacing w:line="240" w:lineRule="auto"/>
              <w:jc w:val="center"/>
              <w:rPr>
                <w:rFonts w:cs="Times New Roman"/>
                <w:b/>
              </w:rPr>
            </w:pPr>
            <w:r>
              <w:rPr>
                <w:rFonts w:cs="Times New Roman"/>
                <w:kern w:val="21"/>
                <w:szCs w:val="24"/>
              </w:rPr>
              <w:t>措施</w:t>
            </w:r>
          </w:p>
        </w:tc>
        <w:tc>
          <w:tcPr>
            <w:tcW w:w="4829" w:type="pct"/>
            <w:shd w:val="clear" w:color="auto" w:fill="auto"/>
          </w:tcPr>
          <w:tbl>
            <w:tblPr>
              <w:tblStyle w:val="18"/>
              <w:tblpPr w:leftFromText="180" w:rightFromText="180" w:vertAnchor="text" w:horzAnchor="margin" w:tblpY="441"/>
              <w:tblOverlap w:val="never"/>
              <w:tblW w:w="5000"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554"/>
              <w:gridCol w:w="554"/>
              <w:gridCol w:w="813"/>
              <w:gridCol w:w="556"/>
              <w:gridCol w:w="520"/>
              <w:gridCol w:w="587"/>
              <w:gridCol w:w="472"/>
              <w:gridCol w:w="520"/>
              <w:gridCol w:w="520"/>
              <w:gridCol w:w="520"/>
              <w:gridCol w:w="528"/>
              <w:gridCol w:w="520"/>
              <w:gridCol w:w="520"/>
              <w:gridCol w:w="520"/>
              <w:gridCol w:w="528"/>
              <w:gridCol w:w="553"/>
              <w:gridCol w:w="520"/>
              <w:gridCol w:w="520"/>
              <w:gridCol w:w="520"/>
              <w:gridCol w:w="528"/>
              <w:gridCol w:w="522"/>
              <w:gridCol w:w="522"/>
              <w:gridCol w:w="522"/>
              <w:gridCol w:w="522"/>
              <w:gridCol w:w="45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98" w:type="pct"/>
                  <w:vMerge w:val="restart"/>
                  <w:tcBorders>
                    <w:tl2br w:val="nil"/>
                    <w:tr2bl w:val="nil"/>
                  </w:tcBorders>
                  <w:shd w:val="clear" w:color="auto" w:fill="auto"/>
                  <w:vAlign w:val="center"/>
                </w:tcPr>
                <w:p>
                  <w:pPr>
                    <w:pStyle w:val="43"/>
                    <w:rPr>
                      <w:rFonts w:cs="Times New Roman"/>
                      <w:szCs w:val="21"/>
                    </w:rPr>
                  </w:pPr>
                  <w:bookmarkStart w:id="9" w:name="PT_6"/>
                  <w:r>
                    <w:rPr>
                      <w:rFonts w:cs="Times New Roman"/>
                      <w:szCs w:val="21"/>
                    </w:rPr>
                    <w:t>序号</w:t>
                  </w:r>
                </w:p>
              </w:tc>
              <w:tc>
                <w:tcPr>
                  <w:tcW w:w="198" w:type="pct"/>
                  <w:vMerge w:val="restart"/>
                  <w:tcBorders>
                    <w:tl2br w:val="nil"/>
                    <w:tr2bl w:val="nil"/>
                  </w:tcBorders>
                  <w:shd w:val="clear" w:color="auto" w:fill="auto"/>
                  <w:vAlign w:val="center"/>
                </w:tcPr>
                <w:p>
                  <w:pPr>
                    <w:pStyle w:val="43"/>
                    <w:rPr>
                      <w:rFonts w:cs="Times New Roman"/>
                      <w:szCs w:val="21"/>
                    </w:rPr>
                  </w:pPr>
                  <w:r>
                    <w:rPr>
                      <w:rFonts w:cs="Times New Roman"/>
                      <w:szCs w:val="21"/>
                    </w:rPr>
                    <w:t>建筑物名称</w:t>
                  </w:r>
                </w:p>
              </w:tc>
              <w:tc>
                <w:tcPr>
                  <w:tcW w:w="198" w:type="pct"/>
                  <w:vMerge w:val="restart"/>
                  <w:tcBorders>
                    <w:tl2br w:val="nil"/>
                    <w:tr2bl w:val="nil"/>
                  </w:tcBorders>
                  <w:shd w:val="clear" w:color="auto" w:fill="auto"/>
                  <w:vAlign w:val="center"/>
                </w:tcPr>
                <w:p>
                  <w:pPr>
                    <w:pStyle w:val="43"/>
                    <w:rPr>
                      <w:rFonts w:cs="Times New Roman"/>
                      <w:szCs w:val="21"/>
                    </w:rPr>
                  </w:pPr>
                  <w:r>
                    <w:rPr>
                      <w:rFonts w:cs="Times New Roman"/>
                      <w:szCs w:val="21"/>
                    </w:rPr>
                    <w:t>声源名称</w:t>
                  </w:r>
                </w:p>
              </w:tc>
              <w:tc>
                <w:tcPr>
                  <w:tcW w:w="291" w:type="pct"/>
                  <w:tcBorders>
                    <w:tl2br w:val="nil"/>
                    <w:tr2bl w:val="nil"/>
                  </w:tcBorders>
                  <w:shd w:val="clear" w:color="auto" w:fill="auto"/>
                  <w:vAlign w:val="center"/>
                </w:tcPr>
                <w:p>
                  <w:pPr>
                    <w:pStyle w:val="43"/>
                    <w:rPr>
                      <w:rFonts w:cs="Times New Roman"/>
                      <w:szCs w:val="21"/>
                    </w:rPr>
                  </w:pPr>
                  <w:r>
                    <w:rPr>
                      <w:rFonts w:cs="Times New Roman"/>
                      <w:szCs w:val="21"/>
                    </w:rPr>
                    <w:t>声源源强</w:t>
                  </w:r>
                </w:p>
              </w:tc>
              <w:tc>
                <w:tcPr>
                  <w:tcW w:w="199" w:type="pct"/>
                  <w:vMerge w:val="restart"/>
                  <w:tcBorders>
                    <w:tl2br w:val="nil"/>
                    <w:tr2bl w:val="nil"/>
                  </w:tcBorders>
                  <w:shd w:val="clear" w:color="auto" w:fill="auto"/>
                  <w:vAlign w:val="center"/>
                </w:tcPr>
                <w:p>
                  <w:pPr>
                    <w:pStyle w:val="43"/>
                    <w:rPr>
                      <w:rFonts w:cs="Times New Roman"/>
                      <w:szCs w:val="21"/>
                    </w:rPr>
                  </w:pPr>
                  <w:r>
                    <w:rPr>
                      <w:rFonts w:cs="Times New Roman"/>
                      <w:szCs w:val="21"/>
                    </w:rPr>
                    <w:t>声源控制措施</w:t>
                  </w:r>
                </w:p>
              </w:tc>
              <w:tc>
                <w:tcPr>
                  <w:tcW w:w="565" w:type="pct"/>
                  <w:gridSpan w:val="3"/>
                  <w:tcBorders>
                    <w:tl2br w:val="nil"/>
                    <w:tr2bl w:val="nil"/>
                  </w:tcBorders>
                  <w:shd w:val="clear" w:color="auto" w:fill="auto"/>
                  <w:vAlign w:val="center"/>
                </w:tcPr>
                <w:p>
                  <w:pPr>
                    <w:pStyle w:val="43"/>
                    <w:rPr>
                      <w:rFonts w:cs="Times New Roman"/>
                      <w:szCs w:val="21"/>
                    </w:rPr>
                  </w:pPr>
                  <w:r>
                    <w:rPr>
                      <w:rFonts w:cs="Times New Roman"/>
                      <w:szCs w:val="21"/>
                    </w:rPr>
                    <w:t>空间相对位置/m</w:t>
                  </w:r>
                </w:p>
              </w:tc>
              <w:tc>
                <w:tcPr>
                  <w:tcW w:w="747" w:type="pct"/>
                  <w:gridSpan w:val="4"/>
                  <w:tcBorders>
                    <w:tl2br w:val="nil"/>
                    <w:tr2bl w:val="nil"/>
                  </w:tcBorders>
                  <w:shd w:val="clear" w:color="auto" w:fill="auto"/>
                  <w:vAlign w:val="center"/>
                </w:tcPr>
                <w:p>
                  <w:pPr>
                    <w:pStyle w:val="43"/>
                    <w:rPr>
                      <w:rFonts w:cs="Times New Roman"/>
                      <w:szCs w:val="21"/>
                    </w:rPr>
                  </w:pPr>
                  <w:r>
                    <w:rPr>
                      <w:rFonts w:cs="Times New Roman"/>
                      <w:szCs w:val="21"/>
                    </w:rPr>
                    <w:t>距室内边界距离/m</w:t>
                  </w:r>
                </w:p>
              </w:tc>
              <w:tc>
                <w:tcPr>
                  <w:tcW w:w="747" w:type="pct"/>
                  <w:gridSpan w:val="4"/>
                  <w:tcBorders>
                    <w:tl2br w:val="nil"/>
                    <w:tr2bl w:val="nil"/>
                  </w:tcBorders>
                  <w:shd w:val="clear" w:color="auto" w:fill="auto"/>
                  <w:vAlign w:val="center"/>
                </w:tcPr>
                <w:p>
                  <w:pPr>
                    <w:pStyle w:val="43"/>
                    <w:rPr>
                      <w:rFonts w:cs="Times New Roman"/>
                      <w:szCs w:val="21"/>
                    </w:rPr>
                  </w:pPr>
                  <w:r>
                    <w:rPr>
                      <w:rFonts w:cs="Times New Roman"/>
                      <w:szCs w:val="21"/>
                    </w:rPr>
                    <w:t>室内边界声级/dB(A)</w:t>
                  </w:r>
                </w:p>
              </w:tc>
              <w:tc>
                <w:tcPr>
                  <w:tcW w:w="198" w:type="pct"/>
                  <w:vMerge w:val="restart"/>
                  <w:tcBorders>
                    <w:tl2br w:val="nil"/>
                    <w:tr2bl w:val="nil"/>
                  </w:tcBorders>
                  <w:shd w:val="clear" w:color="auto" w:fill="auto"/>
                  <w:vAlign w:val="center"/>
                </w:tcPr>
                <w:p>
                  <w:pPr>
                    <w:pStyle w:val="43"/>
                    <w:rPr>
                      <w:rFonts w:cs="Times New Roman"/>
                      <w:szCs w:val="21"/>
                    </w:rPr>
                  </w:pPr>
                  <w:r>
                    <w:rPr>
                      <w:rFonts w:cs="Times New Roman"/>
                      <w:szCs w:val="21"/>
                    </w:rPr>
                    <w:t>运行时段</w:t>
                  </w:r>
                </w:p>
              </w:tc>
              <w:tc>
                <w:tcPr>
                  <w:tcW w:w="747" w:type="pct"/>
                  <w:gridSpan w:val="4"/>
                  <w:tcBorders>
                    <w:tl2br w:val="nil"/>
                    <w:tr2bl w:val="nil"/>
                  </w:tcBorders>
                  <w:shd w:val="clear" w:color="auto" w:fill="auto"/>
                  <w:vAlign w:val="center"/>
                </w:tcPr>
                <w:p>
                  <w:pPr>
                    <w:pStyle w:val="43"/>
                    <w:rPr>
                      <w:rFonts w:cs="Times New Roman"/>
                      <w:szCs w:val="21"/>
                    </w:rPr>
                  </w:pPr>
                  <w:r>
                    <w:rPr>
                      <w:rFonts w:cs="Times New Roman"/>
                      <w:szCs w:val="21"/>
                    </w:rPr>
                    <w:t>建筑物插入损失 / dB(A)</w:t>
                  </w:r>
                  <w:bookmarkStart w:id="10" w:name="PT_10"/>
                  <w:bookmarkEnd w:id="10"/>
                </w:p>
              </w:tc>
              <w:tc>
                <w:tcPr>
                  <w:tcW w:w="910" w:type="pct"/>
                  <w:gridSpan w:val="5"/>
                  <w:tcBorders>
                    <w:tl2br w:val="nil"/>
                    <w:tr2bl w:val="nil"/>
                  </w:tcBorders>
                  <w:shd w:val="clear" w:color="auto" w:fill="auto"/>
                  <w:vAlign w:val="center"/>
                </w:tcPr>
                <w:p>
                  <w:pPr>
                    <w:pStyle w:val="43"/>
                    <w:rPr>
                      <w:rFonts w:cs="Times New Roman"/>
                      <w:szCs w:val="21"/>
                    </w:rPr>
                  </w:pPr>
                  <w:r>
                    <w:rPr>
                      <w:rFonts w:cs="Times New Roman"/>
                      <w:szCs w:val="21"/>
                    </w:rPr>
                    <w:t>建筑物外噪声声压级/dB(A)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p>
              </w:tc>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p>
              </w:tc>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声功率级/dB(A)</w:t>
                  </w:r>
                </w:p>
              </w:tc>
              <w:tc>
                <w:tcPr>
                  <w:tcW w:w="199"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X</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Y</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Z</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东</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南</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西</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北</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东</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南</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西</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北</w:t>
                  </w:r>
                </w:p>
              </w:tc>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东</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南</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西</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北</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东</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南</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西</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北</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szCs w:val="21"/>
                    </w:rPr>
                  </w:pPr>
                  <w:r>
                    <w:rPr>
                      <w:rFonts w:cs="Times New Roman"/>
                      <w:szCs w:val="21"/>
                    </w:rPr>
                    <w:t>建筑物外距离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w:t>
                  </w:r>
                </w:p>
              </w:tc>
              <w:tc>
                <w:tcPr>
                  <w:tcW w:w="198" w:type="pct"/>
                  <w:vMerge w:val="restar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新建密闭生产车间</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搅拌机</w:t>
                  </w: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90</w:t>
                  </w:r>
                </w:p>
              </w:tc>
              <w:tc>
                <w:tcPr>
                  <w:tcW w:w="199" w:type="pct"/>
                  <w:vMerge w:val="restar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基础减震、厂房隔声</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36.5</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-34.7</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10.8</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12.9</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68.0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37.3</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73.5</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73.5</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73.4</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73.4</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45.5</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45.5</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45.4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45.4</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w:t>
                  </w:r>
                </w:p>
              </w:tc>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环保风机</w:t>
                  </w: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85</w:t>
                  </w:r>
                </w:p>
              </w:tc>
              <w:tc>
                <w:tcPr>
                  <w:tcW w:w="199"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30.1</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-39.4</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18.0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9.7</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60.0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42.1</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68.4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68.5</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68.4</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68.4</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40.4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40.5</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40.4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40.4</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w:t>
                  </w:r>
                </w:p>
              </w:tc>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水泵</w:t>
                  </w:r>
                  <w:r>
                    <w:rPr>
                      <w:rFonts w:hint="eastAsia" w:cs="Times New Roman"/>
                      <w:b w:val="0"/>
                      <w:bCs/>
                      <w:szCs w:val="21"/>
                    </w:rPr>
                    <w:t>1</w:t>
                  </w: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80</w:t>
                  </w:r>
                </w:p>
              </w:tc>
              <w:tc>
                <w:tcPr>
                  <w:tcW w:w="199"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14.1</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-1.4</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26.2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50.2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68.3</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4.2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63.4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63.4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63.4</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64.2</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28.0</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35.4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35.4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35.4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36.2</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w:t>
                  </w:r>
                </w:p>
              </w:tc>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水泵2</w:t>
                  </w: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80</w:t>
                  </w:r>
                </w:p>
              </w:tc>
              <w:tc>
                <w:tcPr>
                  <w:tcW w:w="199"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20.2</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-42.8</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28.3</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8.4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49.9</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45.5</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63.4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63.6</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63.4</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63.4</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37.4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37.6</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37.4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37.4</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5</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沥青罐区</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沥青泵</w:t>
                  </w: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85</w:t>
                  </w:r>
                </w:p>
              </w:tc>
              <w:tc>
                <w:tcPr>
                  <w:tcW w:w="199"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-8.4</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55.7</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16.2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8.6</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12.3</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13.9</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72.9</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72.9</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72.9</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72.9</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46.9</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46.9</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46.9</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46.9</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6</w:t>
                  </w:r>
                </w:p>
              </w:tc>
              <w:tc>
                <w:tcPr>
                  <w:tcW w:w="198" w:type="pct"/>
                  <w:vMerge w:val="restar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新建密闭生产车间</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空压机</w:t>
                  </w: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90</w:t>
                  </w:r>
                </w:p>
              </w:tc>
              <w:tc>
                <w:tcPr>
                  <w:tcW w:w="199"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24.2</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-34</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22.7</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16.2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58.2</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36.7</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73.4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73.4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73.4</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73.4</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47.4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47.4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47.4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47.4</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w:t>
                  </w:r>
                </w:p>
              </w:tc>
              <w:tc>
                <w:tcPr>
                  <w:tcW w:w="198" w:type="pct"/>
                  <w:vMerge w:val="continue"/>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铲车</w:t>
                  </w:r>
                </w:p>
              </w:tc>
              <w:tc>
                <w:tcPr>
                  <w:tcW w:w="291"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95</w:t>
                  </w:r>
                </w:p>
              </w:tc>
              <w:tc>
                <w:tcPr>
                  <w:tcW w:w="19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cs="Times New Roman"/>
                      <w:b w:val="0"/>
                      <w:bCs/>
                      <w:szCs w:val="21"/>
                    </w:rPr>
                    <w:t>厂房隔声</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-3.5</w:t>
                  </w:r>
                </w:p>
              </w:tc>
              <w:tc>
                <w:tcPr>
                  <w:tcW w:w="210"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-23.6</w:t>
                  </w:r>
                </w:p>
              </w:tc>
              <w:tc>
                <w:tcPr>
                  <w:tcW w:w="16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47.8</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32.2</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41.2</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22.5</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78.4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78.4</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78.4</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78.4</w:t>
                  </w:r>
                </w:p>
              </w:tc>
              <w:tc>
                <w:tcPr>
                  <w:tcW w:w="198"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6"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9"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26.0</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52.4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52.4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52.4</w:t>
                  </w:r>
                </w:p>
              </w:tc>
              <w:tc>
                <w:tcPr>
                  <w:tcW w:w="187"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52.4</w:t>
                  </w:r>
                </w:p>
              </w:tc>
              <w:tc>
                <w:tcPr>
                  <w:tcW w:w="162" w:type="pct"/>
                  <w:tcBorders>
                    <w:tl2br w:val="nil"/>
                    <w:tr2bl w:val="nil"/>
                  </w:tcBorders>
                  <w:shd w:val="clear" w:color="auto" w:fill="auto"/>
                  <w:tcMar>
                    <w:top w:w="0" w:type="dxa"/>
                    <w:left w:w="0" w:type="dxa"/>
                    <w:bottom w:w="0" w:type="dxa"/>
                    <w:right w:w="0" w:type="dxa"/>
                  </w:tcMar>
                  <w:vAlign w:val="center"/>
                </w:tcPr>
                <w:p>
                  <w:pPr>
                    <w:pStyle w:val="43"/>
                    <w:rPr>
                      <w:rFonts w:cs="Times New Roman"/>
                      <w:b w:val="0"/>
                      <w:bCs/>
                      <w:szCs w:val="21"/>
                    </w:rPr>
                  </w:pPr>
                  <w:r>
                    <w:rPr>
                      <w:rFonts w:hint="eastAsia" w:cs="Times New Roman"/>
                      <w:b w:val="0"/>
                      <w:bCs/>
                      <w:szCs w:val="21"/>
                    </w:rPr>
                    <w:t>1</w:t>
                  </w:r>
                </w:p>
              </w:tc>
            </w:tr>
            <w:bookmarkEnd w:id="9"/>
          </w:tbl>
          <w:p>
            <w:pPr>
              <w:pStyle w:val="43"/>
              <w:spacing w:after="120" w:afterLines="50"/>
              <w:rPr>
                <w:rFonts w:cs="Times New Roman"/>
              </w:rPr>
            </w:pPr>
            <w:r>
              <w:rPr>
                <w:rFonts w:cs="Times New Roman"/>
              </w:rPr>
              <w:t>表4-3 工业企业噪声源强调查清单（室内）</w:t>
            </w:r>
          </w:p>
          <w:p>
            <w:pPr>
              <w:pStyle w:val="43"/>
              <w:jc w:val="left"/>
              <w:rPr>
                <w:rFonts w:cs="Times New Roman"/>
              </w:rPr>
            </w:pPr>
            <w:r>
              <w:rPr>
                <w:rFonts w:cs="Times New Roman"/>
              </w:rPr>
              <w:t>注：表中坐标以厂界中心（109.592842，34.646076）为坐标原点，正东向为X轴正方向，正北向为Y轴正方向。</w:t>
            </w:r>
          </w:p>
          <w:p>
            <w:pPr>
              <w:spacing w:before="120" w:beforeLines="50"/>
              <w:ind w:firstLine="480" w:firstLineChars="200"/>
              <w:rPr>
                <w:rFonts w:cs="Times New Roman"/>
                <w:position w:val="-6"/>
              </w:rPr>
            </w:pPr>
            <w:r>
              <w:rPr>
                <w:rFonts w:cs="Times New Roman"/>
                <w:position w:val="-6"/>
              </w:rPr>
              <w:t>通过预测模型计算，项目厂界噪声预测结果与达标分析见表4-4。</w:t>
            </w:r>
          </w:p>
          <w:p>
            <w:pPr>
              <w:pStyle w:val="43"/>
              <w:spacing w:after="120" w:afterLines="50"/>
              <w:rPr>
                <w:rFonts w:cs="Times New Roman"/>
              </w:rPr>
            </w:pPr>
            <w:r>
              <w:rPr>
                <w:rFonts w:cs="Times New Roman"/>
              </w:rPr>
              <w:t>表4-4 厂界噪声预测结果与达标分析表</w:t>
            </w:r>
          </w:p>
          <w:tbl>
            <w:tblPr>
              <w:tblStyle w:val="18"/>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316"/>
              <w:gridCol w:w="1316"/>
              <w:gridCol w:w="1316"/>
              <w:gridCol w:w="1626"/>
              <w:gridCol w:w="2321"/>
              <w:gridCol w:w="2324"/>
              <w:gridCol w:w="194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6" w:type="pct"/>
                  <w:vMerge w:val="restart"/>
                  <w:tcBorders>
                    <w:tl2br w:val="nil"/>
                    <w:tr2bl w:val="nil"/>
                  </w:tcBorders>
                  <w:shd w:val="clear" w:color="auto" w:fill="auto"/>
                  <w:vAlign w:val="center"/>
                </w:tcPr>
                <w:p>
                  <w:pPr>
                    <w:pStyle w:val="43"/>
                    <w:rPr>
                      <w:rFonts w:cs="Times New Roman"/>
                    </w:rPr>
                  </w:pPr>
                  <w:r>
                    <w:rPr>
                      <w:rFonts w:cs="Times New Roman"/>
                    </w:rPr>
                    <w:t>预测方位</w:t>
                  </w:r>
                </w:p>
              </w:tc>
              <w:tc>
                <w:tcPr>
                  <w:tcW w:w="1413" w:type="pct"/>
                  <w:gridSpan w:val="3"/>
                  <w:tcBorders>
                    <w:tl2br w:val="nil"/>
                    <w:tr2bl w:val="nil"/>
                  </w:tcBorders>
                  <w:shd w:val="clear" w:color="auto" w:fill="auto"/>
                  <w:vAlign w:val="center"/>
                </w:tcPr>
                <w:p>
                  <w:pPr>
                    <w:pStyle w:val="43"/>
                    <w:rPr>
                      <w:rFonts w:cs="Times New Roman"/>
                    </w:rPr>
                  </w:pPr>
                  <w:r>
                    <w:rPr>
                      <w:rFonts w:cs="Times New Roman"/>
                    </w:rPr>
                    <w:t>最大值点空间相对位置/m</w:t>
                  </w:r>
                </w:p>
              </w:tc>
              <w:tc>
                <w:tcPr>
                  <w:tcW w:w="582" w:type="pct"/>
                  <w:vMerge w:val="restart"/>
                  <w:tcBorders>
                    <w:tl2br w:val="nil"/>
                    <w:tr2bl w:val="nil"/>
                  </w:tcBorders>
                  <w:shd w:val="clear" w:color="auto" w:fill="auto"/>
                  <w:vAlign w:val="center"/>
                </w:tcPr>
                <w:p>
                  <w:pPr>
                    <w:pStyle w:val="43"/>
                    <w:rPr>
                      <w:rFonts w:cs="Times New Roman"/>
                    </w:rPr>
                  </w:pPr>
                  <w:r>
                    <w:rPr>
                      <w:rFonts w:cs="Times New Roman"/>
                    </w:rPr>
                    <w:t>时段</w:t>
                  </w:r>
                </w:p>
              </w:tc>
              <w:tc>
                <w:tcPr>
                  <w:tcW w:w="831" w:type="pct"/>
                  <w:vMerge w:val="restart"/>
                  <w:tcBorders>
                    <w:tl2br w:val="nil"/>
                    <w:tr2bl w:val="nil"/>
                  </w:tcBorders>
                  <w:shd w:val="clear" w:color="auto" w:fill="auto"/>
                  <w:vAlign w:val="center"/>
                </w:tcPr>
                <w:p>
                  <w:pPr>
                    <w:pStyle w:val="43"/>
                    <w:rPr>
                      <w:rFonts w:cs="Times New Roman"/>
                    </w:rPr>
                  </w:pPr>
                  <w:r>
                    <w:rPr>
                      <w:rFonts w:cs="Times New Roman"/>
                    </w:rPr>
                    <w:t>贡献值（dB(A)）</w:t>
                  </w:r>
                </w:p>
              </w:tc>
              <w:tc>
                <w:tcPr>
                  <w:tcW w:w="832" w:type="pct"/>
                  <w:vMerge w:val="restart"/>
                  <w:tcBorders>
                    <w:tl2br w:val="nil"/>
                    <w:tr2bl w:val="nil"/>
                  </w:tcBorders>
                  <w:shd w:val="clear" w:color="auto" w:fill="auto"/>
                  <w:vAlign w:val="center"/>
                </w:tcPr>
                <w:p>
                  <w:pPr>
                    <w:pStyle w:val="43"/>
                    <w:rPr>
                      <w:rFonts w:cs="Times New Roman"/>
                    </w:rPr>
                  </w:pPr>
                  <w:r>
                    <w:rPr>
                      <w:rFonts w:cs="Times New Roman"/>
                    </w:rPr>
                    <w:t>标准限值（dB(A)）</w:t>
                  </w:r>
                </w:p>
              </w:tc>
              <w:tc>
                <w:tcPr>
                  <w:tcW w:w="696" w:type="pct"/>
                  <w:vMerge w:val="restart"/>
                  <w:tcBorders>
                    <w:tl2br w:val="nil"/>
                    <w:tr2bl w:val="nil"/>
                  </w:tcBorders>
                  <w:shd w:val="clear" w:color="auto" w:fill="auto"/>
                  <w:vAlign w:val="center"/>
                </w:tcPr>
                <w:p>
                  <w:pPr>
                    <w:pStyle w:val="43"/>
                    <w:rPr>
                      <w:rFonts w:cs="Times New Roman"/>
                    </w:rPr>
                  </w:pPr>
                  <w:r>
                    <w:rPr>
                      <w:rFonts w:cs="Times New Roman"/>
                    </w:rPr>
                    <w:t>达标情况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6" w:type="pct"/>
                  <w:vMerge w:val="continue"/>
                  <w:tcBorders>
                    <w:tl2br w:val="nil"/>
                    <w:tr2bl w:val="nil"/>
                  </w:tcBorders>
                  <w:shd w:val="clear" w:color="auto" w:fill="auto"/>
                  <w:vAlign w:val="center"/>
                </w:tcPr>
                <w:p>
                  <w:pPr>
                    <w:pStyle w:val="43"/>
                    <w:rPr>
                      <w:rFonts w:cs="Times New Roman"/>
                      <w:b w:val="0"/>
                      <w:bCs/>
                    </w:rPr>
                  </w:pPr>
                </w:p>
              </w:tc>
              <w:tc>
                <w:tcPr>
                  <w:tcW w:w="471" w:type="pct"/>
                  <w:tcBorders>
                    <w:tl2br w:val="nil"/>
                    <w:tr2bl w:val="nil"/>
                  </w:tcBorders>
                  <w:shd w:val="clear" w:color="auto" w:fill="auto"/>
                  <w:vAlign w:val="center"/>
                </w:tcPr>
                <w:p>
                  <w:pPr>
                    <w:pStyle w:val="43"/>
                    <w:rPr>
                      <w:rFonts w:cs="Times New Roman"/>
                    </w:rPr>
                  </w:pPr>
                  <w:r>
                    <w:rPr>
                      <w:rFonts w:cs="Times New Roman"/>
                    </w:rPr>
                    <w:t>X</w:t>
                  </w:r>
                </w:p>
              </w:tc>
              <w:tc>
                <w:tcPr>
                  <w:tcW w:w="471" w:type="pct"/>
                  <w:tcBorders>
                    <w:tl2br w:val="nil"/>
                    <w:tr2bl w:val="nil"/>
                  </w:tcBorders>
                  <w:shd w:val="clear" w:color="auto" w:fill="auto"/>
                  <w:vAlign w:val="center"/>
                </w:tcPr>
                <w:p>
                  <w:pPr>
                    <w:pStyle w:val="43"/>
                    <w:rPr>
                      <w:rFonts w:cs="Times New Roman"/>
                    </w:rPr>
                  </w:pPr>
                  <w:r>
                    <w:rPr>
                      <w:rFonts w:cs="Times New Roman"/>
                    </w:rPr>
                    <w:t>Y</w:t>
                  </w:r>
                </w:p>
              </w:tc>
              <w:tc>
                <w:tcPr>
                  <w:tcW w:w="471" w:type="pct"/>
                  <w:tcBorders>
                    <w:tl2br w:val="nil"/>
                    <w:tr2bl w:val="nil"/>
                  </w:tcBorders>
                  <w:shd w:val="clear" w:color="auto" w:fill="auto"/>
                  <w:vAlign w:val="center"/>
                </w:tcPr>
                <w:p>
                  <w:pPr>
                    <w:pStyle w:val="43"/>
                    <w:rPr>
                      <w:rFonts w:cs="Times New Roman"/>
                    </w:rPr>
                  </w:pPr>
                  <w:r>
                    <w:rPr>
                      <w:rFonts w:cs="Times New Roman"/>
                    </w:rPr>
                    <w:t>Z</w:t>
                  </w:r>
                </w:p>
              </w:tc>
              <w:tc>
                <w:tcPr>
                  <w:tcW w:w="582" w:type="pct"/>
                  <w:vMerge w:val="continue"/>
                  <w:tcBorders>
                    <w:tl2br w:val="nil"/>
                    <w:tr2bl w:val="nil"/>
                  </w:tcBorders>
                  <w:shd w:val="clear" w:color="auto" w:fill="auto"/>
                  <w:vAlign w:val="center"/>
                </w:tcPr>
                <w:p>
                  <w:pPr>
                    <w:pStyle w:val="43"/>
                    <w:rPr>
                      <w:rFonts w:cs="Times New Roman"/>
                      <w:b w:val="0"/>
                      <w:bCs/>
                    </w:rPr>
                  </w:pPr>
                </w:p>
              </w:tc>
              <w:tc>
                <w:tcPr>
                  <w:tcW w:w="831" w:type="pct"/>
                  <w:vMerge w:val="continue"/>
                  <w:tcBorders>
                    <w:tl2br w:val="nil"/>
                    <w:tr2bl w:val="nil"/>
                  </w:tcBorders>
                  <w:shd w:val="clear" w:color="auto" w:fill="auto"/>
                  <w:vAlign w:val="center"/>
                </w:tcPr>
                <w:p>
                  <w:pPr>
                    <w:pStyle w:val="43"/>
                    <w:rPr>
                      <w:rFonts w:cs="Times New Roman"/>
                      <w:b w:val="0"/>
                      <w:bCs/>
                    </w:rPr>
                  </w:pPr>
                </w:p>
              </w:tc>
              <w:tc>
                <w:tcPr>
                  <w:tcW w:w="832" w:type="pct"/>
                  <w:vMerge w:val="continue"/>
                  <w:tcBorders>
                    <w:tl2br w:val="nil"/>
                    <w:tr2bl w:val="nil"/>
                  </w:tcBorders>
                  <w:shd w:val="clear" w:color="auto" w:fill="auto"/>
                  <w:vAlign w:val="center"/>
                </w:tcPr>
                <w:p>
                  <w:pPr>
                    <w:pStyle w:val="43"/>
                    <w:rPr>
                      <w:rFonts w:cs="Times New Roman"/>
                      <w:b w:val="0"/>
                      <w:bCs/>
                    </w:rPr>
                  </w:pPr>
                </w:p>
              </w:tc>
              <w:tc>
                <w:tcPr>
                  <w:tcW w:w="696" w:type="pct"/>
                  <w:vMerge w:val="continue"/>
                  <w:tcBorders>
                    <w:tl2br w:val="nil"/>
                    <w:tr2bl w:val="nil"/>
                  </w:tcBorders>
                  <w:shd w:val="clear" w:color="auto" w:fill="auto"/>
                  <w:vAlign w:val="center"/>
                </w:tcPr>
                <w:p>
                  <w:pPr>
                    <w:pStyle w:val="43"/>
                    <w:rPr>
                      <w:rFonts w:cs="Times New Roman"/>
                      <w:b w:val="0"/>
                      <w:bC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PrEx>
              <w:trPr>
                <w:trHeight w:val="340" w:hRule="exact"/>
                <w:jc w:val="center"/>
              </w:trPr>
              <w:tc>
                <w:tcPr>
                  <w:tcW w:w="646" w:type="pct"/>
                  <w:vMerge w:val="restart"/>
                  <w:tcBorders>
                    <w:tl2br w:val="nil"/>
                    <w:tr2bl w:val="nil"/>
                  </w:tcBorders>
                  <w:shd w:val="clear" w:color="auto" w:fill="auto"/>
                  <w:vAlign w:val="center"/>
                </w:tcPr>
                <w:p>
                  <w:pPr>
                    <w:pStyle w:val="43"/>
                    <w:rPr>
                      <w:rFonts w:cs="Times New Roman"/>
                      <w:b w:val="0"/>
                      <w:bCs/>
                    </w:rPr>
                  </w:pPr>
                  <w:r>
                    <w:rPr>
                      <w:rFonts w:cs="Times New Roman"/>
                      <w:b w:val="0"/>
                      <w:bCs/>
                      <w:sz w:val="20"/>
                    </w:rPr>
                    <w:t>东侧</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86</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-20.4</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昼间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38.5</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60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exact"/>
                <w:jc w:val="center"/>
              </w:trPr>
              <w:tc>
                <w:tcPr>
                  <w:tcW w:w="646" w:type="pct"/>
                  <w:vMerge w:val="continue"/>
                  <w:tcBorders>
                    <w:tl2br w:val="nil"/>
                    <w:tr2bl w:val="nil"/>
                  </w:tcBorders>
                  <w:shd w:val="clear" w:color="auto" w:fill="auto"/>
                  <w:vAlign w:val="center"/>
                </w:tcPr>
                <w:p>
                  <w:pPr>
                    <w:pStyle w:val="43"/>
                    <w:rPr>
                      <w:rFonts w:cs="Times New Roman"/>
                      <w:b w:val="0"/>
                      <w:bCs/>
                    </w:rPr>
                  </w:pP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86</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-20.4</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夜间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38.5</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50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PrEx>
              <w:trPr>
                <w:trHeight w:val="340" w:hRule="exact"/>
                <w:jc w:val="center"/>
              </w:trPr>
              <w:tc>
                <w:tcPr>
                  <w:tcW w:w="646" w:type="pct"/>
                  <w:vMerge w:val="restart"/>
                  <w:tcBorders>
                    <w:tl2br w:val="nil"/>
                    <w:tr2bl w:val="nil"/>
                  </w:tcBorders>
                  <w:shd w:val="clear" w:color="auto" w:fill="auto"/>
                  <w:vAlign w:val="center"/>
                </w:tcPr>
                <w:p>
                  <w:pPr>
                    <w:pStyle w:val="43"/>
                    <w:rPr>
                      <w:rFonts w:cs="Times New Roman"/>
                      <w:b w:val="0"/>
                      <w:bCs/>
                    </w:rPr>
                  </w:pPr>
                  <w:r>
                    <w:rPr>
                      <w:rFonts w:cs="Times New Roman"/>
                      <w:b w:val="0"/>
                      <w:bCs/>
                      <w:sz w:val="20"/>
                    </w:rPr>
                    <w:t>南侧</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-42.3</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-50.8</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昼间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44.6</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60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PrEx>
              <w:trPr>
                <w:trHeight w:val="340" w:hRule="exact"/>
                <w:jc w:val="center"/>
              </w:trPr>
              <w:tc>
                <w:tcPr>
                  <w:tcW w:w="646" w:type="pct"/>
                  <w:vMerge w:val="continue"/>
                  <w:tcBorders>
                    <w:tl2br w:val="nil"/>
                    <w:tr2bl w:val="nil"/>
                  </w:tcBorders>
                  <w:shd w:val="clear" w:color="auto" w:fill="auto"/>
                  <w:vAlign w:val="center"/>
                </w:tcPr>
                <w:p>
                  <w:pPr>
                    <w:pStyle w:val="43"/>
                    <w:rPr>
                      <w:rFonts w:cs="Times New Roman"/>
                      <w:b w:val="0"/>
                      <w:bCs/>
                    </w:rPr>
                  </w:pP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-42.3</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-50.8</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夜间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44.6</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50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PrEx>
              <w:trPr>
                <w:trHeight w:val="340" w:hRule="exact"/>
                <w:jc w:val="center"/>
              </w:trPr>
              <w:tc>
                <w:tcPr>
                  <w:tcW w:w="646" w:type="pct"/>
                  <w:vMerge w:val="restart"/>
                  <w:tcBorders>
                    <w:tl2br w:val="nil"/>
                    <w:tr2bl w:val="nil"/>
                  </w:tcBorders>
                  <w:shd w:val="clear" w:color="auto" w:fill="auto"/>
                  <w:vAlign w:val="center"/>
                </w:tcPr>
                <w:p>
                  <w:pPr>
                    <w:pStyle w:val="43"/>
                    <w:rPr>
                      <w:rFonts w:cs="Times New Roman"/>
                      <w:b w:val="0"/>
                      <w:bCs/>
                      <w:sz w:val="20"/>
                    </w:rPr>
                  </w:pPr>
                  <w:r>
                    <w:rPr>
                      <w:rFonts w:cs="Times New Roman"/>
                      <w:b w:val="0"/>
                      <w:bCs/>
                      <w:sz w:val="20"/>
                    </w:rPr>
                    <w:t>西侧</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-47.6</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-43.6</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昼间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44.3</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60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PrEx>
              <w:trPr>
                <w:trHeight w:val="340" w:hRule="exact"/>
                <w:jc w:val="center"/>
              </w:trPr>
              <w:tc>
                <w:tcPr>
                  <w:tcW w:w="646" w:type="pct"/>
                  <w:vMerge w:val="continue"/>
                  <w:tcBorders>
                    <w:tl2br w:val="nil"/>
                    <w:tr2bl w:val="nil"/>
                  </w:tcBorders>
                  <w:shd w:val="clear" w:color="auto" w:fill="auto"/>
                  <w:vAlign w:val="center"/>
                </w:tcPr>
                <w:p>
                  <w:pPr>
                    <w:pStyle w:val="43"/>
                    <w:rPr>
                      <w:rFonts w:cs="Times New Roman"/>
                      <w:b w:val="0"/>
                      <w:bCs/>
                      <w:sz w:val="20"/>
                    </w:rPr>
                  </w:pP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-47.6</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-43.6</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夜间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44.3</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50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PrEx>
              <w:trPr>
                <w:trHeight w:val="340" w:hRule="exact"/>
                <w:jc w:val="center"/>
              </w:trPr>
              <w:tc>
                <w:tcPr>
                  <w:tcW w:w="646" w:type="pct"/>
                  <w:vMerge w:val="restart"/>
                  <w:tcBorders>
                    <w:tl2br w:val="nil"/>
                    <w:tr2bl w:val="nil"/>
                  </w:tcBorders>
                  <w:shd w:val="clear" w:color="auto" w:fill="auto"/>
                  <w:vAlign w:val="center"/>
                </w:tcPr>
                <w:p>
                  <w:pPr>
                    <w:pStyle w:val="43"/>
                    <w:rPr>
                      <w:rFonts w:cs="Times New Roman"/>
                      <w:b w:val="0"/>
                      <w:bCs/>
                      <w:sz w:val="20"/>
                    </w:rPr>
                  </w:pPr>
                  <w:r>
                    <w:rPr>
                      <w:rFonts w:cs="Times New Roman"/>
                      <w:b w:val="0"/>
                      <w:bCs/>
                      <w:sz w:val="20"/>
                    </w:rPr>
                    <w:t>北侧</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47.1</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48.1</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昼间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36.7</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60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PrEx>
              <w:trPr>
                <w:trHeight w:val="340" w:hRule="exact"/>
                <w:jc w:val="center"/>
              </w:trPr>
              <w:tc>
                <w:tcPr>
                  <w:tcW w:w="646" w:type="pct"/>
                  <w:vMerge w:val="continue"/>
                  <w:tcBorders>
                    <w:tl2br w:val="nil"/>
                    <w:tr2bl w:val="nil"/>
                  </w:tcBorders>
                  <w:shd w:val="clear" w:color="auto" w:fill="auto"/>
                  <w:vAlign w:val="center"/>
                </w:tcPr>
                <w:p>
                  <w:pPr>
                    <w:pStyle w:val="43"/>
                    <w:rPr>
                      <w:rFonts w:cs="Times New Roman"/>
                      <w:b w:val="0"/>
                      <w:bCs/>
                      <w:sz w:val="20"/>
                    </w:rPr>
                  </w:pP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47.1</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48.1</w:t>
                  </w:r>
                </w:p>
              </w:tc>
              <w:tc>
                <w:tcPr>
                  <w:tcW w:w="47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1.2</w:t>
                  </w:r>
                </w:p>
              </w:tc>
              <w:tc>
                <w:tcPr>
                  <w:tcW w:w="58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夜间</w:t>
                  </w:r>
                </w:p>
              </w:tc>
              <w:tc>
                <w:tcPr>
                  <w:tcW w:w="831"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36.7</w:t>
                  </w:r>
                </w:p>
              </w:tc>
              <w:tc>
                <w:tcPr>
                  <w:tcW w:w="832"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50</w:t>
                  </w:r>
                </w:p>
              </w:tc>
              <w:tc>
                <w:tcPr>
                  <w:tcW w:w="696" w:type="pct"/>
                  <w:tcBorders>
                    <w:tl2br w:val="nil"/>
                    <w:tr2bl w:val="nil"/>
                  </w:tcBorders>
                  <w:shd w:val="clear" w:color="auto" w:fill="auto"/>
                  <w:vAlign w:val="center"/>
                </w:tcPr>
                <w:p>
                  <w:pPr>
                    <w:pStyle w:val="43"/>
                    <w:rPr>
                      <w:rFonts w:cs="Times New Roman"/>
                      <w:b w:val="0"/>
                      <w:bCs/>
                      <w:szCs w:val="21"/>
                    </w:rPr>
                  </w:pPr>
                  <w:r>
                    <w:rPr>
                      <w:rFonts w:hint="eastAsia" w:cs="Times New Roman"/>
                      <w:b w:val="0"/>
                      <w:bCs/>
                      <w:szCs w:val="21"/>
                    </w:rPr>
                    <w:t>达标</w:t>
                  </w:r>
                </w:p>
              </w:tc>
            </w:tr>
          </w:tbl>
          <w:p>
            <w:pPr>
              <w:pStyle w:val="43"/>
              <w:jc w:val="left"/>
              <w:rPr>
                <w:rFonts w:cs="Times New Roman"/>
              </w:rPr>
            </w:pPr>
            <w:r>
              <w:rPr>
                <w:rFonts w:cs="Times New Roman"/>
              </w:rPr>
              <w:t>注：表中坐标以厂界中心（109.592842，34.646076）为坐标原点，正东向为X轴正方向，正北向为Y轴正方向。</w:t>
            </w:r>
          </w:p>
          <w:p>
            <w:pPr>
              <w:ind w:firstLine="480" w:firstLineChars="200"/>
              <w:rPr>
                <w:rFonts w:cs="Times New Roman"/>
              </w:rPr>
            </w:pPr>
          </w:p>
          <w:p>
            <w:pPr>
              <w:rPr>
                <w:rFonts w:cs="Times New Roman"/>
              </w:rPr>
            </w:pPr>
          </w:p>
          <w:p>
            <w:pPr>
              <w:rPr>
                <w:rFonts w:cs="Times New Roman"/>
              </w:rPr>
            </w:pPr>
          </w:p>
          <w:p>
            <w:pPr>
              <w:jc w:val="right"/>
              <w:rPr>
                <w:rFonts w:cs="Times New Roman"/>
              </w:rPr>
            </w:pPr>
          </w:p>
        </w:tc>
      </w:tr>
    </w:tbl>
    <w:p>
      <w:pPr>
        <w:pStyle w:val="16"/>
        <w:jc w:val="both"/>
        <w:outlineLvl w:val="0"/>
        <w:rPr>
          <w:rFonts w:ascii="Times New Roman" w:hAnsi="Times New Roman" w:cs="Times New Roman"/>
          <w:kern w:val="2"/>
          <w:szCs w:val="24"/>
        </w:rPr>
        <w:sectPr>
          <w:pgSz w:w="16838" w:h="11906" w:orient="landscape"/>
          <w:pgMar w:top="1080" w:right="1440" w:bottom="1080" w:left="1440" w:header="850" w:footer="851" w:gutter="0"/>
          <w:pgNumType w:fmt="numberInDash"/>
          <w:cols w:space="720" w:num="1"/>
          <w:docGrid w:linePitch="326" w:charSpace="0"/>
        </w:sect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1" w:hRule="atLeast"/>
        </w:trPr>
        <w:tc>
          <w:tcPr>
            <w:tcW w:w="504" w:type="dxa"/>
            <w:shd w:val="clear" w:color="auto" w:fill="auto"/>
            <w:vAlign w:val="center"/>
          </w:tcPr>
          <w:p>
            <w:pPr>
              <w:adjustRightInd w:val="0"/>
              <w:snapToGrid w:val="0"/>
              <w:spacing w:line="240" w:lineRule="auto"/>
              <w:jc w:val="center"/>
              <w:rPr>
                <w:rFonts w:cs="Times New Roman"/>
                <w:kern w:val="21"/>
                <w:szCs w:val="24"/>
              </w:rPr>
            </w:pPr>
            <w:r>
              <w:rPr>
                <w:rFonts w:cs="Times New Roman"/>
                <w:kern w:val="21"/>
                <w:szCs w:val="24"/>
              </w:rPr>
              <w:t>运营</w:t>
            </w:r>
          </w:p>
          <w:p>
            <w:pPr>
              <w:adjustRightInd w:val="0"/>
              <w:snapToGrid w:val="0"/>
              <w:spacing w:line="240" w:lineRule="auto"/>
              <w:jc w:val="center"/>
              <w:rPr>
                <w:rFonts w:cs="Times New Roman"/>
                <w:kern w:val="21"/>
                <w:szCs w:val="24"/>
              </w:rPr>
            </w:pPr>
            <w:r>
              <w:rPr>
                <w:rFonts w:cs="Times New Roman"/>
                <w:kern w:val="21"/>
                <w:szCs w:val="24"/>
              </w:rPr>
              <w:t>期环</w:t>
            </w:r>
          </w:p>
          <w:p>
            <w:pPr>
              <w:adjustRightInd w:val="0"/>
              <w:snapToGrid w:val="0"/>
              <w:spacing w:line="240" w:lineRule="auto"/>
              <w:jc w:val="center"/>
              <w:rPr>
                <w:rFonts w:cs="Times New Roman"/>
                <w:kern w:val="21"/>
                <w:szCs w:val="24"/>
              </w:rPr>
            </w:pPr>
            <w:r>
              <w:rPr>
                <w:rFonts w:cs="Times New Roman"/>
                <w:kern w:val="21"/>
                <w:szCs w:val="24"/>
              </w:rPr>
              <w:t>境影</w:t>
            </w:r>
          </w:p>
          <w:p>
            <w:pPr>
              <w:adjustRightInd w:val="0"/>
              <w:snapToGrid w:val="0"/>
              <w:spacing w:line="240" w:lineRule="auto"/>
              <w:jc w:val="center"/>
              <w:rPr>
                <w:rFonts w:cs="Times New Roman"/>
                <w:kern w:val="21"/>
                <w:szCs w:val="24"/>
              </w:rPr>
            </w:pPr>
            <w:r>
              <w:rPr>
                <w:rFonts w:cs="Times New Roman"/>
                <w:kern w:val="21"/>
                <w:szCs w:val="24"/>
              </w:rPr>
              <w:t>响和</w:t>
            </w:r>
          </w:p>
          <w:p>
            <w:pPr>
              <w:adjustRightInd w:val="0"/>
              <w:snapToGrid w:val="0"/>
              <w:spacing w:line="240" w:lineRule="auto"/>
              <w:jc w:val="center"/>
              <w:rPr>
                <w:rFonts w:cs="Times New Roman"/>
                <w:kern w:val="21"/>
                <w:szCs w:val="24"/>
              </w:rPr>
            </w:pPr>
            <w:r>
              <w:rPr>
                <w:rFonts w:cs="Times New Roman"/>
                <w:kern w:val="21"/>
                <w:szCs w:val="24"/>
              </w:rPr>
              <w:t>保护</w:t>
            </w:r>
          </w:p>
          <w:p>
            <w:pPr>
              <w:adjustRightInd w:val="0"/>
              <w:snapToGrid w:val="0"/>
              <w:spacing w:line="240" w:lineRule="auto"/>
              <w:jc w:val="center"/>
              <w:rPr>
                <w:rFonts w:cs="Times New Roman"/>
              </w:rPr>
            </w:pPr>
            <w:r>
              <w:rPr>
                <w:rFonts w:cs="Times New Roman"/>
                <w:kern w:val="21"/>
                <w:szCs w:val="24"/>
              </w:rPr>
              <w:t>措施</w:t>
            </w:r>
          </w:p>
        </w:tc>
        <w:tc>
          <w:tcPr>
            <w:tcW w:w="9458" w:type="dxa"/>
            <w:shd w:val="clear" w:color="auto" w:fill="auto"/>
          </w:tcPr>
          <w:p>
            <w:pPr>
              <w:adjustRightInd w:val="0"/>
              <w:snapToGrid w:val="0"/>
              <w:ind w:firstLine="480" w:firstLineChars="200"/>
              <w:rPr>
                <w:rFonts w:cs="Times New Roman"/>
              </w:rPr>
            </w:pPr>
            <w:r>
              <w:rPr>
                <w:rFonts w:cs="Times New Roman"/>
              </w:rPr>
              <w:t>根据以上预测结果可以看出，主要噪声源通过采取基础减振、厂房隔声以及合理的布置产噪设备等措施后，本项目的各生产设备在正常工况运行状态下，厂界四周噪声值能够满足《工业企业厂界环境噪声排放标准》（GB12348-2008）2类标准要求。</w:t>
            </w:r>
          </w:p>
          <w:p>
            <w:pPr>
              <w:adjustRightInd w:val="0"/>
              <w:snapToGrid w:val="0"/>
              <w:ind w:firstLine="482" w:firstLineChars="200"/>
              <w:rPr>
                <w:rFonts w:cs="Times New Roman"/>
                <w:b/>
                <w:bCs/>
              </w:rPr>
            </w:pPr>
            <w:r>
              <w:rPr>
                <w:rFonts w:cs="Times New Roman"/>
                <w:b/>
                <w:bCs/>
              </w:rPr>
              <w:t>2、噪声环境影响保护措施</w:t>
            </w:r>
          </w:p>
          <w:p>
            <w:pPr>
              <w:adjustRightInd w:val="0"/>
              <w:snapToGrid w:val="0"/>
              <w:ind w:firstLine="480" w:firstLineChars="200"/>
              <w:rPr>
                <w:rFonts w:cs="Times New Roman"/>
              </w:rPr>
            </w:pPr>
            <w:r>
              <w:rPr>
                <w:rFonts w:cs="Times New Roman"/>
              </w:rPr>
              <w:t>针对噪声特点，为进一步减少项目生产噪声对周边环境的影响，要求企业生产过程中落实以下措施：</w:t>
            </w:r>
          </w:p>
          <w:p>
            <w:pPr>
              <w:adjustRightInd w:val="0"/>
              <w:snapToGrid w:val="0"/>
              <w:ind w:firstLine="480" w:firstLineChars="200"/>
              <w:rPr>
                <w:rFonts w:cs="Times New Roman"/>
              </w:rPr>
            </w:pPr>
            <w:r>
              <w:rPr>
                <w:rFonts w:hint="eastAsia" w:ascii="宋体" w:hAnsi="宋体" w:eastAsia="宋体" w:cs="宋体"/>
              </w:rPr>
              <w:t>①</w:t>
            </w:r>
            <w:r>
              <w:rPr>
                <w:rFonts w:cs="Times New Roman"/>
              </w:rPr>
              <w:t>加强生产设备与环保设备的保养与维护，确保设备处于良好的运转状态，杜绝设备不正常运行产生高噪声的现象。</w:t>
            </w:r>
          </w:p>
          <w:p>
            <w:pPr>
              <w:adjustRightInd w:val="0"/>
              <w:snapToGrid w:val="0"/>
              <w:ind w:firstLine="480" w:firstLineChars="200"/>
              <w:rPr>
                <w:rFonts w:cs="Times New Roman"/>
              </w:rPr>
            </w:pPr>
            <w:r>
              <w:rPr>
                <w:rFonts w:hint="eastAsia" w:ascii="宋体" w:hAnsi="宋体" w:eastAsia="宋体" w:cs="宋体"/>
              </w:rPr>
              <w:t>②</w:t>
            </w:r>
            <w:r>
              <w:rPr>
                <w:rFonts w:cs="Times New Roman"/>
              </w:rPr>
              <w:t>从声源上控制，应选择符合国家噪声标准的生产设备及设施。</w:t>
            </w:r>
          </w:p>
          <w:p>
            <w:pPr>
              <w:adjustRightInd w:val="0"/>
              <w:snapToGrid w:val="0"/>
              <w:ind w:firstLine="480" w:firstLineChars="200"/>
              <w:rPr>
                <w:rFonts w:cs="Times New Roman"/>
              </w:rPr>
            </w:pPr>
            <w:r>
              <w:rPr>
                <w:rFonts w:hint="eastAsia" w:ascii="宋体" w:hAnsi="宋体" w:eastAsia="宋体" w:cs="宋体"/>
              </w:rPr>
              <w:t>③</w:t>
            </w:r>
            <w:r>
              <w:rPr>
                <w:rFonts w:cs="Times New Roman"/>
              </w:rPr>
              <w:t>优化平面布局，高噪声设备尽量布置在厂房中部区域，以确保噪声达标排放</w:t>
            </w:r>
          </w:p>
          <w:p>
            <w:pPr>
              <w:adjustRightInd w:val="0"/>
              <w:snapToGrid w:val="0"/>
              <w:ind w:firstLine="480" w:firstLineChars="200"/>
              <w:rPr>
                <w:rFonts w:cs="Times New Roman"/>
              </w:rPr>
            </w:pPr>
            <w:r>
              <w:rPr>
                <w:rFonts w:hint="eastAsia" w:ascii="宋体" w:hAnsi="宋体" w:eastAsia="宋体" w:cs="宋体"/>
              </w:rPr>
              <w:t>④</w:t>
            </w:r>
            <w:r>
              <w:rPr>
                <w:rFonts w:cs="Times New Roman"/>
              </w:rPr>
              <w:t>必须选用符合国家有关噪声控制标准的机具，尽可能选用低噪声施工机械或工艺，从源头上降低噪声源强。</w:t>
            </w:r>
          </w:p>
          <w:p>
            <w:pPr>
              <w:adjustRightInd w:val="0"/>
              <w:snapToGrid w:val="0"/>
              <w:ind w:firstLine="480" w:firstLineChars="200"/>
              <w:rPr>
                <w:rFonts w:cs="Times New Roman"/>
              </w:rPr>
            </w:pPr>
            <w:r>
              <w:rPr>
                <w:rFonts w:hint="eastAsia" w:ascii="宋体" w:hAnsi="宋体" w:eastAsia="宋体" w:cs="宋体"/>
              </w:rPr>
              <w:t>⑤</w:t>
            </w:r>
            <w:r>
              <w:rPr>
                <w:rFonts w:cs="Times New Roman"/>
              </w:rPr>
              <w:t>禁止夜间22：00至次日6：00进行物料运输。</w:t>
            </w:r>
          </w:p>
          <w:p>
            <w:pPr>
              <w:adjustRightInd w:val="0"/>
              <w:snapToGrid w:val="0"/>
              <w:ind w:firstLine="480" w:firstLineChars="200"/>
              <w:rPr>
                <w:rFonts w:cs="Times New Roman"/>
              </w:rPr>
            </w:pPr>
            <w:r>
              <w:rPr>
                <w:rFonts w:hint="eastAsia" w:ascii="宋体" w:hAnsi="宋体" w:eastAsia="宋体" w:cs="宋体"/>
              </w:rPr>
              <w:t>⑥</w:t>
            </w:r>
            <w:r>
              <w:rPr>
                <w:rFonts w:cs="Times New Roman"/>
              </w:rPr>
              <w:t>合理安排运输路线与时段，尽量避开居民集中区，且通过居民集中区时应减速缓行，并禁止鸣笛。</w:t>
            </w:r>
          </w:p>
          <w:p>
            <w:pPr>
              <w:adjustRightInd w:val="0"/>
              <w:snapToGrid w:val="0"/>
              <w:ind w:firstLine="482" w:firstLineChars="200"/>
              <w:rPr>
                <w:rFonts w:cs="Times New Roman"/>
                <w:b/>
                <w:bCs/>
              </w:rPr>
            </w:pPr>
            <w:r>
              <w:rPr>
                <w:rFonts w:cs="Times New Roman"/>
                <w:b/>
                <w:bCs/>
              </w:rPr>
              <w:t>3、噪声环境监测与管理</w:t>
            </w:r>
          </w:p>
          <w:p>
            <w:pPr>
              <w:pStyle w:val="3"/>
              <w:keepNext w:val="0"/>
              <w:keepLines w:val="0"/>
              <w:adjustRightInd w:val="0"/>
              <w:snapToGrid w:val="0"/>
              <w:ind w:firstLine="480" w:firstLineChars="200"/>
              <w:rPr>
                <w:rFonts w:ascii="Times New Roman" w:hAnsi="Times New Roman" w:eastAsia="宋体" w:cs="Times New Roman"/>
                <w:b w:val="0"/>
                <w:szCs w:val="24"/>
              </w:rPr>
            </w:pPr>
            <w:r>
              <w:rPr>
                <w:rFonts w:ascii="Times New Roman" w:hAnsi="Times New Roman" w:eastAsia="宋体" w:cs="Times New Roman"/>
                <w:b w:val="0"/>
                <w:szCs w:val="24"/>
              </w:rPr>
              <w:t>根据本项目运营期的噪声环境污染特点，企业应自觉接受当地环保部门的监督与管理。根据《排污单位自行监测技术指南 总则》（HJ819-2017）、</w:t>
            </w:r>
            <w:bookmarkStart w:id="11" w:name="_Hlk155280078"/>
            <w:r>
              <w:rPr>
                <w:rFonts w:ascii="Times New Roman" w:hAnsi="Times New Roman" w:eastAsia="宋体" w:cs="Times New Roman"/>
                <w:b w:val="0"/>
                <w:szCs w:val="24"/>
              </w:rPr>
              <w:t>《排污许可证申请与核发技术规范 水泥工业》（HJ847-2017）</w:t>
            </w:r>
            <w:bookmarkEnd w:id="11"/>
            <w:r>
              <w:rPr>
                <w:rFonts w:ascii="Times New Roman" w:hAnsi="Times New Roman" w:eastAsia="宋体" w:cs="Times New Roman"/>
                <w:b w:val="0"/>
                <w:szCs w:val="24"/>
              </w:rPr>
              <w:t>，本项目应针对厂界噪声排放情况开展监测计划。根据建设单位提供的资料，该监测内容已包含在现有工程例行监测范围内，故本此评价不额外增加环境监测计划。</w:t>
            </w:r>
          </w:p>
          <w:p>
            <w:pPr>
              <w:adjustRightInd w:val="0"/>
              <w:snapToGrid w:val="0"/>
              <w:rPr>
                <w:rFonts w:cs="Times New Roman"/>
                <w:b/>
              </w:rPr>
            </w:pPr>
            <w:r>
              <w:rPr>
                <w:rFonts w:cs="Times New Roman"/>
                <w:b/>
              </w:rPr>
              <w:t>（四）固体废物影响分析</w:t>
            </w:r>
          </w:p>
          <w:p>
            <w:pPr>
              <w:adjustRightInd w:val="0"/>
              <w:snapToGrid w:val="0"/>
              <w:ind w:firstLine="482" w:firstLineChars="200"/>
              <w:rPr>
                <w:rFonts w:cs="Times New Roman"/>
                <w:bCs/>
              </w:rPr>
            </w:pPr>
            <w:r>
              <w:rPr>
                <w:rFonts w:cs="Times New Roman"/>
                <w:b/>
                <w:bCs/>
              </w:rPr>
              <w:t>1、固体废物排放量计算</w:t>
            </w:r>
          </w:p>
          <w:p>
            <w:pPr>
              <w:adjustRightInd w:val="0"/>
              <w:snapToGrid w:val="0"/>
              <w:ind w:firstLine="480" w:firstLineChars="200"/>
              <w:rPr>
                <w:rFonts w:cs="Times New Roman"/>
                <w:bCs/>
              </w:rPr>
            </w:pPr>
            <w:r>
              <w:rPr>
                <w:rFonts w:cs="Times New Roman"/>
                <w:bCs/>
              </w:rPr>
              <w:t>本项目新增固体废物产生情况详见下表4-5。</w:t>
            </w:r>
          </w:p>
          <w:p>
            <w:pPr>
              <w:adjustRightInd w:val="0"/>
              <w:snapToGrid w:val="0"/>
              <w:spacing w:line="240" w:lineRule="auto"/>
              <w:jc w:val="center"/>
              <w:rPr>
                <w:rFonts w:cs="Times New Roman"/>
                <w:b/>
                <w:sz w:val="21"/>
                <w:szCs w:val="21"/>
              </w:rPr>
            </w:pPr>
            <w:r>
              <w:rPr>
                <w:rFonts w:cs="Times New Roman"/>
                <w:b/>
                <w:sz w:val="21"/>
                <w:szCs w:val="21"/>
              </w:rPr>
              <w:t>表4-5 项目运营期新增固体废物产生情况一览表</w:t>
            </w:r>
          </w:p>
          <w:tbl>
            <w:tblPr>
              <w:tblStyle w:val="18"/>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1281"/>
              <w:gridCol w:w="1573"/>
              <w:gridCol w:w="662"/>
              <w:gridCol w:w="1251"/>
              <w:gridCol w:w="688"/>
              <w:gridCol w:w="939"/>
              <w:gridCol w:w="948"/>
              <w:gridCol w:w="14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序号</w:t>
                  </w:r>
                </w:p>
              </w:tc>
              <w:tc>
                <w:tcPr>
                  <w:tcW w:w="693"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固体废物</w:t>
                  </w:r>
                </w:p>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名称</w:t>
                  </w:r>
                </w:p>
              </w:tc>
              <w:tc>
                <w:tcPr>
                  <w:tcW w:w="851"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产生环节</w:t>
                  </w:r>
                </w:p>
              </w:tc>
              <w:tc>
                <w:tcPr>
                  <w:tcW w:w="358"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固废</w:t>
                  </w:r>
                </w:p>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属性</w:t>
                  </w:r>
                </w:p>
              </w:tc>
              <w:tc>
                <w:tcPr>
                  <w:tcW w:w="677"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废物类别</w:t>
                  </w:r>
                </w:p>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及代码</w:t>
                  </w:r>
                </w:p>
              </w:tc>
              <w:tc>
                <w:tcPr>
                  <w:tcW w:w="372"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危险</w:t>
                  </w:r>
                </w:p>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特性</w:t>
                  </w:r>
                </w:p>
              </w:tc>
              <w:tc>
                <w:tcPr>
                  <w:tcW w:w="508"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物理</w:t>
                  </w:r>
                </w:p>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性状</w:t>
                  </w:r>
                </w:p>
              </w:tc>
              <w:tc>
                <w:tcPr>
                  <w:tcW w:w="513"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产生量</w:t>
                  </w:r>
                </w:p>
              </w:tc>
              <w:tc>
                <w:tcPr>
                  <w:tcW w:w="798" w:type="pct"/>
                  <w:shd w:val="clear" w:color="auto" w:fill="auto"/>
                  <w:vAlign w:val="center"/>
                </w:tcPr>
                <w:p>
                  <w:pPr>
                    <w:adjustRightInd w:val="0"/>
                    <w:snapToGrid w:val="0"/>
                    <w:spacing w:line="240" w:lineRule="auto"/>
                    <w:jc w:val="center"/>
                    <w:rPr>
                      <w:rFonts w:cs="Times New Roman"/>
                      <w:b/>
                      <w:bCs/>
                      <w:spacing w:val="-1"/>
                      <w:kern w:val="0"/>
                      <w:sz w:val="21"/>
                      <w:szCs w:val="21"/>
                    </w:rPr>
                  </w:pPr>
                  <w:r>
                    <w:rPr>
                      <w:rFonts w:cs="Times New Roman"/>
                      <w:b/>
                      <w:bCs/>
                      <w:spacing w:val="-1"/>
                      <w:kern w:val="0"/>
                      <w:sz w:val="21"/>
                      <w:szCs w:val="21"/>
                    </w:rPr>
                    <w:t>处置措施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1</w:t>
                  </w:r>
                </w:p>
              </w:tc>
              <w:tc>
                <w:tcPr>
                  <w:tcW w:w="693" w:type="pct"/>
                  <w:shd w:val="clear" w:color="auto" w:fill="auto"/>
                  <w:vAlign w:val="center"/>
                </w:tcPr>
                <w:p>
                  <w:pPr>
                    <w:adjustRightInd w:val="0"/>
                    <w:snapToGrid w:val="0"/>
                    <w:spacing w:line="240" w:lineRule="auto"/>
                    <w:jc w:val="center"/>
                    <w:rPr>
                      <w:rFonts w:cs="Times New Roman"/>
                      <w:spacing w:val="-1"/>
                      <w:sz w:val="21"/>
                      <w:szCs w:val="21"/>
                    </w:rPr>
                  </w:pPr>
                  <w:r>
                    <w:rPr>
                      <w:rFonts w:cs="Times New Roman"/>
                      <w:sz w:val="21"/>
                      <w:szCs w:val="21"/>
                    </w:rPr>
                    <w:t>除尘装置收集的粉尘</w:t>
                  </w:r>
                </w:p>
              </w:tc>
              <w:tc>
                <w:tcPr>
                  <w:tcW w:w="851"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搅拌工序及筒仓顶部除尘器收集</w:t>
                  </w:r>
                </w:p>
              </w:tc>
              <w:tc>
                <w:tcPr>
                  <w:tcW w:w="358" w:type="pct"/>
                  <w:vMerge w:val="restar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一般固废</w:t>
                  </w:r>
                </w:p>
              </w:tc>
              <w:tc>
                <w:tcPr>
                  <w:tcW w:w="677"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工业粉尘</w:t>
                  </w:r>
                </w:p>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309-001-66</w:t>
                  </w:r>
                </w:p>
              </w:tc>
              <w:tc>
                <w:tcPr>
                  <w:tcW w:w="372"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w:t>
                  </w:r>
                </w:p>
              </w:tc>
              <w:tc>
                <w:tcPr>
                  <w:tcW w:w="508"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固态</w:t>
                  </w:r>
                </w:p>
              </w:tc>
              <w:tc>
                <w:tcPr>
                  <w:tcW w:w="513"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98.3t/a</w:t>
                  </w:r>
                </w:p>
              </w:tc>
              <w:tc>
                <w:tcPr>
                  <w:tcW w:w="798" w:type="pct"/>
                  <w:vMerge w:val="restar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经收集后回用于生产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230"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2</w:t>
                  </w:r>
                </w:p>
              </w:tc>
              <w:tc>
                <w:tcPr>
                  <w:tcW w:w="693" w:type="pct"/>
                  <w:shd w:val="clear" w:color="auto" w:fill="auto"/>
                  <w:vAlign w:val="center"/>
                </w:tcPr>
                <w:p>
                  <w:pPr>
                    <w:adjustRightInd w:val="0"/>
                    <w:snapToGrid w:val="0"/>
                    <w:spacing w:line="240" w:lineRule="auto"/>
                    <w:jc w:val="center"/>
                    <w:rPr>
                      <w:rFonts w:cs="Times New Roman"/>
                      <w:spacing w:val="-1"/>
                      <w:sz w:val="21"/>
                      <w:szCs w:val="21"/>
                    </w:rPr>
                  </w:pPr>
                  <w:r>
                    <w:rPr>
                      <w:rFonts w:cs="Times New Roman"/>
                      <w:sz w:val="21"/>
                      <w:szCs w:val="21"/>
                    </w:rPr>
                    <w:t>沉淀池沉渣</w:t>
                  </w:r>
                </w:p>
              </w:tc>
              <w:tc>
                <w:tcPr>
                  <w:tcW w:w="851"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车辆冲洗</w:t>
                  </w:r>
                </w:p>
              </w:tc>
              <w:tc>
                <w:tcPr>
                  <w:tcW w:w="358" w:type="pct"/>
                  <w:vMerge w:val="continue"/>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p>
              </w:tc>
              <w:tc>
                <w:tcPr>
                  <w:tcW w:w="677"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其他废物309-001-99</w:t>
                  </w:r>
                </w:p>
              </w:tc>
              <w:tc>
                <w:tcPr>
                  <w:tcW w:w="372"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w:t>
                  </w:r>
                </w:p>
              </w:tc>
              <w:tc>
                <w:tcPr>
                  <w:tcW w:w="508"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半固态</w:t>
                  </w:r>
                </w:p>
              </w:tc>
              <w:tc>
                <w:tcPr>
                  <w:tcW w:w="513"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1.0t/a</w:t>
                  </w:r>
                </w:p>
              </w:tc>
              <w:tc>
                <w:tcPr>
                  <w:tcW w:w="798" w:type="pct"/>
                  <w:vMerge w:val="continue"/>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230"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lang w:val="en-US"/>
                    </w:rPr>
                    <w:t>3</w:t>
                  </w:r>
                </w:p>
              </w:tc>
              <w:tc>
                <w:tcPr>
                  <w:tcW w:w="693"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废机油</w:t>
                  </w:r>
                </w:p>
              </w:tc>
              <w:tc>
                <w:tcPr>
                  <w:tcW w:w="851"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设备运维</w:t>
                  </w:r>
                </w:p>
              </w:tc>
              <w:tc>
                <w:tcPr>
                  <w:tcW w:w="358" w:type="pct"/>
                  <w:vMerge w:val="restar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危险废物</w:t>
                  </w:r>
                </w:p>
              </w:tc>
              <w:tc>
                <w:tcPr>
                  <w:tcW w:w="677"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HW08 900-214-08</w:t>
                  </w:r>
                </w:p>
              </w:tc>
              <w:tc>
                <w:tcPr>
                  <w:tcW w:w="372"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T，I</w:t>
                  </w:r>
                </w:p>
              </w:tc>
              <w:tc>
                <w:tcPr>
                  <w:tcW w:w="508"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液态</w:t>
                  </w:r>
                </w:p>
              </w:tc>
              <w:tc>
                <w:tcPr>
                  <w:tcW w:w="513"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0.36t/a</w:t>
                  </w:r>
                </w:p>
              </w:tc>
              <w:tc>
                <w:tcPr>
                  <w:tcW w:w="798" w:type="pct"/>
                  <w:vMerge w:val="restar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危险废物暂存间暂存委托有陕西明瑞再生资源有限公司外运处置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t>4</w:t>
                  </w:r>
                </w:p>
              </w:tc>
              <w:tc>
                <w:tcPr>
                  <w:tcW w:w="693"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r>
                    <w:rPr>
                      <w:rFonts w:ascii="Times New Roman" w:hAnsi="Times New Roman" w:cs="Times New Roman"/>
                      <w:spacing w:val="-1"/>
                      <w:sz w:val="21"/>
                      <w:szCs w:val="21"/>
                    </w:rPr>
                    <w:t>废机油桶</w:t>
                  </w:r>
                </w:p>
              </w:tc>
              <w:tc>
                <w:tcPr>
                  <w:tcW w:w="851"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r>
                    <w:rPr>
                      <w:rFonts w:ascii="Times New Roman" w:hAnsi="Times New Roman" w:cs="Times New Roman"/>
                      <w:spacing w:val="-1"/>
                      <w:sz w:val="21"/>
                      <w:szCs w:val="21"/>
                    </w:rPr>
                    <w:t>设备运维</w:t>
                  </w:r>
                </w:p>
              </w:tc>
              <w:tc>
                <w:tcPr>
                  <w:tcW w:w="358" w:type="pct"/>
                  <w:vMerge w:val="continue"/>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p>
              </w:tc>
              <w:tc>
                <w:tcPr>
                  <w:tcW w:w="677"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t>HW49 900-041-49</w:t>
                  </w:r>
                </w:p>
              </w:tc>
              <w:tc>
                <w:tcPr>
                  <w:tcW w:w="372"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t>T/In</w:t>
                  </w:r>
                </w:p>
              </w:tc>
              <w:tc>
                <w:tcPr>
                  <w:tcW w:w="508"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r>
                    <w:rPr>
                      <w:rFonts w:ascii="Times New Roman" w:hAnsi="Times New Roman" w:cs="Times New Roman"/>
                      <w:spacing w:val="-1"/>
                      <w:sz w:val="21"/>
                      <w:szCs w:val="21"/>
                    </w:rPr>
                    <w:t>固态</w:t>
                  </w:r>
                </w:p>
              </w:tc>
              <w:tc>
                <w:tcPr>
                  <w:tcW w:w="513" w:type="pct"/>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t>0.02t/a</w:t>
                  </w:r>
                </w:p>
              </w:tc>
              <w:tc>
                <w:tcPr>
                  <w:tcW w:w="798" w:type="pct"/>
                  <w:vMerge w:val="continue"/>
                  <w:shd w:val="clear" w:color="auto" w:fill="auto"/>
                  <w:vAlign w:val="center"/>
                </w:tcPr>
                <w:p>
                  <w:pPr>
                    <w:pStyle w:val="37"/>
                    <w:kinsoku w:val="0"/>
                    <w:overflowPunct w:val="0"/>
                    <w:adjustRightInd w:val="0"/>
                    <w:snapToGrid w:val="0"/>
                    <w:spacing w:before="0" w:line="240" w:lineRule="auto"/>
                    <w:contextualSpacing/>
                    <w:rPr>
                      <w:rFonts w:ascii="Times New Roman" w:hAnsi="Times New Roman" w:cs="Times New Roman"/>
                      <w:spacing w:val="-1"/>
                      <w:sz w:val="21"/>
                      <w:szCs w:val="21"/>
                      <w:lang w:val="en-US"/>
                    </w:rPr>
                  </w:pPr>
                </w:p>
              </w:tc>
            </w:tr>
          </w:tbl>
          <w:p>
            <w:pPr>
              <w:pStyle w:val="17"/>
              <w:adjustRightInd w:val="0"/>
              <w:snapToGrid w:val="0"/>
              <w:ind w:left="0" w:leftChars="0" w:firstLine="0" w:firstLineChars="0"/>
              <w:rPr>
                <w:b/>
                <w:bCs/>
              </w:rPr>
            </w:pPr>
            <w:r>
              <w:rPr>
                <w:b/>
                <w:bCs/>
              </w:rPr>
              <w:t>（1）一般工业固体废物</w:t>
            </w:r>
          </w:p>
          <w:p>
            <w:pPr>
              <w:adjustRightInd w:val="0"/>
              <w:snapToGrid w:val="0"/>
              <w:ind w:firstLine="480" w:firstLineChars="200"/>
              <w:rPr>
                <w:rFonts w:cs="Times New Roman"/>
              </w:rPr>
            </w:pPr>
            <w:r>
              <w:rPr>
                <w:rFonts w:hint="eastAsia" w:ascii="宋体" w:hAnsi="宋体" w:eastAsia="宋体" w:cs="宋体"/>
              </w:rPr>
              <w:t>①</w:t>
            </w:r>
            <w:r>
              <w:rPr>
                <w:rFonts w:cs="Times New Roman"/>
              </w:rPr>
              <w:t>除尘装置收集的粉尘</w:t>
            </w:r>
          </w:p>
          <w:p>
            <w:pPr>
              <w:adjustRightInd w:val="0"/>
              <w:snapToGrid w:val="0"/>
              <w:ind w:firstLine="480" w:firstLineChars="200"/>
              <w:rPr>
                <w:rFonts w:cs="Times New Roman"/>
              </w:rPr>
            </w:pPr>
            <w:r>
              <w:rPr>
                <w:rFonts w:cs="Times New Roman"/>
              </w:rPr>
              <w:t>本项目除尘装置收集的粉尘主要在搅拌工序配备的袋式除尘器、水泥筒仓配备的脉冲式布袋除尘器。根据大气工程分析可知，本项目搅拌工序袋式除尘器收集的粉尘量约为98.08t/a，筒仓脉冲式除尘器收集的分成量约为0.198t/a。故本项目除尘装置收集的粉尘量为98.3t/a，经收集后全部回用于生产。</w:t>
            </w:r>
          </w:p>
          <w:p>
            <w:pPr>
              <w:adjustRightInd w:val="0"/>
              <w:snapToGrid w:val="0"/>
              <w:ind w:firstLine="480" w:firstLineChars="200"/>
              <w:rPr>
                <w:rFonts w:cs="Times New Roman"/>
              </w:rPr>
            </w:pPr>
            <w:r>
              <w:rPr>
                <w:rFonts w:hint="eastAsia" w:ascii="宋体" w:hAnsi="宋体" w:eastAsia="宋体" w:cs="宋体"/>
              </w:rPr>
              <w:t>②</w:t>
            </w:r>
            <w:r>
              <w:rPr>
                <w:rFonts w:cs="Times New Roman"/>
              </w:rPr>
              <w:t>沉淀池沉渣</w:t>
            </w:r>
          </w:p>
          <w:p>
            <w:pPr>
              <w:adjustRightInd w:val="0"/>
              <w:snapToGrid w:val="0"/>
              <w:ind w:firstLine="480" w:firstLineChars="200"/>
              <w:rPr>
                <w:rFonts w:cs="Times New Roman"/>
              </w:rPr>
            </w:pPr>
            <w:r>
              <w:rPr>
                <w:rFonts w:cs="Times New Roman"/>
              </w:rPr>
              <w:t>道路、车辆冲洗废水经沉淀池沉淀后会产生一定量的沉渣，定期对沉淀池底泥进行清淤。根据建设单位提供资料，本项目新增沉淀池沉渣产生量约为1.0t/a。该部分沉渣主要成分主要为砂石，清出后可回用于生产。</w:t>
            </w:r>
          </w:p>
          <w:p>
            <w:pPr>
              <w:pStyle w:val="17"/>
              <w:adjustRightInd w:val="0"/>
              <w:snapToGrid w:val="0"/>
              <w:ind w:left="0" w:leftChars="0" w:firstLine="0" w:firstLineChars="0"/>
              <w:rPr>
                <w:b/>
                <w:bCs/>
              </w:rPr>
            </w:pPr>
            <w:r>
              <w:rPr>
                <w:b/>
                <w:bCs/>
              </w:rPr>
              <w:t>（2）危险固体废物</w:t>
            </w:r>
          </w:p>
          <w:p>
            <w:pPr>
              <w:adjustRightInd w:val="0"/>
              <w:snapToGrid w:val="0"/>
              <w:ind w:firstLine="480" w:firstLineChars="200"/>
              <w:rPr>
                <w:rFonts w:cs="Times New Roman"/>
              </w:rPr>
            </w:pPr>
            <w:r>
              <w:rPr>
                <w:rFonts w:hint="eastAsia" w:ascii="宋体" w:hAnsi="宋体" w:eastAsia="宋体" w:cs="宋体"/>
              </w:rPr>
              <w:t>①</w:t>
            </w:r>
            <w:r>
              <w:rPr>
                <w:rFonts w:cs="Times New Roman"/>
              </w:rPr>
              <w:t>废机油</w:t>
            </w:r>
          </w:p>
          <w:p>
            <w:pPr>
              <w:adjustRightInd w:val="0"/>
              <w:snapToGrid w:val="0"/>
              <w:ind w:firstLine="480" w:firstLineChars="200"/>
              <w:rPr>
                <w:rFonts w:cs="Times New Roman"/>
              </w:rPr>
            </w:pPr>
            <w:r>
              <w:rPr>
                <w:rFonts w:cs="Times New Roman"/>
              </w:rPr>
              <w:t>项目设备运行及生产过程中只对设备进行简单的保养，机油用量较少，约为0.4t/a，废机油产生量按用量的90%计，则废机油产生量约为0.36t/a。废机油属于《国家危险废物名录》（2021年版）规定的“HW08废矿物油与含矿物油废物”类危险废物，废物代码为900-214-08，收集后交由陕西明瑞资源再生有限公司外运处置。</w:t>
            </w:r>
          </w:p>
          <w:p>
            <w:pPr>
              <w:adjustRightInd w:val="0"/>
              <w:snapToGrid w:val="0"/>
              <w:ind w:firstLine="480" w:firstLineChars="200"/>
              <w:rPr>
                <w:rFonts w:cs="Times New Roman"/>
              </w:rPr>
            </w:pPr>
            <w:r>
              <w:rPr>
                <w:rFonts w:hint="eastAsia" w:ascii="宋体" w:hAnsi="宋体" w:eastAsia="宋体" w:cs="宋体"/>
              </w:rPr>
              <w:t>②</w:t>
            </w:r>
            <w:r>
              <w:rPr>
                <w:rFonts w:cs="Times New Roman"/>
              </w:rPr>
              <w:t>废机油桶</w:t>
            </w:r>
          </w:p>
          <w:p>
            <w:pPr>
              <w:adjustRightInd w:val="0"/>
              <w:snapToGrid w:val="0"/>
              <w:ind w:firstLine="480" w:firstLineChars="200"/>
              <w:rPr>
                <w:rFonts w:cs="Times New Roman"/>
              </w:rPr>
            </w:pPr>
            <w:r>
              <w:rPr>
                <w:rFonts w:cs="Times New Roman"/>
              </w:rPr>
              <w:t>本项目生产过程中产生的新增废机油桶约2个/年，每个桶约10kg，共约0.02t/a。废机油桶属于《国家危险废物名录》（2021年版）规定的“HW49其他废物”类危险废物，废物代码为900-041-49，收集后交由陕西明瑞资源再生有限公司外运处置。</w:t>
            </w:r>
          </w:p>
          <w:p>
            <w:pPr>
              <w:adjustRightInd w:val="0"/>
              <w:snapToGrid w:val="0"/>
              <w:ind w:firstLine="482" w:firstLineChars="200"/>
              <w:rPr>
                <w:rFonts w:cs="Times New Roman"/>
                <w:b/>
                <w:bCs/>
              </w:rPr>
            </w:pPr>
            <w:r>
              <w:rPr>
                <w:rFonts w:cs="Times New Roman"/>
                <w:b/>
                <w:bCs/>
              </w:rPr>
              <w:t>2、固体废物环境保护措施</w:t>
            </w:r>
          </w:p>
          <w:p>
            <w:pPr>
              <w:adjustRightInd w:val="0"/>
              <w:snapToGrid w:val="0"/>
              <w:ind w:firstLine="480" w:firstLineChars="200"/>
              <w:rPr>
                <w:rFonts w:cs="Times New Roman"/>
              </w:rPr>
            </w:pPr>
            <w:r>
              <w:rPr>
                <w:rFonts w:cs="Times New Roman"/>
              </w:rPr>
              <w:t>本项目产生的固体废弃物进行分类储存。一般固废处置执行《一般工业固体废物贮存和填埋污染控制标准》(GB18599-2020)。</w:t>
            </w:r>
          </w:p>
          <w:p>
            <w:pPr>
              <w:adjustRightInd w:val="0"/>
              <w:snapToGrid w:val="0"/>
              <w:ind w:firstLine="480" w:firstLineChars="200"/>
              <w:rPr>
                <w:rFonts w:cs="Times New Roman"/>
              </w:rPr>
            </w:pPr>
            <w:r>
              <w:rPr>
                <w:rFonts w:cs="Times New Roman"/>
              </w:rPr>
              <w:t>根据现场踏勘，现有危废暂存间占地面积约20m</w:t>
            </w:r>
            <w:r>
              <w:rPr>
                <w:rFonts w:cs="Times New Roman"/>
                <w:vertAlign w:val="superscript"/>
              </w:rPr>
              <w:t>2</w:t>
            </w:r>
            <w:r>
              <w:rPr>
                <w:rFonts w:cs="Times New Roman"/>
              </w:rPr>
              <w:t>，位于现有工程生产区北部，属于彩钢结构。危废间内采取了相应的防渗漏措施，防渗性能满足《危险废物贮存污染控制标准》（GB 18597-2023）的规定，不同的危险废物分类堆放，具备防风、防晒、防雨、防漏、防渗、防腐等功能；危废间内外均张贴有较为醒目的标识标签，符合《危险废物识别标志设置技术规范》（HJ1276-2022）中的相关规定，并采取技术和管理措施防止无关人员进入。建设单位设立有危废间管理制度、台账责任制度等。</w:t>
            </w:r>
          </w:p>
          <w:p>
            <w:pPr>
              <w:adjustRightInd w:val="0"/>
              <w:snapToGrid w:val="0"/>
              <w:ind w:firstLine="480" w:firstLineChars="200"/>
              <w:rPr>
                <w:rFonts w:cs="Times New Roman"/>
              </w:rPr>
            </w:pPr>
            <w:r>
              <w:rPr>
                <w:rFonts w:cs="Times New Roman"/>
              </w:rPr>
              <w:t>经调查，现有危废间已通过竣工环境保护验收，建设单位编制了突发环境事件应急预案并备案。危险废物定期交由陕西明瑞再生资源有限公司外运处置，（危废处置合同见附件）。本项目危险废物的收集、暂存和保管均符合《危险废物贮存污染控制标准》（GB18597-2001）要求。本次改扩建新增危险废物0.38t/a，危废间余量可容纳，依托可行。</w:t>
            </w:r>
          </w:p>
          <w:p>
            <w:pPr>
              <w:adjustRightInd w:val="0"/>
              <w:snapToGrid w:val="0"/>
              <w:ind w:firstLine="480" w:firstLineChars="200"/>
              <w:rPr>
                <w:rFonts w:cs="Times New Roman"/>
              </w:rPr>
            </w:pPr>
            <w:r>
              <w:rPr>
                <w:rFonts w:cs="Times New Roman"/>
              </w:rPr>
              <w:t>综上所述，采取上述措施后，本项目固体废物处置能满足《一般工业固体废物贮存和填埋污染控制标准》（GB18599-2020）、《危险废物贮存污染控制标准》（GB18597-2023）标准的要求，符合国家对固体废物处置的“减量化、资源化和无害化”的基本原则，处置率达100%，对周围环境的影响较小。</w:t>
            </w:r>
          </w:p>
          <w:p>
            <w:pPr>
              <w:adjustRightInd w:val="0"/>
              <w:snapToGrid w:val="0"/>
              <w:rPr>
                <w:rFonts w:cs="Times New Roman"/>
                <w:b/>
                <w:bCs/>
              </w:rPr>
            </w:pPr>
            <w:r>
              <w:rPr>
                <w:rFonts w:cs="Times New Roman"/>
                <w:b/>
                <w:bCs/>
              </w:rPr>
              <w:t>（五）土壤和地下水环境影响分析</w:t>
            </w:r>
          </w:p>
          <w:p>
            <w:pPr>
              <w:adjustRightInd w:val="0"/>
              <w:snapToGrid w:val="0"/>
              <w:ind w:firstLine="480" w:firstLineChars="200"/>
              <w:rPr>
                <w:rFonts w:cs="Times New Roman"/>
              </w:rPr>
            </w:pPr>
            <w:r>
              <w:rPr>
                <w:rFonts w:cs="Times New Roman"/>
              </w:rPr>
              <w:t>本项目所在地周边有裸露地表，产生的污染主要为搅拌、物料运输等过程中产生的粉尘及沥青罐呼吸口产生的少量沥青烟，无组织排放后可能可通过大气沉降落到土壤。项目产生的废水均可得到合理处置。因此，主要考虑大气沉降影响途径。</w:t>
            </w:r>
          </w:p>
          <w:p>
            <w:pPr>
              <w:adjustRightInd w:val="0"/>
              <w:snapToGrid w:val="0"/>
              <w:ind w:firstLine="480" w:firstLineChars="200"/>
              <w:rPr>
                <w:rFonts w:cs="Times New Roman"/>
              </w:rPr>
            </w:pPr>
            <w:r>
              <w:rPr>
                <w:rFonts w:cs="Times New Roman"/>
              </w:rPr>
              <w:t>项目排放的沥青烟、苯并[a]芘量很小，对土壤环境的影响可忽略。故项目排放的废气的主要污染因子为颗粒物，不属于土壤污染因子，故本项目大气沉降不会对土壤环境产生污染。综上所述，本项目在做好危废贮存设施和沉淀池防渗措施和日常维护工作，项目对土壤和地下水环境影响较小。</w:t>
            </w:r>
          </w:p>
          <w:p>
            <w:pPr>
              <w:adjustRightInd w:val="0"/>
              <w:snapToGrid w:val="0"/>
              <w:ind w:firstLine="480" w:firstLineChars="200"/>
              <w:rPr>
                <w:rFonts w:cs="Times New Roman"/>
              </w:rPr>
            </w:pPr>
            <w:r>
              <w:rPr>
                <w:rFonts w:cs="Times New Roman"/>
              </w:rPr>
              <w:t>建设单位需针对各类土壤污染源都做出相应的防范措施，减轻因项目建设对土壤产生的影响。拟建项目在采取有效的防护措施后，不会对项目所在区域土壤产生明显影响。</w:t>
            </w:r>
          </w:p>
          <w:p>
            <w:pPr>
              <w:adjustRightInd w:val="0"/>
              <w:snapToGrid w:val="0"/>
              <w:rPr>
                <w:rFonts w:cs="Times New Roman"/>
                <w:b/>
                <w:bCs/>
              </w:rPr>
            </w:pPr>
          </w:p>
          <w:p>
            <w:pPr>
              <w:adjustRightInd w:val="0"/>
              <w:snapToGrid w:val="0"/>
              <w:rPr>
                <w:rFonts w:cs="Times New Roman"/>
                <w:b/>
                <w:bCs/>
              </w:rPr>
            </w:pPr>
            <w:r>
              <w:rPr>
                <w:rFonts w:cs="Times New Roman"/>
                <w:b/>
                <w:bCs/>
              </w:rPr>
              <w:t>（六）环境风险影响分析</w:t>
            </w:r>
          </w:p>
          <w:p>
            <w:pPr>
              <w:adjustRightInd w:val="0"/>
              <w:snapToGrid w:val="0"/>
              <w:ind w:firstLine="480" w:firstLineChars="200"/>
              <w:rPr>
                <w:rFonts w:cs="Times New Roman"/>
                <w:lang w:val="zh-CN"/>
              </w:rPr>
            </w:pPr>
            <w:r>
              <w:rPr>
                <w:rFonts w:cs="Times New Roman"/>
                <w:lang w:val="zh-CN"/>
              </w:rPr>
              <w:t>按照《建设项目环境风险评价技术导则》（HJ/T169-2018）的要求，环境风险评价应以突发性事故导致的危险物质环境急性损害防控为目标，对建设项目的环境风险进行分析、预测和评估，提出环境风险预防、控制、减缓措施，明确环境风险监控及应急要求，为建设项目环境风险防控提供科学依据。根据建设项目危险物质数量和分布情况、生产工艺特点，对改扩建后全厂环境风险影响进行分析。</w:t>
            </w:r>
          </w:p>
          <w:p>
            <w:pPr>
              <w:pStyle w:val="17"/>
              <w:adjustRightInd w:val="0"/>
              <w:snapToGrid w:val="0"/>
              <w:ind w:left="480" w:firstLine="241" w:firstLineChars="100"/>
              <w:rPr>
                <w:b/>
                <w:bCs/>
              </w:rPr>
            </w:pPr>
            <w:r>
              <w:rPr>
                <w:b/>
                <w:bCs/>
              </w:rPr>
              <w:t>1、风险源调查</w:t>
            </w:r>
          </w:p>
          <w:p>
            <w:pPr>
              <w:adjustRightInd w:val="0"/>
              <w:snapToGrid w:val="0"/>
              <w:ind w:firstLine="480" w:firstLineChars="200"/>
              <w:rPr>
                <w:rFonts w:cs="Times New Roman"/>
                <w:lang w:val="zh-CN"/>
              </w:rPr>
            </w:pPr>
            <w:r>
              <w:rPr>
                <w:rFonts w:cs="Times New Roman"/>
                <w:lang w:val="zh-CN"/>
              </w:rPr>
              <w:t>根据建设项目危险物质数量和分布情况、生产工艺特点，以及参考《建设项目环境风险评价技术导则》（HJ69-2018）可知本项目运营过程中投入和产出中涉及的危险物质为：机油、废机油。现有工程运营期涉及的风险物质主要为柴油、导热油、机油、废机油。综上，本项目运营过程中涉及的危险物质为油类物质（柴油、导热油、机油）和健康危险急性毒性物质（废机油）。</w:t>
            </w:r>
          </w:p>
          <w:p>
            <w:pPr>
              <w:adjustRightInd w:val="0"/>
              <w:snapToGrid w:val="0"/>
              <w:spacing w:line="240" w:lineRule="auto"/>
              <w:jc w:val="center"/>
              <w:rPr>
                <w:rFonts w:cs="Times New Roman"/>
                <w:b/>
                <w:sz w:val="22"/>
              </w:rPr>
            </w:pPr>
            <w:r>
              <w:rPr>
                <w:rFonts w:cs="Times New Roman"/>
                <w:b/>
                <w:sz w:val="22"/>
              </w:rPr>
              <w:t>表4-6 建设项目环境风险识别表</w:t>
            </w:r>
          </w:p>
          <w:tbl>
            <w:tblPr>
              <w:tblStyle w:val="18"/>
              <w:tblW w:w="4996"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1185"/>
              <w:gridCol w:w="1105"/>
              <w:gridCol w:w="982"/>
              <w:gridCol w:w="983"/>
              <w:gridCol w:w="1284"/>
              <w:gridCol w:w="1068"/>
              <w:gridCol w:w="1042"/>
              <w:gridCol w:w="114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adjustRightInd w:val="0"/>
                    <w:snapToGrid w:val="0"/>
                    <w:spacing w:line="240" w:lineRule="auto"/>
                    <w:jc w:val="center"/>
                    <w:rPr>
                      <w:rFonts w:cs="Times New Roman"/>
                      <w:b/>
                      <w:bCs/>
                      <w:kern w:val="0"/>
                      <w:sz w:val="22"/>
                    </w:rPr>
                  </w:pPr>
                  <w:r>
                    <w:rPr>
                      <w:rFonts w:cs="Times New Roman"/>
                      <w:b/>
                      <w:bCs/>
                      <w:kern w:val="0"/>
                      <w:sz w:val="22"/>
                    </w:rPr>
                    <w:t>序号</w:t>
                  </w:r>
                </w:p>
              </w:tc>
              <w:tc>
                <w:tcPr>
                  <w:tcW w:w="642" w:type="pct"/>
                  <w:shd w:val="clear" w:color="auto" w:fill="auto"/>
                  <w:vAlign w:val="center"/>
                </w:tcPr>
                <w:p>
                  <w:pPr>
                    <w:adjustRightInd w:val="0"/>
                    <w:snapToGrid w:val="0"/>
                    <w:spacing w:line="240" w:lineRule="auto"/>
                    <w:jc w:val="center"/>
                    <w:rPr>
                      <w:rFonts w:cs="Times New Roman"/>
                      <w:b/>
                      <w:bCs/>
                      <w:kern w:val="0"/>
                      <w:sz w:val="22"/>
                    </w:rPr>
                  </w:pPr>
                  <w:r>
                    <w:rPr>
                      <w:rFonts w:cs="Times New Roman"/>
                      <w:b/>
                      <w:bCs/>
                      <w:kern w:val="0"/>
                      <w:sz w:val="22"/>
                    </w:rPr>
                    <w:t>风险源</w:t>
                  </w:r>
                </w:p>
              </w:tc>
              <w:tc>
                <w:tcPr>
                  <w:tcW w:w="599" w:type="pct"/>
                  <w:shd w:val="clear" w:color="auto" w:fill="auto"/>
                  <w:vAlign w:val="center"/>
                </w:tcPr>
                <w:p>
                  <w:pPr>
                    <w:adjustRightInd w:val="0"/>
                    <w:snapToGrid w:val="0"/>
                    <w:spacing w:line="240" w:lineRule="auto"/>
                    <w:jc w:val="center"/>
                    <w:rPr>
                      <w:rFonts w:cs="Times New Roman"/>
                      <w:b/>
                      <w:bCs/>
                      <w:kern w:val="0"/>
                      <w:sz w:val="22"/>
                    </w:rPr>
                  </w:pPr>
                  <w:r>
                    <w:rPr>
                      <w:rFonts w:cs="Times New Roman"/>
                      <w:b/>
                      <w:bCs/>
                      <w:kern w:val="0"/>
                      <w:sz w:val="22"/>
                    </w:rPr>
                    <w:t>主要危险物质</w:t>
                  </w:r>
                </w:p>
              </w:tc>
              <w:tc>
                <w:tcPr>
                  <w:tcW w:w="532" w:type="pct"/>
                  <w:shd w:val="clear" w:color="auto" w:fill="auto"/>
                  <w:vAlign w:val="center"/>
                </w:tcPr>
                <w:p>
                  <w:pPr>
                    <w:pStyle w:val="23"/>
                    <w:rPr>
                      <w:color w:val="auto"/>
                      <w:kern w:val="0"/>
                    </w:rPr>
                  </w:pPr>
                  <w:r>
                    <w:rPr>
                      <w:color w:val="auto"/>
                    </w:rPr>
                    <w:t>最大储存量t/a</w:t>
                  </w:r>
                </w:p>
              </w:tc>
              <w:tc>
                <w:tcPr>
                  <w:tcW w:w="532" w:type="pct"/>
                  <w:shd w:val="clear" w:color="auto" w:fill="auto"/>
                  <w:vAlign w:val="center"/>
                </w:tcPr>
                <w:p>
                  <w:pPr>
                    <w:pStyle w:val="23"/>
                    <w:rPr>
                      <w:color w:val="auto"/>
                      <w:kern w:val="0"/>
                    </w:rPr>
                  </w:pPr>
                  <w:r>
                    <w:rPr>
                      <w:color w:val="auto"/>
                    </w:rPr>
                    <w:t>临界量t/a</w:t>
                  </w:r>
                </w:p>
              </w:tc>
              <w:tc>
                <w:tcPr>
                  <w:tcW w:w="695" w:type="pct"/>
                  <w:shd w:val="clear" w:color="auto" w:fill="auto"/>
                  <w:vAlign w:val="center"/>
                </w:tcPr>
                <w:p>
                  <w:pPr>
                    <w:adjustRightInd w:val="0"/>
                    <w:snapToGrid w:val="0"/>
                    <w:spacing w:line="240" w:lineRule="auto"/>
                    <w:jc w:val="center"/>
                    <w:rPr>
                      <w:rFonts w:cs="Times New Roman"/>
                      <w:b/>
                      <w:bCs/>
                      <w:kern w:val="0"/>
                      <w:sz w:val="22"/>
                    </w:rPr>
                  </w:pPr>
                  <w:r>
                    <w:rPr>
                      <w:rFonts w:cs="Times New Roman"/>
                      <w:b/>
                      <w:bCs/>
                      <w:kern w:val="0"/>
                      <w:sz w:val="22"/>
                    </w:rPr>
                    <w:t>Q值</w:t>
                  </w:r>
                </w:p>
              </w:tc>
              <w:tc>
                <w:tcPr>
                  <w:tcW w:w="578" w:type="pct"/>
                  <w:shd w:val="clear" w:color="auto" w:fill="auto"/>
                  <w:vAlign w:val="center"/>
                </w:tcPr>
                <w:p>
                  <w:pPr>
                    <w:adjustRightInd w:val="0"/>
                    <w:snapToGrid w:val="0"/>
                    <w:spacing w:line="240" w:lineRule="auto"/>
                    <w:jc w:val="center"/>
                    <w:rPr>
                      <w:rFonts w:cs="Times New Roman"/>
                      <w:b/>
                      <w:bCs/>
                      <w:kern w:val="0"/>
                      <w:sz w:val="22"/>
                    </w:rPr>
                  </w:pPr>
                  <w:r>
                    <w:rPr>
                      <w:rFonts w:cs="Times New Roman"/>
                      <w:b/>
                      <w:bCs/>
                      <w:kern w:val="0"/>
                      <w:sz w:val="22"/>
                    </w:rPr>
                    <w:t>环境风险类型</w:t>
                  </w:r>
                </w:p>
              </w:tc>
              <w:tc>
                <w:tcPr>
                  <w:tcW w:w="564" w:type="pct"/>
                  <w:shd w:val="clear" w:color="auto" w:fill="auto"/>
                  <w:vAlign w:val="center"/>
                </w:tcPr>
                <w:p>
                  <w:pPr>
                    <w:adjustRightInd w:val="0"/>
                    <w:snapToGrid w:val="0"/>
                    <w:spacing w:line="240" w:lineRule="auto"/>
                    <w:jc w:val="center"/>
                    <w:rPr>
                      <w:rFonts w:cs="Times New Roman"/>
                      <w:b/>
                      <w:bCs/>
                      <w:kern w:val="0"/>
                      <w:sz w:val="22"/>
                    </w:rPr>
                  </w:pPr>
                  <w:r>
                    <w:rPr>
                      <w:rFonts w:cs="Times New Roman"/>
                      <w:b/>
                      <w:bCs/>
                      <w:kern w:val="0"/>
                      <w:sz w:val="22"/>
                    </w:rPr>
                    <w:t>环境影响途径</w:t>
                  </w:r>
                </w:p>
              </w:tc>
              <w:tc>
                <w:tcPr>
                  <w:tcW w:w="622" w:type="pct"/>
                  <w:shd w:val="clear" w:color="auto" w:fill="auto"/>
                  <w:vAlign w:val="center"/>
                </w:tcPr>
                <w:p>
                  <w:pPr>
                    <w:adjustRightInd w:val="0"/>
                    <w:snapToGrid w:val="0"/>
                    <w:spacing w:line="240" w:lineRule="auto"/>
                    <w:jc w:val="center"/>
                    <w:rPr>
                      <w:rFonts w:cs="Times New Roman"/>
                      <w:b/>
                      <w:bCs/>
                      <w:kern w:val="0"/>
                      <w:sz w:val="22"/>
                    </w:rPr>
                  </w:pPr>
                  <w:r>
                    <w:rPr>
                      <w:rFonts w:cs="Times New Roman"/>
                      <w:b/>
                      <w:bCs/>
                      <w:kern w:val="0"/>
                      <w:sz w:val="22"/>
                    </w:rPr>
                    <w:t>可能受影响的环境敏感目标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1</w:t>
                  </w:r>
                </w:p>
              </w:tc>
              <w:tc>
                <w:tcPr>
                  <w:tcW w:w="642" w:type="pct"/>
                  <w:shd w:val="clear" w:color="auto" w:fill="auto"/>
                  <w:vAlign w:val="center"/>
                </w:tcPr>
                <w:p>
                  <w:pPr>
                    <w:adjustRightInd w:val="0"/>
                    <w:snapToGrid w:val="0"/>
                    <w:spacing w:line="240" w:lineRule="auto"/>
                    <w:jc w:val="center"/>
                    <w:rPr>
                      <w:rFonts w:cs="Times New Roman"/>
                      <w:sz w:val="22"/>
                    </w:rPr>
                  </w:pPr>
                  <w:r>
                    <w:rPr>
                      <w:rFonts w:cs="Times New Roman"/>
                      <w:sz w:val="22"/>
                    </w:rPr>
                    <w:t>柴油储罐</w:t>
                  </w:r>
                </w:p>
              </w:tc>
              <w:tc>
                <w:tcPr>
                  <w:tcW w:w="599" w:type="pct"/>
                  <w:shd w:val="clear" w:color="auto" w:fill="auto"/>
                  <w:vAlign w:val="center"/>
                </w:tcPr>
                <w:p>
                  <w:pPr>
                    <w:adjustRightInd w:val="0"/>
                    <w:snapToGrid w:val="0"/>
                    <w:spacing w:line="240" w:lineRule="auto"/>
                    <w:jc w:val="center"/>
                    <w:rPr>
                      <w:rFonts w:cs="Times New Roman"/>
                      <w:sz w:val="22"/>
                    </w:rPr>
                  </w:pPr>
                  <w:r>
                    <w:rPr>
                      <w:rFonts w:cs="Times New Roman"/>
                      <w:sz w:val="22"/>
                    </w:rPr>
                    <w:t>柴油</w:t>
                  </w:r>
                </w:p>
              </w:tc>
              <w:tc>
                <w:tcPr>
                  <w:tcW w:w="532" w:type="pct"/>
                  <w:shd w:val="clear" w:color="auto" w:fill="auto"/>
                  <w:vAlign w:val="center"/>
                </w:tcPr>
                <w:p>
                  <w:pPr>
                    <w:adjustRightInd w:val="0"/>
                    <w:snapToGrid w:val="0"/>
                    <w:spacing w:line="240" w:lineRule="auto"/>
                    <w:jc w:val="center"/>
                    <w:rPr>
                      <w:rFonts w:cs="Times New Roman"/>
                      <w:sz w:val="22"/>
                    </w:rPr>
                  </w:pPr>
                  <w:r>
                    <w:rPr>
                      <w:rFonts w:cs="Times New Roman"/>
                      <w:sz w:val="22"/>
                    </w:rPr>
                    <w:t>5</w:t>
                  </w:r>
                </w:p>
              </w:tc>
              <w:tc>
                <w:tcPr>
                  <w:tcW w:w="532" w:type="pct"/>
                  <w:shd w:val="clear" w:color="auto" w:fill="auto"/>
                  <w:vAlign w:val="center"/>
                </w:tcPr>
                <w:p>
                  <w:pPr>
                    <w:adjustRightInd w:val="0"/>
                    <w:snapToGrid w:val="0"/>
                    <w:spacing w:line="240" w:lineRule="auto"/>
                    <w:jc w:val="center"/>
                    <w:rPr>
                      <w:rFonts w:cs="Times New Roman"/>
                      <w:sz w:val="22"/>
                    </w:rPr>
                  </w:pPr>
                  <w:r>
                    <w:rPr>
                      <w:rFonts w:cs="Times New Roman"/>
                      <w:sz w:val="22"/>
                    </w:rPr>
                    <w:t>2500</w:t>
                  </w:r>
                </w:p>
              </w:tc>
              <w:tc>
                <w:tcPr>
                  <w:tcW w:w="695" w:type="pct"/>
                  <w:shd w:val="clear" w:color="auto" w:fill="auto"/>
                  <w:vAlign w:val="center"/>
                </w:tcPr>
                <w:p>
                  <w:pPr>
                    <w:adjustRightInd w:val="0"/>
                    <w:snapToGrid w:val="0"/>
                    <w:spacing w:line="240" w:lineRule="auto"/>
                    <w:jc w:val="center"/>
                    <w:rPr>
                      <w:rFonts w:cs="Times New Roman"/>
                      <w:sz w:val="22"/>
                    </w:rPr>
                  </w:pPr>
                  <w:r>
                    <w:rPr>
                      <w:rFonts w:cs="Times New Roman"/>
                      <w:sz w:val="22"/>
                    </w:rPr>
                    <w:t>0.002</w:t>
                  </w:r>
                </w:p>
              </w:tc>
              <w:tc>
                <w:tcPr>
                  <w:tcW w:w="578" w:type="pct"/>
                  <w:vMerge w:val="restar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可燃、渗漏</w:t>
                  </w:r>
                </w:p>
              </w:tc>
              <w:tc>
                <w:tcPr>
                  <w:tcW w:w="564" w:type="pct"/>
                  <w:vMerge w:val="restar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大气、水、土壤</w:t>
                  </w:r>
                </w:p>
              </w:tc>
              <w:tc>
                <w:tcPr>
                  <w:tcW w:w="622" w:type="pct"/>
                  <w:vMerge w:val="restar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职工及周边居民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2</w:t>
                  </w:r>
                </w:p>
              </w:tc>
              <w:tc>
                <w:tcPr>
                  <w:tcW w:w="642" w:type="pct"/>
                  <w:shd w:val="clear" w:color="auto" w:fill="auto"/>
                  <w:vAlign w:val="center"/>
                </w:tcPr>
                <w:p>
                  <w:pPr>
                    <w:adjustRightInd w:val="0"/>
                    <w:snapToGrid w:val="0"/>
                    <w:spacing w:line="240" w:lineRule="auto"/>
                    <w:jc w:val="center"/>
                    <w:rPr>
                      <w:rFonts w:cs="Times New Roman"/>
                      <w:sz w:val="22"/>
                    </w:rPr>
                  </w:pPr>
                  <w:r>
                    <w:rPr>
                      <w:rFonts w:cs="Times New Roman"/>
                      <w:sz w:val="22"/>
                    </w:rPr>
                    <w:t>导热油炉</w:t>
                  </w:r>
                </w:p>
              </w:tc>
              <w:tc>
                <w:tcPr>
                  <w:tcW w:w="599" w:type="pct"/>
                  <w:shd w:val="clear" w:color="auto" w:fill="auto"/>
                  <w:vAlign w:val="center"/>
                </w:tcPr>
                <w:p>
                  <w:pPr>
                    <w:adjustRightInd w:val="0"/>
                    <w:snapToGrid w:val="0"/>
                    <w:spacing w:line="240" w:lineRule="auto"/>
                    <w:jc w:val="center"/>
                    <w:rPr>
                      <w:rFonts w:cs="Times New Roman"/>
                      <w:sz w:val="22"/>
                    </w:rPr>
                  </w:pPr>
                  <w:r>
                    <w:rPr>
                      <w:rFonts w:cs="Times New Roman"/>
                      <w:sz w:val="22"/>
                    </w:rPr>
                    <w:t>导热油</w:t>
                  </w:r>
                </w:p>
              </w:tc>
              <w:tc>
                <w:tcPr>
                  <w:tcW w:w="532" w:type="pct"/>
                  <w:shd w:val="clear" w:color="auto" w:fill="auto"/>
                  <w:vAlign w:val="center"/>
                </w:tcPr>
                <w:p>
                  <w:pPr>
                    <w:adjustRightInd w:val="0"/>
                    <w:snapToGrid w:val="0"/>
                    <w:spacing w:line="240" w:lineRule="auto"/>
                    <w:jc w:val="center"/>
                    <w:rPr>
                      <w:rFonts w:cs="Times New Roman"/>
                      <w:sz w:val="22"/>
                    </w:rPr>
                  </w:pPr>
                  <w:r>
                    <w:rPr>
                      <w:rFonts w:cs="Times New Roman"/>
                      <w:sz w:val="22"/>
                    </w:rPr>
                    <w:t>16</w:t>
                  </w:r>
                </w:p>
              </w:tc>
              <w:tc>
                <w:tcPr>
                  <w:tcW w:w="532" w:type="pct"/>
                  <w:shd w:val="clear" w:color="auto" w:fill="auto"/>
                  <w:vAlign w:val="center"/>
                </w:tcPr>
                <w:p>
                  <w:pPr>
                    <w:adjustRightInd w:val="0"/>
                    <w:snapToGrid w:val="0"/>
                    <w:spacing w:line="240" w:lineRule="auto"/>
                    <w:jc w:val="center"/>
                    <w:rPr>
                      <w:rFonts w:cs="Times New Roman"/>
                      <w:sz w:val="22"/>
                    </w:rPr>
                  </w:pPr>
                  <w:r>
                    <w:rPr>
                      <w:rFonts w:cs="Times New Roman"/>
                      <w:sz w:val="22"/>
                    </w:rPr>
                    <w:t>2500</w:t>
                  </w:r>
                </w:p>
              </w:tc>
              <w:tc>
                <w:tcPr>
                  <w:tcW w:w="695" w:type="pct"/>
                  <w:shd w:val="clear" w:color="auto" w:fill="auto"/>
                  <w:vAlign w:val="center"/>
                </w:tcPr>
                <w:p>
                  <w:pPr>
                    <w:adjustRightInd w:val="0"/>
                    <w:snapToGrid w:val="0"/>
                    <w:spacing w:line="240" w:lineRule="auto"/>
                    <w:jc w:val="center"/>
                    <w:rPr>
                      <w:rFonts w:cs="Times New Roman"/>
                      <w:sz w:val="22"/>
                    </w:rPr>
                  </w:pPr>
                  <w:r>
                    <w:rPr>
                      <w:rFonts w:cs="Times New Roman"/>
                      <w:sz w:val="22"/>
                    </w:rPr>
                    <w:t>0.0064</w:t>
                  </w:r>
                </w:p>
              </w:tc>
              <w:tc>
                <w:tcPr>
                  <w:tcW w:w="578" w:type="pct"/>
                  <w:vMerge w:val="continue"/>
                  <w:shd w:val="clear" w:color="auto" w:fill="auto"/>
                  <w:vAlign w:val="center"/>
                </w:tcPr>
                <w:p>
                  <w:pPr>
                    <w:adjustRightInd w:val="0"/>
                    <w:snapToGrid w:val="0"/>
                    <w:spacing w:line="240" w:lineRule="auto"/>
                    <w:jc w:val="center"/>
                    <w:rPr>
                      <w:rFonts w:cs="Times New Roman"/>
                      <w:kern w:val="0"/>
                      <w:sz w:val="22"/>
                    </w:rPr>
                  </w:pPr>
                </w:p>
              </w:tc>
              <w:tc>
                <w:tcPr>
                  <w:tcW w:w="564" w:type="pct"/>
                  <w:vMerge w:val="continue"/>
                  <w:shd w:val="clear" w:color="auto" w:fill="auto"/>
                  <w:vAlign w:val="center"/>
                </w:tcPr>
                <w:p>
                  <w:pPr>
                    <w:adjustRightInd w:val="0"/>
                    <w:snapToGrid w:val="0"/>
                    <w:spacing w:line="240" w:lineRule="auto"/>
                    <w:jc w:val="center"/>
                    <w:rPr>
                      <w:rFonts w:cs="Times New Roman"/>
                      <w:kern w:val="0"/>
                      <w:sz w:val="22"/>
                    </w:rPr>
                  </w:pPr>
                </w:p>
              </w:tc>
              <w:tc>
                <w:tcPr>
                  <w:tcW w:w="622" w:type="pct"/>
                  <w:vMerge w:val="continue"/>
                  <w:shd w:val="clear" w:color="auto" w:fill="auto"/>
                  <w:vAlign w:val="center"/>
                </w:tcPr>
                <w:p>
                  <w:pPr>
                    <w:adjustRightInd w:val="0"/>
                    <w:snapToGrid w:val="0"/>
                    <w:spacing w:line="240" w:lineRule="auto"/>
                    <w:jc w:val="center"/>
                    <w:rPr>
                      <w:rFonts w:cs="Times New Roman"/>
                      <w:kern w:val="0"/>
                      <w:sz w:val="22"/>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3</w:t>
                  </w:r>
                </w:p>
              </w:tc>
              <w:tc>
                <w:tcPr>
                  <w:tcW w:w="642" w:type="pct"/>
                  <w:shd w:val="clear" w:color="auto" w:fill="auto"/>
                  <w:vAlign w:val="center"/>
                </w:tcPr>
                <w:p>
                  <w:pPr>
                    <w:adjustRightInd w:val="0"/>
                    <w:snapToGrid w:val="0"/>
                    <w:spacing w:line="240" w:lineRule="auto"/>
                    <w:jc w:val="center"/>
                    <w:rPr>
                      <w:rFonts w:cs="Times New Roman"/>
                      <w:sz w:val="22"/>
                    </w:rPr>
                  </w:pPr>
                  <w:r>
                    <w:rPr>
                      <w:rFonts w:cs="Times New Roman"/>
                      <w:sz w:val="22"/>
                    </w:rPr>
                    <w:t>生产车间</w:t>
                  </w:r>
                </w:p>
              </w:tc>
              <w:tc>
                <w:tcPr>
                  <w:tcW w:w="599" w:type="pct"/>
                  <w:shd w:val="clear" w:color="auto" w:fill="auto"/>
                  <w:vAlign w:val="center"/>
                </w:tcPr>
                <w:p>
                  <w:pPr>
                    <w:adjustRightInd w:val="0"/>
                    <w:snapToGrid w:val="0"/>
                    <w:spacing w:line="240" w:lineRule="auto"/>
                    <w:jc w:val="center"/>
                    <w:rPr>
                      <w:rFonts w:cs="Times New Roman"/>
                      <w:sz w:val="22"/>
                    </w:rPr>
                  </w:pPr>
                  <w:r>
                    <w:rPr>
                      <w:rFonts w:cs="Times New Roman"/>
                      <w:sz w:val="22"/>
                    </w:rPr>
                    <w:t>机油</w:t>
                  </w:r>
                </w:p>
              </w:tc>
              <w:tc>
                <w:tcPr>
                  <w:tcW w:w="532" w:type="pct"/>
                  <w:shd w:val="clear" w:color="auto" w:fill="auto"/>
                  <w:vAlign w:val="center"/>
                </w:tcPr>
                <w:p>
                  <w:pPr>
                    <w:adjustRightInd w:val="0"/>
                    <w:snapToGrid w:val="0"/>
                    <w:spacing w:line="240" w:lineRule="auto"/>
                    <w:jc w:val="center"/>
                    <w:rPr>
                      <w:rFonts w:cs="Times New Roman"/>
                      <w:sz w:val="22"/>
                    </w:rPr>
                  </w:pPr>
                  <w:r>
                    <w:rPr>
                      <w:rFonts w:cs="Times New Roman"/>
                      <w:sz w:val="22"/>
                    </w:rPr>
                    <w:t>1.25</w:t>
                  </w:r>
                </w:p>
              </w:tc>
              <w:tc>
                <w:tcPr>
                  <w:tcW w:w="532" w:type="pct"/>
                  <w:shd w:val="clear" w:color="auto" w:fill="auto"/>
                  <w:vAlign w:val="center"/>
                </w:tcPr>
                <w:p>
                  <w:pPr>
                    <w:adjustRightInd w:val="0"/>
                    <w:snapToGrid w:val="0"/>
                    <w:spacing w:line="240" w:lineRule="auto"/>
                    <w:jc w:val="center"/>
                    <w:rPr>
                      <w:rFonts w:cs="Times New Roman"/>
                      <w:sz w:val="22"/>
                    </w:rPr>
                  </w:pPr>
                  <w:r>
                    <w:rPr>
                      <w:rFonts w:cs="Times New Roman"/>
                      <w:sz w:val="22"/>
                    </w:rPr>
                    <w:t>2500</w:t>
                  </w:r>
                </w:p>
              </w:tc>
              <w:tc>
                <w:tcPr>
                  <w:tcW w:w="695" w:type="pct"/>
                  <w:shd w:val="clear" w:color="auto" w:fill="auto"/>
                  <w:vAlign w:val="center"/>
                </w:tcPr>
                <w:p>
                  <w:pPr>
                    <w:adjustRightInd w:val="0"/>
                    <w:snapToGrid w:val="0"/>
                    <w:spacing w:line="240" w:lineRule="auto"/>
                    <w:jc w:val="center"/>
                    <w:rPr>
                      <w:rFonts w:cs="Times New Roman"/>
                      <w:sz w:val="22"/>
                    </w:rPr>
                  </w:pPr>
                  <w:r>
                    <w:rPr>
                      <w:rFonts w:cs="Times New Roman"/>
                      <w:sz w:val="22"/>
                    </w:rPr>
                    <w:t>0.0005</w:t>
                  </w:r>
                </w:p>
              </w:tc>
              <w:tc>
                <w:tcPr>
                  <w:tcW w:w="578" w:type="pct"/>
                  <w:vMerge w:val="continue"/>
                  <w:shd w:val="clear" w:color="auto" w:fill="auto"/>
                  <w:vAlign w:val="center"/>
                </w:tcPr>
                <w:p>
                  <w:pPr>
                    <w:adjustRightInd w:val="0"/>
                    <w:snapToGrid w:val="0"/>
                    <w:spacing w:line="240" w:lineRule="auto"/>
                    <w:jc w:val="center"/>
                    <w:rPr>
                      <w:rFonts w:cs="Times New Roman"/>
                      <w:kern w:val="0"/>
                      <w:sz w:val="22"/>
                    </w:rPr>
                  </w:pPr>
                </w:p>
              </w:tc>
              <w:tc>
                <w:tcPr>
                  <w:tcW w:w="564" w:type="pct"/>
                  <w:vMerge w:val="continue"/>
                  <w:shd w:val="clear" w:color="auto" w:fill="auto"/>
                  <w:vAlign w:val="center"/>
                </w:tcPr>
                <w:p>
                  <w:pPr>
                    <w:adjustRightInd w:val="0"/>
                    <w:snapToGrid w:val="0"/>
                    <w:spacing w:line="240" w:lineRule="auto"/>
                    <w:jc w:val="center"/>
                    <w:rPr>
                      <w:rFonts w:cs="Times New Roman"/>
                      <w:kern w:val="0"/>
                      <w:sz w:val="22"/>
                    </w:rPr>
                  </w:pPr>
                </w:p>
              </w:tc>
              <w:tc>
                <w:tcPr>
                  <w:tcW w:w="622" w:type="pct"/>
                  <w:vMerge w:val="continue"/>
                  <w:shd w:val="clear" w:color="auto" w:fill="auto"/>
                  <w:vAlign w:val="center"/>
                </w:tcPr>
                <w:p>
                  <w:pPr>
                    <w:adjustRightInd w:val="0"/>
                    <w:snapToGrid w:val="0"/>
                    <w:spacing w:line="240" w:lineRule="auto"/>
                    <w:jc w:val="center"/>
                    <w:rPr>
                      <w:rFonts w:cs="Times New Roman"/>
                      <w:kern w:val="0"/>
                      <w:sz w:val="22"/>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4</w:t>
                  </w:r>
                </w:p>
              </w:tc>
              <w:tc>
                <w:tcPr>
                  <w:tcW w:w="642" w:type="pct"/>
                  <w:shd w:val="clear" w:color="auto" w:fill="auto"/>
                  <w:vAlign w:val="center"/>
                </w:tcPr>
                <w:p>
                  <w:pPr>
                    <w:adjustRightInd w:val="0"/>
                    <w:snapToGrid w:val="0"/>
                    <w:spacing w:line="240" w:lineRule="auto"/>
                    <w:jc w:val="center"/>
                    <w:rPr>
                      <w:rFonts w:cs="Times New Roman"/>
                      <w:kern w:val="0"/>
                      <w:sz w:val="22"/>
                    </w:rPr>
                  </w:pPr>
                  <w:r>
                    <w:rPr>
                      <w:rFonts w:cs="Times New Roman"/>
                      <w:sz w:val="22"/>
                    </w:rPr>
                    <w:t>危废间</w:t>
                  </w:r>
                </w:p>
              </w:tc>
              <w:tc>
                <w:tcPr>
                  <w:tcW w:w="599" w:type="pct"/>
                  <w:shd w:val="clear" w:color="auto" w:fill="auto"/>
                  <w:vAlign w:val="center"/>
                </w:tcPr>
                <w:p>
                  <w:pPr>
                    <w:adjustRightInd w:val="0"/>
                    <w:snapToGrid w:val="0"/>
                    <w:spacing w:line="240" w:lineRule="auto"/>
                    <w:jc w:val="center"/>
                    <w:rPr>
                      <w:rFonts w:cs="Times New Roman"/>
                      <w:sz w:val="22"/>
                    </w:rPr>
                  </w:pPr>
                  <w:r>
                    <w:rPr>
                      <w:rFonts w:cs="Times New Roman"/>
                      <w:sz w:val="22"/>
                    </w:rPr>
                    <w:t>废机油</w:t>
                  </w:r>
                </w:p>
              </w:tc>
              <w:tc>
                <w:tcPr>
                  <w:tcW w:w="532" w:type="pct"/>
                  <w:shd w:val="clear" w:color="auto" w:fill="auto"/>
                  <w:vAlign w:val="center"/>
                </w:tcPr>
                <w:p>
                  <w:pPr>
                    <w:adjustRightInd w:val="0"/>
                    <w:snapToGrid w:val="0"/>
                    <w:spacing w:line="240" w:lineRule="auto"/>
                    <w:jc w:val="center"/>
                    <w:rPr>
                      <w:rFonts w:cs="Times New Roman"/>
                      <w:sz w:val="22"/>
                    </w:rPr>
                  </w:pPr>
                  <w:r>
                    <w:rPr>
                      <w:rFonts w:cs="Times New Roman"/>
                      <w:sz w:val="22"/>
                    </w:rPr>
                    <w:t>1.16</w:t>
                  </w:r>
                </w:p>
              </w:tc>
              <w:tc>
                <w:tcPr>
                  <w:tcW w:w="532" w:type="pct"/>
                  <w:shd w:val="clear" w:color="auto" w:fill="auto"/>
                  <w:vAlign w:val="center"/>
                </w:tcPr>
                <w:p>
                  <w:pPr>
                    <w:adjustRightInd w:val="0"/>
                    <w:snapToGrid w:val="0"/>
                    <w:spacing w:line="240" w:lineRule="auto"/>
                    <w:jc w:val="center"/>
                    <w:rPr>
                      <w:rFonts w:cs="Times New Roman"/>
                      <w:kern w:val="0"/>
                      <w:sz w:val="22"/>
                    </w:rPr>
                  </w:pPr>
                  <w:r>
                    <w:rPr>
                      <w:rFonts w:cs="Times New Roman"/>
                      <w:sz w:val="22"/>
                    </w:rPr>
                    <w:t>50</w:t>
                  </w:r>
                </w:p>
              </w:tc>
              <w:tc>
                <w:tcPr>
                  <w:tcW w:w="695" w:type="pct"/>
                  <w:shd w:val="clear" w:color="auto" w:fill="auto"/>
                  <w:vAlign w:val="center"/>
                </w:tcPr>
                <w:p>
                  <w:pPr>
                    <w:adjustRightInd w:val="0"/>
                    <w:snapToGrid w:val="0"/>
                    <w:spacing w:line="240" w:lineRule="auto"/>
                    <w:jc w:val="center"/>
                    <w:rPr>
                      <w:rFonts w:cs="Times New Roman"/>
                      <w:sz w:val="22"/>
                    </w:rPr>
                  </w:pPr>
                  <w:r>
                    <w:rPr>
                      <w:rFonts w:cs="Times New Roman"/>
                      <w:sz w:val="22"/>
                    </w:rPr>
                    <w:t>0.0232</w:t>
                  </w:r>
                </w:p>
              </w:tc>
              <w:tc>
                <w:tcPr>
                  <w:tcW w:w="578" w:type="pct"/>
                  <w:vMerge w:val="continue"/>
                  <w:shd w:val="clear" w:color="auto" w:fill="auto"/>
                  <w:vAlign w:val="center"/>
                </w:tcPr>
                <w:p>
                  <w:pPr>
                    <w:adjustRightInd w:val="0"/>
                    <w:snapToGrid w:val="0"/>
                    <w:spacing w:line="240" w:lineRule="auto"/>
                    <w:jc w:val="center"/>
                    <w:rPr>
                      <w:rFonts w:cs="Times New Roman"/>
                      <w:kern w:val="0"/>
                      <w:sz w:val="22"/>
                    </w:rPr>
                  </w:pPr>
                </w:p>
              </w:tc>
              <w:tc>
                <w:tcPr>
                  <w:tcW w:w="564" w:type="pct"/>
                  <w:vMerge w:val="continue"/>
                  <w:shd w:val="clear" w:color="auto" w:fill="auto"/>
                  <w:vAlign w:val="center"/>
                </w:tcPr>
                <w:p>
                  <w:pPr>
                    <w:adjustRightInd w:val="0"/>
                    <w:snapToGrid w:val="0"/>
                    <w:spacing w:line="240" w:lineRule="auto"/>
                    <w:jc w:val="center"/>
                    <w:rPr>
                      <w:rFonts w:cs="Times New Roman"/>
                      <w:kern w:val="0"/>
                      <w:sz w:val="22"/>
                    </w:rPr>
                  </w:pPr>
                </w:p>
              </w:tc>
              <w:tc>
                <w:tcPr>
                  <w:tcW w:w="622" w:type="pct"/>
                  <w:vMerge w:val="continue"/>
                  <w:shd w:val="clear" w:color="auto" w:fill="auto"/>
                  <w:vAlign w:val="center"/>
                </w:tcPr>
                <w:p>
                  <w:pPr>
                    <w:adjustRightInd w:val="0"/>
                    <w:snapToGrid w:val="0"/>
                    <w:spacing w:line="240" w:lineRule="auto"/>
                    <w:jc w:val="center"/>
                    <w:rPr>
                      <w:rFonts w:cs="Times New Roman"/>
                      <w:kern w:val="0"/>
                      <w:sz w:val="22"/>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40" w:type="pct"/>
                  <w:gridSpan w:val="5"/>
                  <w:shd w:val="clear" w:color="auto" w:fill="auto"/>
                  <w:vAlign w:val="center"/>
                </w:tcPr>
                <w:p>
                  <w:pPr>
                    <w:adjustRightInd w:val="0"/>
                    <w:snapToGrid w:val="0"/>
                    <w:spacing w:line="240" w:lineRule="auto"/>
                    <w:jc w:val="center"/>
                    <w:rPr>
                      <w:rFonts w:cs="Times New Roman"/>
                      <w:sz w:val="22"/>
                    </w:rPr>
                  </w:pPr>
                  <w:r>
                    <w:rPr>
                      <w:rFonts w:cs="Times New Roman"/>
                      <w:sz w:val="22"/>
                    </w:rPr>
                    <w:t>项目Q值合计</w:t>
                  </w:r>
                </w:p>
              </w:tc>
              <w:tc>
                <w:tcPr>
                  <w:tcW w:w="695"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0.0321</w:t>
                  </w:r>
                </w:p>
              </w:tc>
              <w:tc>
                <w:tcPr>
                  <w:tcW w:w="578"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w:t>
                  </w:r>
                </w:p>
              </w:tc>
              <w:tc>
                <w:tcPr>
                  <w:tcW w:w="564"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w:t>
                  </w:r>
                </w:p>
              </w:tc>
              <w:tc>
                <w:tcPr>
                  <w:tcW w:w="622" w:type="pct"/>
                  <w:shd w:val="clear" w:color="auto" w:fill="auto"/>
                  <w:vAlign w:val="center"/>
                </w:tcPr>
                <w:p>
                  <w:pPr>
                    <w:adjustRightInd w:val="0"/>
                    <w:snapToGrid w:val="0"/>
                    <w:spacing w:line="240" w:lineRule="auto"/>
                    <w:jc w:val="center"/>
                    <w:rPr>
                      <w:rFonts w:cs="Times New Roman"/>
                      <w:kern w:val="0"/>
                      <w:sz w:val="22"/>
                    </w:rPr>
                  </w:pPr>
                  <w:r>
                    <w:rPr>
                      <w:rFonts w:cs="Times New Roman"/>
                      <w:kern w:val="0"/>
                      <w:sz w:val="22"/>
                    </w:rPr>
                    <w:t>/</w:t>
                  </w:r>
                </w:p>
              </w:tc>
            </w:tr>
          </w:tbl>
          <w:p>
            <w:pPr>
              <w:adjustRightInd w:val="0"/>
              <w:snapToGrid w:val="0"/>
              <w:ind w:firstLine="480" w:firstLineChars="200"/>
              <w:rPr>
                <w:rFonts w:cs="Times New Roman"/>
              </w:rPr>
            </w:pPr>
            <w:r>
              <w:rPr>
                <w:rFonts w:cs="Times New Roman"/>
              </w:rPr>
              <w:t>综上，本项目危险物质数量与临界量比值Q值的∑为0.0321，Q＜1不存在重大危险源，故本项目做简单分析如下：</w:t>
            </w:r>
          </w:p>
          <w:p>
            <w:pPr>
              <w:adjustRightInd w:val="0"/>
              <w:snapToGrid w:val="0"/>
              <w:ind w:firstLine="241" w:firstLineChars="100"/>
              <w:rPr>
                <w:rFonts w:cs="Times New Roman"/>
                <w:b/>
                <w:bCs/>
              </w:rPr>
            </w:pPr>
            <w:r>
              <w:rPr>
                <w:rFonts w:cs="Times New Roman"/>
                <w:b/>
                <w:bCs/>
              </w:rPr>
              <w:t>2、环境风险分析</w:t>
            </w:r>
          </w:p>
          <w:p>
            <w:pPr>
              <w:adjustRightInd w:val="0"/>
              <w:snapToGrid w:val="0"/>
              <w:ind w:firstLine="480" w:firstLineChars="200"/>
              <w:rPr>
                <w:rFonts w:cs="Times New Roman"/>
              </w:rPr>
            </w:pPr>
            <w:r>
              <w:rPr>
                <w:rFonts w:cs="Times New Roman"/>
              </w:rPr>
              <w:t>可能存在的风险为机油储存场所和危废贮存设施的废机油，一旦遇到明火，如施工人员吸烟、厂区中有明火等，均可能导致火灾的发生，危害人身安全。本项目可通过设置专门的危险品存储区存储危险品，与其他区域隔离。本项目环境风险类型主要为机油储存场所和危废贮存设施的废机油发生泄漏引起的火灾等引起的伴生/次生污染物排放。</w:t>
            </w:r>
          </w:p>
          <w:p>
            <w:pPr>
              <w:adjustRightInd w:val="0"/>
              <w:snapToGrid w:val="0"/>
              <w:ind w:firstLine="241" w:firstLineChars="100"/>
              <w:rPr>
                <w:rFonts w:cs="Times New Roman"/>
                <w:b/>
                <w:bCs/>
              </w:rPr>
            </w:pPr>
            <w:r>
              <w:rPr>
                <w:rFonts w:cs="Times New Roman"/>
                <w:b/>
                <w:bCs/>
              </w:rPr>
              <w:t>3、风险防范措施及应急措施</w:t>
            </w:r>
          </w:p>
          <w:p>
            <w:pPr>
              <w:adjustRightInd w:val="0"/>
              <w:snapToGrid w:val="0"/>
              <w:ind w:firstLine="480" w:firstLineChars="200"/>
              <w:rPr>
                <w:rFonts w:cs="Times New Roman"/>
              </w:rPr>
            </w:pPr>
            <w:r>
              <w:rPr>
                <w:rFonts w:cs="Times New Roman"/>
              </w:rPr>
              <w:t>针对产生的废机油，建设单位已经将其暂存在危废贮存设施内，为进一步减小风险，需加强对危废贮存设施的管理，加强防渗，建立危险废物管理台账，必须定期交由有危险废物处理资质的单位进行处理。加强对原料区机油的管理，周边放置砂子，若发生泄露可及时进行围堵。针对厂区环境风险，建设单位应编制突发环境事件应急预案，并报环保局备案，且及时修正应急预案并加强演练。</w:t>
            </w:r>
          </w:p>
          <w:p>
            <w:pPr>
              <w:adjustRightInd w:val="0"/>
              <w:snapToGrid w:val="0"/>
              <w:ind w:firstLine="480" w:firstLineChars="200"/>
              <w:rPr>
                <w:rFonts w:cs="Times New Roman"/>
              </w:rPr>
            </w:pPr>
            <w:r>
              <w:rPr>
                <w:rFonts w:cs="Times New Roman"/>
              </w:rPr>
              <w:t>综上所述，本项目不存在重大危险源，且涉及危险品性质及生产工艺简单，在采取本次评价提出的各项风险防范措施后，环境风险较小。</w:t>
            </w:r>
          </w:p>
          <w:p>
            <w:pPr>
              <w:adjustRightInd w:val="0"/>
              <w:snapToGrid w:val="0"/>
              <w:rPr>
                <w:rFonts w:cs="Times New Roman"/>
                <w:b/>
                <w:bCs/>
              </w:rPr>
            </w:pPr>
            <w:r>
              <w:rPr>
                <w:rFonts w:hint="eastAsia" w:cs="Times New Roman"/>
                <w:b/>
                <w:bCs/>
              </w:rPr>
              <w:t>（七）绩效环保管理篇章</w:t>
            </w:r>
          </w:p>
          <w:p>
            <w:pPr>
              <w:adjustRightInd w:val="0"/>
              <w:snapToGrid w:val="0"/>
              <w:ind w:firstLine="480" w:firstLineChars="200"/>
              <w:rPr>
                <w:rFonts w:cs="Times New Roman"/>
              </w:rPr>
            </w:pPr>
            <w:r>
              <w:rPr>
                <w:rFonts w:hint="eastAsia" w:cs="Times New Roman"/>
              </w:rPr>
              <w:t>《陕西省生态环境厅关于进一步加强关中地区涉气重点行业项目环评管理的通知》（陕环环评函〔2023〕76 号）中要求“关中地区涉气重点行业新、改、扩建项目环境影响报告书（表）应编制环保绩效管理篇章，按照环办大气函〔2020〕340 号文件从建设项目的装备水平（生产工艺）、污染治理技术、排放限值、无组织管控要求、监测监控水平、环境管理水平、运输方式和管控要求等方面，专项分析拟建和已建项目建设内容、生态环境保护措施与对应环保绩效分级、绩效引领性水平的相符性”。</w:t>
            </w:r>
          </w:p>
          <w:p>
            <w:pPr>
              <w:adjustRightInd w:val="0"/>
              <w:snapToGrid w:val="0"/>
              <w:ind w:firstLine="480" w:firstLineChars="200"/>
              <w:rPr>
                <w:rFonts w:cs="Times New Roman"/>
              </w:rPr>
            </w:pPr>
            <w:r>
              <w:rPr>
                <w:rFonts w:hint="eastAsia" w:cs="Times New Roman"/>
              </w:rPr>
              <w:t>本项目位于西安市周至县，拟建设1条水泥稳定材料生产线，行业类别为C3029其他水泥类似制品制造。属于关中地区涉气重点行业（水泥）项目，根据《重污染天气重点行业应急减排措施制定技术指南（2020年修订版）》的十五水泥中“表15-2独立粉磨站、矿渣粉、水泥制品d绩效引领性指标”进行建设。因此本次评价设置环保绩效管理篇章，对照环办大气函〔2020〕340号文件进行具体分析。</w:t>
            </w:r>
          </w:p>
          <w:p>
            <w:pPr>
              <w:adjustRightInd w:val="0"/>
              <w:snapToGrid w:val="0"/>
              <w:spacing w:line="240" w:lineRule="auto"/>
              <w:jc w:val="center"/>
              <w:rPr>
                <w:rFonts w:cs="Times New Roman"/>
                <w:b/>
                <w:sz w:val="21"/>
                <w:szCs w:val="21"/>
              </w:rPr>
            </w:pPr>
            <w:r>
              <w:rPr>
                <w:rFonts w:hint="eastAsia" w:cs="Times New Roman"/>
                <w:b/>
                <w:sz w:val="21"/>
                <w:szCs w:val="21"/>
              </w:rPr>
              <w:t>表4</w:t>
            </w:r>
            <w:r>
              <w:rPr>
                <w:rFonts w:cs="Times New Roman"/>
                <w:b/>
                <w:sz w:val="21"/>
                <w:szCs w:val="21"/>
              </w:rPr>
              <w:t xml:space="preserve">-7  </w:t>
            </w:r>
            <w:r>
              <w:rPr>
                <w:rFonts w:hint="eastAsia" w:cs="Times New Roman"/>
                <w:b/>
                <w:sz w:val="21"/>
                <w:szCs w:val="21"/>
              </w:rPr>
              <w:t>项目与水泥制品d绩效引领性指标相符性分析</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3007"/>
              <w:gridCol w:w="4538"/>
              <w:gridCol w:w="7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240" w:lineRule="auto"/>
                    <w:jc w:val="center"/>
                    <w:rPr>
                      <w:b/>
                      <w:kern w:val="21"/>
                      <w:sz w:val="21"/>
                      <w:szCs w:val="21"/>
                    </w:rPr>
                  </w:pPr>
                  <w:r>
                    <w:rPr>
                      <w:rFonts w:hint="eastAsia"/>
                      <w:b/>
                      <w:kern w:val="21"/>
                      <w:sz w:val="21"/>
                      <w:szCs w:val="21"/>
                    </w:rPr>
                    <w:t>引领性指标</w:t>
                  </w:r>
                </w:p>
              </w:tc>
              <w:tc>
                <w:tcPr>
                  <w:tcW w:w="1627" w:type="pct"/>
                  <w:vAlign w:val="center"/>
                </w:tcPr>
                <w:p>
                  <w:pPr>
                    <w:spacing w:line="240" w:lineRule="auto"/>
                    <w:jc w:val="center"/>
                    <w:rPr>
                      <w:b/>
                      <w:kern w:val="21"/>
                      <w:sz w:val="21"/>
                      <w:szCs w:val="21"/>
                    </w:rPr>
                  </w:pPr>
                  <w:r>
                    <w:rPr>
                      <w:rFonts w:hint="eastAsia"/>
                      <w:b/>
                      <w:kern w:val="21"/>
                      <w:sz w:val="21"/>
                      <w:szCs w:val="21"/>
                    </w:rPr>
                    <w:t>水泥制品</w:t>
                  </w:r>
                </w:p>
              </w:tc>
              <w:tc>
                <w:tcPr>
                  <w:tcW w:w="2455" w:type="pct"/>
                  <w:vAlign w:val="center"/>
                </w:tcPr>
                <w:p>
                  <w:pPr>
                    <w:spacing w:line="240" w:lineRule="auto"/>
                    <w:jc w:val="center"/>
                    <w:rPr>
                      <w:b/>
                      <w:kern w:val="21"/>
                      <w:sz w:val="21"/>
                      <w:szCs w:val="21"/>
                    </w:rPr>
                  </w:pPr>
                  <w:r>
                    <w:rPr>
                      <w:rFonts w:hint="eastAsia"/>
                      <w:b/>
                      <w:kern w:val="21"/>
                      <w:sz w:val="21"/>
                      <w:szCs w:val="21"/>
                    </w:rPr>
                    <w:t>企业实际情况</w:t>
                  </w:r>
                </w:p>
              </w:tc>
              <w:tc>
                <w:tcPr>
                  <w:tcW w:w="418" w:type="pct"/>
                  <w:vAlign w:val="center"/>
                </w:tcPr>
                <w:p>
                  <w:pPr>
                    <w:spacing w:line="240" w:lineRule="auto"/>
                    <w:jc w:val="center"/>
                    <w:rPr>
                      <w:b/>
                      <w:kern w:val="21"/>
                      <w:sz w:val="21"/>
                      <w:szCs w:val="21"/>
                    </w:rPr>
                  </w:pPr>
                  <w:r>
                    <w:rPr>
                      <w:rFonts w:hint="eastAsia"/>
                      <w:b/>
                      <w:kern w:val="21"/>
                      <w:sz w:val="21"/>
                      <w:szCs w:val="21"/>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240" w:lineRule="auto"/>
                    <w:jc w:val="center"/>
                    <w:rPr>
                      <w:bCs/>
                      <w:kern w:val="21"/>
                      <w:sz w:val="21"/>
                      <w:szCs w:val="21"/>
                    </w:rPr>
                  </w:pPr>
                  <w:r>
                    <w:rPr>
                      <w:rFonts w:hint="eastAsia"/>
                      <w:bCs/>
                      <w:kern w:val="21"/>
                      <w:sz w:val="21"/>
                      <w:szCs w:val="21"/>
                    </w:rPr>
                    <w:t>能源类型</w:t>
                  </w:r>
                </w:p>
              </w:tc>
              <w:tc>
                <w:tcPr>
                  <w:tcW w:w="1627" w:type="pct"/>
                  <w:vAlign w:val="center"/>
                </w:tcPr>
                <w:p>
                  <w:pPr>
                    <w:spacing w:line="240" w:lineRule="auto"/>
                    <w:jc w:val="both"/>
                    <w:rPr>
                      <w:bCs/>
                      <w:kern w:val="21"/>
                      <w:sz w:val="21"/>
                      <w:szCs w:val="21"/>
                    </w:rPr>
                  </w:pPr>
                  <w:r>
                    <w:rPr>
                      <w:rFonts w:hint="eastAsia"/>
                      <w:bCs/>
                      <w:kern w:val="21"/>
                      <w:sz w:val="21"/>
                      <w:szCs w:val="21"/>
                    </w:rPr>
                    <w:t>电、外购蒸汽、天然气（采用低氮燃烧）</w:t>
                  </w:r>
                </w:p>
              </w:tc>
              <w:tc>
                <w:tcPr>
                  <w:tcW w:w="2455" w:type="pct"/>
                  <w:vAlign w:val="center"/>
                </w:tcPr>
                <w:p>
                  <w:pPr>
                    <w:spacing w:line="240" w:lineRule="auto"/>
                    <w:jc w:val="center"/>
                    <w:rPr>
                      <w:bCs/>
                      <w:kern w:val="21"/>
                      <w:sz w:val="21"/>
                      <w:szCs w:val="21"/>
                    </w:rPr>
                  </w:pPr>
                  <w:r>
                    <w:rPr>
                      <w:rFonts w:hint="eastAsia"/>
                      <w:bCs/>
                      <w:kern w:val="21"/>
                      <w:sz w:val="21"/>
                      <w:szCs w:val="21"/>
                    </w:rPr>
                    <w:t>本次扩建工程生产过程中采用的能源主要为电。</w:t>
                  </w:r>
                </w:p>
              </w:tc>
              <w:tc>
                <w:tcPr>
                  <w:tcW w:w="418" w:type="pct"/>
                  <w:vAlign w:val="center"/>
                </w:tcPr>
                <w:p>
                  <w:pPr>
                    <w:spacing w:line="240" w:lineRule="auto"/>
                    <w:jc w:val="center"/>
                    <w:rPr>
                      <w:bCs/>
                      <w:kern w:val="21"/>
                      <w:sz w:val="21"/>
                      <w:szCs w:val="21"/>
                    </w:rPr>
                  </w:pPr>
                  <w:r>
                    <w:rPr>
                      <w:rFonts w:hint="eastAsia"/>
                      <w:bCs/>
                      <w:kern w:val="21"/>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240" w:lineRule="auto"/>
                    <w:jc w:val="center"/>
                    <w:rPr>
                      <w:bCs/>
                      <w:kern w:val="21"/>
                      <w:sz w:val="21"/>
                      <w:szCs w:val="21"/>
                    </w:rPr>
                  </w:pPr>
                  <w:r>
                    <w:rPr>
                      <w:rFonts w:hint="eastAsia"/>
                      <w:bCs/>
                      <w:kern w:val="21"/>
                      <w:sz w:val="21"/>
                      <w:szCs w:val="21"/>
                    </w:rPr>
                    <w:t>排放限值</w:t>
                  </w:r>
                </w:p>
              </w:tc>
              <w:tc>
                <w:tcPr>
                  <w:tcW w:w="1627" w:type="pct"/>
                  <w:vAlign w:val="center"/>
                </w:tcPr>
                <w:p>
                  <w:pPr>
                    <w:spacing w:line="240" w:lineRule="auto"/>
                    <w:jc w:val="both"/>
                    <w:rPr>
                      <w:bCs/>
                      <w:kern w:val="21"/>
                      <w:sz w:val="21"/>
                      <w:szCs w:val="21"/>
                    </w:rPr>
                  </w:pPr>
                  <w:r>
                    <w:rPr>
                      <w:rFonts w:hint="eastAsia"/>
                      <w:bCs/>
                      <w:kern w:val="21"/>
                      <w:sz w:val="21"/>
                      <w:szCs w:val="21"/>
                    </w:rPr>
                    <w:t>PM、NOx排放浓度不高于10、100mg/m</w:t>
                  </w:r>
                  <w:r>
                    <w:rPr>
                      <w:rFonts w:hint="eastAsia"/>
                      <w:bCs/>
                      <w:kern w:val="21"/>
                      <w:sz w:val="21"/>
                      <w:szCs w:val="21"/>
                      <w:vertAlign w:val="superscript"/>
                    </w:rPr>
                    <w:t>3</w:t>
                  </w:r>
                  <w:r>
                    <w:rPr>
                      <w:rFonts w:hint="eastAsia"/>
                      <w:bCs/>
                      <w:kern w:val="21"/>
                      <w:sz w:val="21"/>
                      <w:szCs w:val="21"/>
                    </w:rPr>
                    <w:t>，天然气锅炉基准氧含量3.5%，PM、NOx排放浓度不高于10、50mg/m</w:t>
                  </w:r>
                  <w:r>
                    <w:rPr>
                      <w:rFonts w:hint="eastAsia"/>
                      <w:bCs/>
                      <w:kern w:val="21"/>
                      <w:sz w:val="21"/>
                      <w:szCs w:val="21"/>
                      <w:vertAlign w:val="superscript"/>
                    </w:rPr>
                    <w:t>3</w:t>
                  </w:r>
                  <w:r>
                    <w:rPr>
                      <w:rFonts w:hint="eastAsia"/>
                      <w:bCs/>
                      <w:kern w:val="21"/>
                      <w:sz w:val="21"/>
                      <w:szCs w:val="21"/>
                    </w:rPr>
                    <w:t>；热风炉基准氧含量8%，PM、NOx排放浓度不高于10、100mg/m</w:t>
                  </w:r>
                  <w:r>
                    <w:rPr>
                      <w:rFonts w:hint="eastAsia"/>
                      <w:bCs/>
                      <w:kern w:val="21"/>
                      <w:sz w:val="21"/>
                      <w:szCs w:val="21"/>
                      <w:vertAlign w:val="superscript"/>
                    </w:rPr>
                    <w:t>3</w:t>
                  </w:r>
                </w:p>
              </w:tc>
              <w:tc>
                <w:tcPr>
                  <w:tcW w:w="2455" w:type="pct"/>
                  <w:vAlign w:val="center"/>
                </w:tcPr>
                <w:p>
                  <w:pPr>
                    <w:spacing w:line="240" w:lineRule="auto"/>
                    <w:jc w:val="center"/>
                    <w:rPr>
                      <w:bCs/>
                      <w:kern w:val="21"/>
                      <w:sz w:val="21"/>
                      <w:szCs w:val="21"/>
                    </w:rPr>
                  </w:pPr>
                  <w:r>
                    <w:rPr>
                      <w:rFonts w:hint="eastAsia"/>
                      <w:bCs/>
                      <w:kern w:val="21"/>
                      <w:sz w:val="21"/>
                      <w:szCs w:val="21"/>
                    </w:rPr>
                    <w:t>企业现有工程和扩建工程涉及到PM的排放，根据现有工程的例行监测报告，厂界PM无组织达标；企业现有工程导热油炉在使用天然气阶段基准氧含量3.</w:t>
                  </w:r>
                  <w:r>
                    <w:rPr>
                      <w:bCs/>
                      <w:kern w:val="21"/>
                      <w:sz w:val="21"/>
                      <w:szCs w:val="21"/>
                    </w:rPr>
                    <w:t>7</w:t>
                  </w:r>
                  <w:r>
                    <w:rPr>
                      <w:rFonts w:hint="eastAsia"/>
                      <w:bCs/>
                      <w:kern w:val="21"/>
                      <w:sz w:val="21"/>
                      <w:szCs w:val="21"/>
                    </w:rPr>
                    <w:t>%，PM、NOx排放浓度不高于10、50mg/m</w:t>
                  </w:r>
                  <w:r>
                    <w:rPr>
                      <w:rFonts w:hint="eastAsia"/>
                      <w:bCs/>
                      <w:kern w:val="21"/>
                      <w:sz w:val="21"/>
                      <w:szCs w:val="21"/>
                      <w:vertAlign w:val="superscript"/>
                    </w:rPr>
                    <w:t>3</w:t>
                  </w:r>
                  <w:r>
                    <w:rPr>
                      <w:rFonts w:hint="eastAsia"/>
                      <w:bCs/>
                      <w:kern w:val="21"/>
                      <w:sz w:val="21"/>
                      <w:szCs w:val="21"/>
                    </w:rPr>
                    <w:t>。</w:t>
                  </w:r>
                </w:p>
              </w:tc>
              <w:tc>
                <w:tcPr>
                  <w:tcW w:w="418" w:type="pct"/>
                  <w:vAlign w:val="center"/>
                </w:tcPr>
                <w:p>
                  <w:pPr>
                    <w:spacing w:line="240" w:lineRule="auto"/>
                    <w:jc w:val="center"/>
                    <w:rPr>
                      <w:bCs/>
                      <w:kern w:val="21"/>
                      <w:sz w:val="21"/>
                      <w:szCs w:val="21"/>
                    </w:rPr>
                  </w:pPr>
                  <w:r>
                    <w:rPr>
                      <w:rFonts w:hint="eastAsia"/>
                      <w:bCs/>
                      <w:kern w:val="21"/>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240" w:lineRule="auto"/>
                    <w:jc w:val="center"/>
                    <w:rPr>
                      <w:bCs/>
                      <w:kern w:val="21"/>
                      <w:sz w:val="21"/>
                      <w:szCs w:val="21"/>
                    </w:rPr>
                  </w:pPr>
                  <w:r>
                    <w:rPr>
                      <w:rFonts w:hint="eastAsia"/>
                      <w:bCs/>
                      <w:kern w:val="21"/>
                      <w:sz w:val="21"/>
                      <w:szCs w:val="21"/>
                    </w:rPr>
                    <w:t>无组织排放</w:t>
                  </w:r>
                </w:p>
              </w:tc>
              <w:tc>
                <w:tcPr>
                  <w:tcW w:w="1627" w:type="pct"/>
                  <w:vAlign w:val="center"/>
                </w:tcPr>
                <w:p>
                  <w:pPr>
                    <w:numPr>
                      <w:ilvl w:val="0"/>
                      <w:numId w:val="4"/>
                    </w:numPr>
                    <w:spacing w:line="240" w:lineRule="auto"/>
                    <w:jc w:val="both"/>
                    <w:rPr>
                      <w:bCs/>
                      <w:kern w:val="21"/>
                      <w:sz w:val="21"/>
                      <w:szCs w:val="21"/>
                    </w:rPr>
                  </w:pPr>
                  <w:r>
                    <w:rPr>
                      <w:rFonts w:hint="eastAsia"/>
                      <w:bCs/>
                      <w:kern w:val="21"/>
                      <w:sz w:val="21"/>
                      <w:szCs w:val="21"/>
                    </w:rPr>
                    <w:t>粉状物料全部密闭储存；</w:t>
                  </w:r>
                </w:p>
                <w:p>
                  <w:pPr>
                    <w:numPr>
                      <w:ilvl w:val="0"/>
                      <w:numId w:val="4"/>
                    </w:numPr>
                    <w:spacing w:line="240" w:lineRule="auto"/>
                    <w:jc w:val="both"/>
                    <w:rPr>
                      <w:bCs/>
                      <w:kern w:val="21"/>
                      <w:sz w:val="21"/>
                      <w:szCs w:val="21"/>
                    </w:rPr>
                  </w:pPr>
                  <w:r>
                    <w:rPr>
                      <w:rFonts w:hint="eastAsia"/>
                      <w:bCs/>
                      <w:kern w:val="21"/>
                      <w:sz w:val="21"/>
                      <w:szCs w:val="21"/>
                    </w:rPr>
                    <w:t>物料采用封闭式皮带、斗提、斜槽运输、各物料破碎、装载、下料口设置集尘罩并配置袋式除尘器，库顶等泄压口配备袋式除尘器；</w:t>
                  </w:r>
                </w:p>
                <w:p>
                  <w:pPr>
                    <w:numPr>
                      <w:ilvl w:val="0"/>
                      <w:numId w:val="4"/>
                    </w:numPr>
                    <w:spacing w:line="240" w:lineRule="auto"/>
                    <w:jc w:val="both"/>
                    <w:rPr>
                      <w:bCs/>
                      <w:kern w:val="21"/>
                      <w:sz w:val="21"/>
                      <w:szCs w:val="21"/>
                    </w:rPr>
                  </w:pPr>
                  <w:r>
                    <w:rPr>
                      <w:rFonts w:hint="eastAsia"/>
                      <w:bCs/>
                      <w:kern w:val="21"/>
                      <w:sz w:val="21"/>
                      <w:szCs w:val="21"/>
                    </w:rPr>
                    <w:t>料棚配备雾状喷淋抑尘设施或物料全部封闭储存，出入口配备自动门，水泥包装车间全封闭，袋装水泥装车点位采用集中通风除尘系统，水泥散装采用密闭罐车，并配备带抽风口的散装卸料器。</w:t>
                  </w:r>
                </w:p>
              </w:tc>
              <w:tc>
                <w:tcPr>
                  <w:tcW w:w="2455" w:type="pct"/>
                  <w:vAlign w:val="center"/>
                </w:tcPr>
                <w:p>
                  <w:pPr>
                    <w:spacing w:line="240" w:lineRule="auto"/>
                    <w:rPr>
                      <w:bCs/>
                      <w:kern w:val="21"/>
                      <w:sz w:val="21"/>
                      <w:szCs w:val="21"/>
                    </w:rPr>
                  </w:pPr>
                  <w:r>
                    <w:rPr>
                      <w:rFonts w:hint="eastAsia"/>
                      <w:bCs/>
                      <w:kern w:val="21"/>
                      <w:sz w:val="21"/>
                      <w:szCs w:val="21"/>
                    </w:rPr>
                    <w:t>1、本项目粉状物料主要为水泥，本次扩建项目建成后，水泥在筒仓内密闭储存。</w:t>
                  </w:r>
                </w:p>
                <w:p>
                  <w:pPr>
                    <w:spacing w:line="240" w:lineRule="auto"/>
                    <w:jc w:val="center"/>
                    <w:rPr>
                      <w:bCs/>
                      <w:kern w:val="21"/>
                      <w:sz w:val="21"/>
                      <w:szCs w:val="21"/>
                    </w:rPr>
                  </w:pPr>
                  <w:r>
                    <w:rPr>
                      <w:rFonts w:hint="eastAsia"/>
                      <w:bCs/>
                      <w:kern w:val="21"/>
                      <w:sz w:val="21"/>
                      <w:szCs w:val="21"/>
                    </w:rPr>
                    <w:t>2、本次扩建项目建成后，企业物料全部采用封闭式皮带进行输送，传送带下料口、搅拌设备设置有集尘罩和袋式除尘设施，新建的水泥筒仓顶部配备袋式除尘设施。</w:t>
                  </w:r>
                </w:p>
                <w:p>
                  <w:pPr>
                    <w:spacing w:line="240" w:lineRule="auto"/>
                    <w:jc w:val="center"/>
                    <w:rPr>
                      <w:bCs/>
                      <w:kern w:val="21"/>
                      <w:sz w:val="21"/>
                      <w:szCs w:val="21"/>
                    </w:rPr>
                  </w:pPr>
                  <w:r>
                    <w:rPr>
                      <w:rFonts w:hint="eastAsia"/>
                      <w:bCs/>
                      <w:kern w:val="21"/>
                      <w:sz w:val="21"/>
                      <w:szCs w:val="21"/>
                    </w:rPr>
                    <w:t>3、评价要求本次扩建工程建成后，企业使用砂子、石子、水泥均在密闭车间内储存。</w:t>
                  </w:r>
                </w:p>
              </w:tc>
              <w:tc>
                <w:tcPr>
                  <w:tcW w:w="418" w:type="pct"/>
                  <w:vAlign w:val="center"/>
                </w:tcPr>
                <w:p>
                  <w:pPr>
                    <w:spacing w:line="240" w:lineRule="auto"/>
                    <w:jc w:val="center"/>
                    <w:rPr>
                      <w:bCs/>
                      <w:kern w:val="21"/>
                      <w:sz w:val="21"/>
                      <w:szCs w:val="21"/>
                    </w:rPr>
                  </w:pPr>
                  <w:r>
                    <w:rPr>
                      <w:rFonts w:hint="eastAsia"/>
                      <w:bCs/>
                      <w:kern w:val="21"/>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240" w:lineRule="auto"/>
                    <w:jc w:val="center"/>
                    <w:rPr>
                      <w:bCs/>
                      <w:kern w:val="21"/>
                      <w:sz w:val="21"/>
                      <w:szCs w:val="21"/>
                    </w:rPr>
                  </w:pPr>
                  <w:r>
                    <w:rPr>
                      <w:rFonts w:hint="eastAsia"/>
                      <w:bCs/>
                      <w:kern w:val="21"/>
                      <w:sz w:val="21"/>
                      <w:szCs w:val="21"/>
                    </w:rPr>
                    <w:t>监测监控水平</w:t>
                  </w:r>
                </w:p>
              </w:tc>
              <w:tc>
                <w:tcPr>
                  <w:tcW w:w="1627" w:type="pct"/>
                  <w:vAlign w:val="center"/>
                </w:tcPr>
                <w:p>
                  <w:pPr>
                    <w:spacing w:line="240" w:lineRule="auto"/>
                    <w:jc w:val="both"/>
                    <w:rPr>
                      <w:bCs/>
                      <w:kern w:val="21"/>
                      <w:sz w:val="21"/>
                      <w:szCs w:val="21"/>
                    </w:rPr>
                  </w:pPr>
                  <w:r>
                    <w:rPr>
                      <w:rFonts w:hint="eastAsia"/>
                      <w:bCs/>
                      <w:kern w:val="21"/>
                      <w:sz w:val="21"/>
                      <w:szCs w:val="21"/>
                    </w:rPr>
                    <w:t>重点排污企业水泥磨合独立烘干西永安装CEMS，CEMS监控数据保存一年以上。料场出入口等易产尘点，安装高清视频监控设施，视频监控数据保存三个月以上。</w:t>
                  </w:r>
                </w:p>
              </w:tc>
              <w:tc>
                <w:tcPr>
                  <w:tcW w:w="2455" w:type="pct"/>
                  <w:vAlign w:val="center"/>
                </w:tcPr>
                <w:p>
                  <w:pPr>
                    <w:spacing w:line="240" w:lineRule="auto"/>
                    <w:jc w:val="center"/>
                    <w:rPr>
                      <w:bCs/>
                      <w:kern w:val="21"/>
                      <w:sz w:val="21"/>
                      <w:szCs w:val="21"/>
                    </w:rPr>
                  </w:pPr>
                  <w:r>
                    <w:rPr>
                      <w:rFonts w:hint="eastAsia"/>
                      <w:bCs/>
                      <w:kern w:val="21"/>
                      <w:sz w:val="21"/>
                      <w:szCs w:val="21"/>
                    </w:rPr>
                    <w:t>企业不属于重点排污企业，根据现场调查，企业已在现有物料堆存车间的出入口、料台、堆场等地方，设置高清视频监控设施，在料场出入口等易产尘点设置视频监控系统，视频监控数据保存三个月以上。</w:t>
                  </w:r>
                </w:p>
              </w:tc>
              <w:tc>
                <w:tcPr>
                  <w:tcW w:w="418" w:type="pct"/>
                  <w:vAlign w:val="center"/>
                </w:tcPr>
                <w:p>
                  <w:pPr>
                    <w:spacing w:line="240" w:lineRule="auto"/>
                    <w:jc w:val="center"/>
                    <w:rPr>
                      <w:bCs/>
                      <w:kern w:val="21"/>
                      <w:sz w:val="21"/>
                      <w:szCs w:val="21"/>
                    </w:rPr>
                  </w:pPr>
                  <w:r>
                    <w:rPr>
                      <w:rFonts w:hint="eastAsia"/>
                      <w:bCs/>
                      <w:kern w:val="21"/>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500" w:type="pct"/>
                  <w:vMerge w:val="restart"/>
                  <w:vAlign w:val="center"/>
                </w:tcPr>
                <w:p>
                  <w:pPr>
                    <w:spacing w:line="240" w:lineRule="auto"/>
                    <w:jc w:val="center"/>
                    <w:rPr>
                      <w:bCs/>
                      <w:kern w:val="21"/>
                      <w:sz w:val="21"/>
                      <w:szCs w:val="21"/>
                    </w:rPr>
                  </w:pPr>
                  <w:r>
                    <w:rPr>
                      <w:rFonts w:hint="eastAsia"/>
                      <w:bCs/>
                      <w:kern w:val="21"/>
                      <w:sz w:val="21"/>
                      <w:szCs w:val="21"/>
                    </w:rPr>
                    <w:t>环境管理水平</w:t>
                  </w:r>
                </w:p>
              </w:tc>
              <w:tc>
                <w:tcPr>
                  <w:tcW w:w="1627" w:type="pct"/>
                  <w:vMerge w:val="restart"/>
                  <w:vAlign w:val="center"/>
                </w:tcPr>
                <w:p>
                  <w:pPr>
                    <w:spacing w:line="240" w:lineRule="auto"/>
                    <w:jc w:val="both"/>
                    <w:rPr>
                      <w:bCs/>
                      <w:kern w:val="21"/>
                      <w:sz w:val="21"/>
                      <w:szCs w:val="21"/>
                    </w:rPr>
                  </w:pPr>
                  <w:r>
                    <w:rPr>
                      <w:rFonts w:hint="eastAsia"/>
                      <w:bCs/>
                      <w:kern w:val="21"/>
                      <w:sz w:val="21"/>
                      <w:szCs w:val="21"/>
                    </w:rPr>
                    <w:t>环保档案齐全：1、环评批复文件；2、排污许可证及季度、年度执行报告；3、竣工验收文件；4、一年内废气检测报告</w:t>
                  </w:r>
                </w:p>
                <w:p>
                  <w:pPr>
                    <w:spacing w:line="240" w:lineRule="auto"/>
                    <w:jc w:val="both"/>
                    <w:rPr>
                      <w:bCs/>
                      <w:kern w:val="21"/>
                      <w:sz w:val="21"/>
                      <w:szCs w:val="21"/>
                    </w:rPr>
                  </w:pPr>
                  <w:r>
                    <w:rPr>
                      <w:rFonts w:hint="eastAsia"/>
                      <w:bCs/>
                      <w:kern w:val="21"/>
                      <w:sz w:val="21"/>
                      <w:szCs w:val="21"/>
                    </w:rPr>
                    <w:t>台账记录：1、完整生产管理台账（包括生产设备运行台账，原辅材料、燃料使用量，产品产量等）；2、运输管理电子台账（包括车辆出入厂记录、车牌号、VIN 号、发动机编号和排放标准等）；3、设备维护记录；4、废气治理设备清单（包括主要污染治理设备、设计说明书、运行记录、CEMS 数据等）；5、耗材清单（除尘器滤料更换记录等）</w:t>
                  </w:r>
                </w:p>
                <w:p>
                  <w:pPr>
                    <w:spacing w:line="240" w:lineRule="auto"/>
                    <w:jc w:val="both"/>
                    <w:rPr>
                      <w:bCs/>
                      <w:kern w:val="21"/>
                      <w:sz w:val="21"/>
                      <w:szCs w:val="21"/>
                    </w:rPr>
                  </w:pPr>
                  <w:r>
                    <w:rPr>
                      <w:rFonts w:hint="eastAsia"/>
                      <w:bCs/>
                      <w:kern w:val="21"/>
                      <w:sz w:val="21"/>
                      <w:szCs w:val="21"/>
                    </w:rPr>
                    <w:t>管理制度健全：1、有专兼职环保人员；2、废气治理设施运行管理规程</w:t>
                  </w:r>
                </w:p>
              </w:tc>
              <w:tc>
                <w:tcPr>
                  <w:tcW w:w="2455" w:type="pct"/>
                  <w:vAlign w:val="center"/>
                </w:tcPr>
                <w:p>
                  <w:pPr>
                    <w:spacing w:line="240" w:lineRule="auto"/>
                    <w:jc w:val="center"/>
                    <w:rPr>
                      <w:bCs/>
                      <w:kern w:val="21"/>
                      <w:sz w:val="21"/>
                      <w:szCs w:val="21"/>
                    </w:rPr>
                  </w:pPr>
                  <w:r>
                    <w:rPr>
                      <w:rFonts w:hint="eastAsia"/>
                      <w:bCs/>
                      <w:kern w:val="21"/>
                      <w:sz w:val="21"/>
                      <w:szCs w:val="21"/>
                    </w:rPr>
                    <w:t>企业现有工程环保档案齐全，现有工程的环评批复文件、排污许可、竣工验收文件和一年内废气监测报告均齐全。评价要求本次扩建工程环境影响评价工作后，企业应按照环评报告及批复要求开展排污许可工作、竣工环保验收工作，定期开展自行监测工作并按要求保存完整的环保档案。</w:t>
                  </w:r>
                </w:p>
              </w:tc>
              <w:tc>
                <w:tcPr>
                  <w:tcW w:w="418" w:type="pct"/>
                  <w:vMerge w:val="restart"/>
                  <w:vAlign w:val="center"/>
                </w:tcPr>
                <w:p>
                  <w:pPr>
                    <w:spacing w:line="240" w:lineRule="auto"/>
                    <w:jc w:val="center"/>
                    <w:rPr>
                      <w:bCs/>
                      <w:kern w:val="21"/>
                      <w:sz w:val="21"/>
                      <w:szCs w:val="21"/>
                    </w:rPr>
                  </w:pPr>
                  <w:r>
                    <w:rPr>
                      <w:rFonts w:hint="eastAsia"/>
                      <w:bCs/>
                      <w:kern w:val="21"/>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500" w:type="pct"/>
                  <w:vMerge w:val="continue"/>
                  <w:vAlign w:val="center"/>
                </w:tcPr>
                <w:p>
                  <w:pPr>
                    <w:spacing w:line="240" w:lineRule="auto"/>
                    <w:jc w:val="center"/>
                  </w:pPr>
                </w:p>
              </w:tc>
              <w:tc>
                <w:tcPr>
                  <w:tcW w:w="1627" w:type="pct"/>
                  <w:vMerge w:val="continue"/>
                  <w:vAlign w:val="center"/>
                </w:tcPr>
                <w:p>
                  <w:pPr>
                    <w:spacing w:line="240" w:lineRule="auto"/>
                    <w:jc w:val="center"/>
                  </w:pPr>
                </w:p>
              </w:tc>
              <w:tc>
                <w:tcPr>
                  <w:tcW w:w="2455" w:type="pct"/>
                  <w:vAlign w:val="center"/>
                </w:tcPr>
                <w:p>
                  <w:pPr>
                    <w:spacing w:line="240" w:lineRule="auto"/>
                    <w:jc w:val="center"/>
                    <w:rPr>
                      <w:sz w:val="21"/>
                      <w:szCs w:val="21"/>
                    </w:rPr>
                  </w:pPr>
                  <w:r>
                    <w:rPr>
                      <w:rFonts w:hint="eastAsia"/>
                      <w:sz w:val="21"/>
                      <w:szCs w:val="21"/>
                    </w:rPr>
                    <w:t>根据现场调查，企业现有工程管理台账记录不完整，缺少生产设施运行台账、运输管理电子台账。评价要求企业完整记录生产管理台账</w:t>
                  </w:r>
                  <w:r>
                    <w:rPr>
                      <w:rFonts w:hint="eastAsia"/>
                      <w:bCs/>
                      <w:kern w:val="21"/>
                      <w:sz w:val="21"/>
                      <w:szCs w:val="21"/>
                    </w:rPr>
                    <w:t>（包括生产设备运行台账，原辅材料、燃料使用量，产品产量等）</w:t>
                  </w:r>
                  <w:r>
                    <w:rPr>
                      <w:rFonts w:hint="eastAsia"/>
                      <w:sz w:val="21"/>
                      <w:szCs w:val="21"/>
                    </w:rPr>
                    <w:t>、运输管理电子台账、设备维护记录和耗材清单等。</w:t>
                  </w:r>
                </w:p>
              </w:tc>
              <w:tc>
                <w:tcPr>
                  <w:tcW w:w="418" w:type="pct"/>
                  <w:vMerge w:val="continue"/>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00" w:type="pct"/>
                  <w:vMerge w:val="continue"/>
                  <w:vAlign w:val="center"/>
                </w:tcPr>
                <w:p>
                  <w:pPr>
                    <w:spacing w:line="240" w:lineRule="auto"/>
                    <w:jc w:val="center"/>
                    <w:rPr>
                      <w:sz w:val="21"/>
                      <w:szCs w:val="21"/>
                    </w:rPr>
                  </w:pPr>
                </w:p>
              </w:tc>
              <w:tc>
                <w:tcPr>
                  <w:tcW w:w="1627" w:type="pct"/>
                  <w:vMerge w:val="continue"/>
                  <w:vAlign w:val="center"/>
                </w:tcPr>
                <w:p>
                  <w:pPr>
                    <w:spacing w:line="240" w:lineRule="auto"/>
                    <w:jc w:val="center"/>
                    <w:rPr>
                      <w:sz w:val="21"/>
                      <w:szCs w:val="21"/>
                    </w:rPr>
                  </w:pPr>
                </w:p>
              </w:tc>
              <w:tc>
                <w:tcPr>
                  <w:tcW w:w="2455" w:type="pct"/>
                  <w:vAlign w:val="center"/>
                </w:tcPr>
                <w:p>
                  <w:pPr>
                    <w:spacing w:line="240" w:lineRule="auto"/>
                    <w:jc w:val="center"/>
                    <w:rPr>
                      <w:sz w:val="21"/>
                      <w:szCs w:val="21"/>
                    </w:rPr>
                  </w:pPr>
                  <w:r>
                    <w:rPr>
                      <w:rFonts w:hint="eastAsia"/>
                      <w:sz w:val="21"/>
                      <w:szCs w:val="21"/>
                    </w:rPr>
                    <w:t>企业已配备兼职环保人员负责环境管理工作，并制定有《环保设施环境管理制度》。</w:t>
                  </w:r>
                </w:p>
              </w:tc>
              <w:tc>
                <w:tcPr>
                  <w:tcW w:w="418" w:type="pct"/>
                  <w:vMerge w:val="continue"/>
                  <w:vAlign w:val="center"/>
                </w:tcPr>
                <w:p>
                  <w:pPr>
                    <w:spacing w:line="240" w:lineRule="auto"/>
                    <w:jc w:val="center"/>
                    <w:rPr>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240" w:lineRule="auto"/>
                    <w:jc w:val="center"/>
                    <w:rPr>
                      <w:bCs/>
                      <w:kern w:val="21"/>
                      <w:sz w:val="21"/>
                      <w:szCs w:val="21"/>
                    </w:rPr>
                  </w:pPr>
                  <w:r>
                    <w:rPr>
                      <w:rFonts w:hint="eastAsia"/>
                      <w:bCs/>
                      <w:kern w:val="21"/>
                      <w:sz w:val="21"/>
                      <w:szCs w:val="21"/>
                    </w:rPr>
                    <w:t>运输方式</w:t>
                  </w:r>
                </w:p>
              </w:tc>
              <w:tc>
                <w:tcPr>
                  <w:tcW w:w="1627" w:type="pct"/>
                  <w:vAlign w:val="center"/>
                </w:tcPr>
                <w:p>
                  <w:pPr>
                    <w:widowControl/>
                    <w:spacing w:line="240" w:lineRule="auto"/>
                    <w:jc w:val="both"/>
                  </w:pPr>
                  <w:r>
                    <w:rPr>
                      <w:sz w:val="21"/>
                      <w:szCs w:val="21"/>
                      <w:lang w:bidi="ar"/>
                    </w:rPr>
                    <w:t>1</w:t>
                  </w:r>
                  <w:r>
                    <w:rPr>
                      <w:rFonts w:hint="eastAsia"/>
                      <w:sz w:val="21"/>
                      <w:szCs w:val="21"/>
                      <w:lang w:bidi="ar"/>
                    </w:rPr>
                    <w:t>、物料（除水泥罐式货车外）公路运输全部使用达到国五及以上排放标准重型载货车辆（含燃气）或新能源车辆；</w:t>
                  </w:r>
                </w:p>
                <w:p>
                  <w:pPr>
                    <w:widowControl/>
                    <w:spacing w:line="240" w:lineRule="auto"/>
                    <w:jc w:val="both"/>
                  </w:pPr>
                  <w:r>
                    <w:rPr>
                      <w:sz w:val="21"/>
                      <w:szCs w:val="21"/>
                      <w:lang w:bidi="ar"/>
                    </w:rPr>
                    <w:t>2</w:t>
                  </w:r>
                  <w:r>
                    <w:rPr>
                      <w:rFonts w:hint="eastAsia"/>
                      <w:sz w:val="21"/>
                      <w:szCs w:val="21"/>
                      <w:lang w:bidi="ar"/>
                    </w:rPr>
                    <w:t>、厂内运输车辆全部达到国五及以上排放标准（含燃气）或使用新能源车辆；</w:t>
                  </w:r>
                </w:p>
                <w:p>
                  <w:pPr>
                    <w:widowControl/>
                    <w:spacing w:line="240" w:lineRule="auto"/>
                    <w:jc w:val="both"/>
                    <w:rPr>
                      <w:bCs/>
                      <w:kern w:val="21"/>
                      <w:sz w:val="21"/>
                      <w:szCs w:val="21"/>
                    </w:rPr>
                  </w:pPr>
                  <w:r>
                    <w:rPr>
                      <w:sz w:val="21"/>
                      <w:szCs w:val="21"/>
                      <w:lang w:bidi="ar"/>
                    </w:rPr>
                    <w:t>3</w:t>
                  </w:r>
                  <w:r>
                    <w:rPr>
                      <w:rFonts w:hint="eastAsia"/>
                      <w:sz w:val="21"/>
                      <w:szCs w:val="21"/>
                      <w:lang w:bidi="ar"/>
                    </w:rPr>
                    <w:t>、厂内非道路移动机械全部达到国三及以上排放标准或使用新能源机械。</w:t>
                  </w:r>
                </w:p>
              </w:tc>
              <w:tc>
                <w:tcPr>
                  <w:tcW w:w="2455" w:type="pct"/>
                  <w:vAlign w:val="center"/>
                </w:tcPr>
                <w:p>
                  <w:pPr>
                    <w:widowControl/>
                    <w:spacing w:line="240" w:lineRule="auto"/>
                    <w:jc w:val="both"/>
                    <w:rPr>
                      <w:sz w:val="21"/>
                      <w:szCs w:val="21"/>
                      <w:lang w:bidi="ar"/>
                    </w:rPr>
                  </w:pPr>
                  <w:r>
                    <w:rPr>
                      <w:sz w:val="21"/>
                      <w:szCs w:val="21"/>
                      <w:lang w:bidi="ar"/>
                    </w:rPr>
                    <w:t>1</w:t>
                  </w:r>
                  <w:r>
                    <w:rPr>
                      <w:rFonts w:hint="eastAsia"/>
                      <w:sz w:val="21"/>
                      <w:szCs w:val="21"/>
                      <w:lang w:bidi="ar"/>
                    </w:rPr>
                    <w:t>、根据企业提供，企业未配备自有公路运输车辆，现有工程物料由厂家负责运输。本次扩建工程不新增运输车辆，物料又厂家负责运输；</w:t>
                  </w:r>
                </w:p>
                <w:p>
                  <w:pPr>
                    <w:widowControl/>
                    <w:spacing w:line="240" w:lineRule="auto"/>
                    <w:jc w:val="both"/>
                    <w:rPr>
                      <w:sz w:val="21"/>
                      <w:szCs w:val="21"/>
                      <w:lang w:bidi="ar"/>
                    </w:rPr>
                  </w:pPr>
                  <w:r>
                    <w:rPr>
                      <w:rFonts w:hint="eastAsia"/>
                      <w:sz w:val="21"/>
                      <w:szCs w:val="21"/>
                      <w:lang w:bidi="ar"/>
                    </w:rPr>
                    <w:t>2、根据企业提供，企业未配备自有厂内运输车辆，厂内物料转运由铲车进行转运。</w:t>
                  </w:r>
                </w:p>
                <w:p>
                  <w:pPr>
                    <w:widowControl/>
                    <w:spacing w:line="240" w:lineRule="auto"/>
                    <w:jc w:val="both"/>
                    <w:rPr>
                      <w:sz w:val="21"/>
                      <w:szCs w:val="21"/>
                      <w:lang w:bidi="ar"/>
                    </w:rPr>
                  </w:pPr>
                  <w:r>
                    <w:rPr>
                      <w:rFonts w:hint="eastAsia"/>
                      <w:sz w:val="21"/>
                      <w:szCs w:val="21"/>
                      <w:lang w:bidi="ar"/>
                    </w:rPr>
                    <w:t>3、根据企业提供，企业现有工程配备2台非道路移动机械（铲车），全部达到国三排放标准；本次扩建工程，拟配备1台非道路移动机械（铲车），环评要求该非道路移动机械（铲车）应达到国三及以上排放标准或使用新能源机械。</w:t>
                  </w:r>
                </w:p>
              </w:tc>
              <w:tc>
                <w:tcPr>
                  <w:tcW w:w="418" w:type="pct"/>
                  <w:vAlign w:val="center"/>
                </w:tcPr>
                <w:p>
                  <w:pPr>
                    <w:spacing w:line="240" w:lineRule="auto"/>
                    <w:jc w:val="center"/>
                    <w:rPr>
                      <w:bCs/>
                      <w:kern w:val="21"/>
                      <w:sz w:val="21"/>
                      <w:szCs w:val="21"/>
                    </w:rPr>
                  </w:pPr>
                  <w:r>
                    <w:rPr>
                      <w:rFonts w:hint="eastAsia"/>
                      <w:bCs/>
                      <w:kern w:val="21"/>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 w:type="pct"/>
                  <w:vAlign w:val="center"/>
                </w:tcPr>
                <w:p>
                  <w:pPr>
                    <w:spacing w:line="240" w:lineRule="auto"/>
                    <w:jc w:val="center"/>
                    <w:rPr>
                      <w:bCs/>
                      <w:kern w:val="21"/>
                      <w:sz w:val="21"/>
                      <w:szCs w:val="21"/>
                    </w:rPr>
                  </w:pPr>
                  <w:r>
                    <w:rPr>
                      <w:rFonts w:hint="eastAsia"/>
                      <w:bCs/>
                      <w:kern w:val="21"/>
                      <w:sz w:val="21"/>
                      <w:szCs w:val="21"/>
                    </w:rPr>
                    <w:t>运输监管</w:t>
                  </w:r>
                </w:p>
              </w:tc>
              <w:tc>
                <w:tcPr>
                  <w:tcW w:w="1627" w:type="pct"/>
                  <w:vAlign w:val="center"/>
                </w:tcPr>
                <w:p>
                  <w:pPr>
                    <w:widowControl/>
                    <w:spacing w:line="240" w:lineRule="auto"/>
                    <w:jc w:val="both"/>
                    <w:rPr>
                      <w:bCs/>
                      <w:kern w:val="21"/>
                      <w:sz w:val="21"/>
                      <w:szCs w:val="21"/>
                    </w:rPr>
                  </w:pPr>
                  <w:r>
                    <w:rPr>
                      <w:rFonts w:hint="eastAsia"/>
                      <w:sz w:val="21"/>
                      <w:szCs w:val="21"/>
                      <w:lang w:bidi="ar"/>
                    </w:rPr>
                    <w:t>配备门禁和视频监控系统，监控运输车辆进出厂区情况，记录运输车辆电子台账；视频监控、台账数据保存三个月以上</w:t>
                  </w:r>
                </w:p>
              </w:tc>
              <w:tc>
                <w:tcPr>
                  <w:tcW w:w="2455" w:type="pct"/>
                  <w:vAlign w:val="center"/>
                </w:tcPr>
                <w:p>
                  <w:pPr>
                    <w:spacing w:line="240" w:lineRule="auto"/>
                    <w:jc w:val="center"/>
                    <w:rPr>
                      <w:bCs/>
                      <w:kern w:val="21"/>
                      <w:sz w:val="21"/>
                      <w:szCs w:val="21"/>
                    </w:rPr>
                  </w:pPr>
                  <w:r>
                    <w:rPr>
                      <w:rFonts w:hint="eastAsia"/>
                      <w:sz w:val="21"/>
                      <w:szCs w:val="21"/>
                    </w:rPr>
                    <w:t>根据现场调查，企业暂未配备门禁和视频监控系统，无法实施监控运输车辆进入厂区情况，未记录运输车辆电子台账。</w:t>
                  </w:r>
                  <w:r>
                    <w:rPr>
                      <w:sz w:val="21"/>
                      <w:szCs w:val="21"/>
                    </w:rPr>
                    <w:t>评价要求</w:t>
                  </w:r>
                  <w:r>
                    <w:rPr>
                      <w:rFonts w:hint="eastAsia"/>
                      <w:sz w:val="21"/>
                      <w:szCs w:val="21"/>
                    </w:rPr>
                    <w:t>，</w:t>
                  </w:r>
                  <w:r>
                    <w:rPr>
                      <w:sz w:val="21"/>
                      <w:szCs w:val="21"/>
                    </w:rPr>
                    <w:t>企业</w:t>
                  </w:r>
                  <w:r>
                    <w:rPr>
                      <w:rFonts w:hint="eastAsia"/>
                      <w:sz w:val="21"/>
                      <w:szCs w:val="21"/>
                    </w:rPr>
                    <w:t>应</w:t>
                  </w:r>
                  <w:r>
                    <w:rPr>
                      <w:sz w:val="21"/>
                      <w:szCs w:val="21"/>
                    </w:rPr>
                    <w:t>配备门禁和视频监控系统，监控运输车辆进出厂情况，记录运输车辆电子台账；视频监控、台账数据保存三个月以上。</w:t>
                  </w:r>
                </w:p>
              </w:tc>
              <w:tc>
                <w:tcPr>
                  <w:tcW w:w="418" w:type="pct"/>
                  <w:vAlign w:val="center"/>
                </w:tcPr>
                <w:p>
                  <w:pPr>
                    <w:spacing w:line="240" w:lineRule="auto"/>
                    <w:jc w:val="center"/>
                    <w:rPr>
                      <w:bCs/>
                      <w:kern w:val="21"/>
                      <w:sz w:val="21"/>
                      <w:szCs w:val="21"/>
                    </w:rPr>
                  </w:pPr>
                  <w:r>
                    <w:rPr>
                      <w:rFonts w:hint="eastAsia"/>
                      <w:bCs/>
                      <w:kern w:val="21"/>
                      <w:sz w:val="21"/>
                      <w:szCs w:val="21"/>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3"/>
                    <w:rPr>
                      <w:bCs/>
                      <w:color w:val="auto"/>
                      <w:kern w:val="21"/>
                    </w:rPr>
                  </w:pPr>
                  <w:r>
                    <w:rPr>
                      <w:rFonts w:hint="eastAsia"/>
                      <w:bCs/>
                      <w:color w:val="auto"/>
                      <w:kern w:val="21"/>
                    </w:rPr>
                    <w:t>注：</w:t>
                  </w:r>
                  <w:r>
                    <w:rPr>
                      <w:color w:val="auto"/>
                      <w:sz w:val="13"/>
                      <w:szCs w:val="13"/>
                      <w:lang w:bidi="ar"/>
                    </w:rPr>
                    <w:t>d</w:t>
                  </w:r>
                  <w:r>
                    <w:rPr>
                      <w:rFonts w:hint="eastAsia"/>
                      <w:color w:val="auto"/>
                      <w:lang w:bidi="ar"/>
                    </w:rPr>
                    <w:t>《水泥工业大气污染物排放标准》</w:t>
                  </w:r>
                  <w:r>
                    <w:rPr>
                      <w:color w:val="auto"/>
                      <w:lang w:bidi="ar"/>
                    </w:rPr>
                    <w:t>GB4915-2013</w:t>
                  </w:r>
                  <w:r>
                    <w:rPr>
                      <w:rFonts w:hint="eastAsia"/>
                      <w:color w:val="auto"/>
                      <w:lang w:bidi="ar"/>
                    </w:rPr>
                    <w:t>水泥制品生产指预拌混凝土、砂浆和混凝土预制件的生产，不包括水泥用于施工现场搅拌的过程。</w:t>
                  </w:r>
                </w:p>
              </w:tc>
            </w:tr>
          </w:tbl>
          <w:p>
            <w:pPr>
              <w:adjustRightInd w:val="0"/>
              <w:snapToGrid w:val="0"/>
              <w:rPr>
                <w:rFonts w:cs="Times New Roman"/>
                <w:b/>
                <w:bCs/>
              </w:rPr>
            </w:pPr>
          </w:p>
          <w:p>
            <w:pPr>
              <w:adjustRightInd w:val="0"/>
              <w:snapToGrid w:val="0"/>
              <w:rPr>
                <w:rFonts w:cs="Times New Roman"/>
                <w:b/>
                <w:bCs/>
              </w:rPr>
            </w:pPr>
            <w:r>
              <w:rPr>
                <w:rFonts w:cs="Times New Roman"/>
                <w:b/>
                <w:bCs/>
              </w:rPr>
              <w:t>（</w:t>
            </w:r>
            <w:r>
              <w:rPr>
                <w:rFonts w:hint="eastAsia" w:cs="Times New Roman"/>
                <w:b/>
                <w:bCs/>
              </w:rPr>
              <w:t>八</w:t>
            </w:r>
            <w:r>
              <w:rPr>
                <w:rFonts w:cs="Times New Roman"/>
                <w:b/>
                <w:bCs/>
              </w:rPr>
              <w:t>）污染物排放情况汇总表</w:t>
            </w:r>
          </w:p>
          <w:p>
            <w:pPr>
              <w:adjustRightInd w:val="0"/>
              <w:snapToGrid w:val="0"/>
              <w:spacing w:line="240" w:lineRule="auto"/>
              <w:jc w:val="center"/>
              <w:rPr>
                <w:rFonts w:cs="Times New Roman"/>
                <w:b/>
                <w:sz w:val="21"/>
                <w:szCs w:val="21"/>
              </w:rPr>
            </w:pPr>
            <w:r>
              <w:rPr>
                <w:rFonts w:cs="Times New Roman"/>
                <w:b/>
                <w:sz w:val="21"/>
                <w:szCs w:val="21"/>
              </w:rPr>
              <w:t>表4-8  扩建后新增污染物排放情况汇总表</w:t>
            </w:r>
          </w:p>
          <w:tbl>
            <w:tblPr>
              <w:tblStyle w:val="18"/>
              <w:tblW w:w="4997"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674"/>
              <w:gridCol w:w="1169"/>
              <w:gridCol w:w="1252"/>
              <w:gridCol w:w="630"/>
              <w:gridCol w:w="924"/>
              <w:gridCol w:w="1897"/>
              <w:gridCol w:w="194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vAlign w:val="center"/>
                </w:tcPr>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污染类别</w:t>
                  </w:r>
                </w:p>
              </w:tc>
              <w:tc>
                <w:tcPr>
                  <w:tcW w:w="998" w:type="pct"/>
                  <w:gridSpan w:val="2"/>
                  <w:vAlign w:val="center"/>
                </w:tcPr>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排放源</w:t>
                  </w:r>
                </w:p>
              </w:tc>
              <w:tc>
                <w:tcPr>
                  <w:tcW w:w="678" w:type="pct"/>
                  <w:vAlign w:val="center"/>
                </w:tcPr>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污染物名称</w:t>
                  </w:r>
                </w:p>
              </w:tc>
              <w:tc>
                <w:tcPr>
                  <w:tcW w:w="341" w:type="pct"/>
                  <w:vAlign w:val="center"/>
                </w:tcPr>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排放</w:t>
                  </w:r>
                </w:p>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浓度</w:t>
                  </w:r>
                </w:p>
              </w:tc>
              <w:tc>
                <w:tcPr>
                  <w:tcW w:w="500" w:type="pct"/>
                  <w:vAlign w:val="center"/>
                </w:tcPr>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排放量t/a</w:t>
                  </w:r>
                </w:p>
              </w:tc>
              <w:tc>
                <w:tcPr>
                  <w:tcW w:w="1027" w:type="pct"/>
                  <w:vAlign w:val="center"/>
                </w:tcPr>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环保措施</w:t>
                  </w:r>
                </w:p>
              </w:tc>
              <w:tc>
                <w:tcPr>
                  <w:tcW w:w="1052" w:type="pct"/>
                  <w:vAlign w:val="center"/>
                </w:tcPr>
                <w:p>
                  <w:pPr>
                    <w:adjustRightInd w:val="0"/>
                    <w:snapToGrid w:val="0"/>
                    <w:spacing w:line="240" w:lineRule="auto"/>
                    <w:jc w:val="center"/>
                    <w:rPr>
                      <w:rFonts w:cs="Times New Roman"/>
                      <w:b/>
                      <w:spacing w:val="-6"/>
                      <w:kern w:val="0"/>
                      <w:sz w:val="21"/>
                      <w:szCs w:val="21"/>
                    </w:rPr>
                  </w:pPr>
                  <w:r>
                    <w:rPr>
                      <w:rFonts w:cs="Times New Roman"/>
                      <w:b/>
                      <w:spacing w:val="-6"/>
                      <w:kern w:val="0"/>
                      <w:sz w:val="21"/>
                      <w:szCs w:val="21"/>
                    </w:rPr>
                    <w:t>执行标准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5" w:type="pct"/>
                  <w:vMerge w:val="restart"/>
                  <w:vAlign w:val="center"/>
                </w:tcPr>
                <w:p>
                  <w:pPr>
                    <w:adjustRightInd w:val="0"/>
                    <w:snapToGrid w:val="0"/>
                    <w:spacing w:line="240" w:lineRule="auto"/>
                    <w:jc w:val="center"/>
                    <w:rPr>
                      <w:rFonts w:cs="Times New Roman"/>
                      <w:b/>
                      <w:kern w:val="0"/>
                      <w:sz w:val="21"/>
                      <w:szCs w:val="21"/>
                    </w:rPr>
                  </w:pPr>
                  <w:r>
                    <w:rPr>
                      <w:rFonts w:cs="Times New Roman"/>
                      <w:b/>
                      <w:kern w:val="0"/>
                      <w:sz w:val="21"/>
                      <w:szCs w:val="21"/>
                    </w:rPr>
                    <w:t>大气污染物</w:t>
                  </w:r>
                </w:p>
              </w:tc>
              <w:tc>
                <w:tcPr>
                  <w:tcW w:w="365" w:type="pc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堆存装卸粉尘</w:t>
                  </w:r>
                </w:p>
              </w:tc>
              <w:tc>
                <w:tcPr>
                  <w:tcW w:w="633" w:type="pct"/>
                  <w:vAlign w:val="center"/>
                </w:tcPr>
                <w:p>
                  <w:pPr>
                    <w:pStyle w:val="40"/>
                    <w:adjustRightInd w:val="0"/>
                    <w:snapToGrid w:val="0"/>
                    <w:spacing w:line="240" w:lineRule="auto"/>
                    <w:jc w:val="center"/>
                    <w:rPr>
                      <w:rFonts w:cs="Times New Roman"/>
                      <w:sz w:val="21"/>
                      <w:szCs w:val="21"/>
                    </w:rPr>
                  </w:pPr>
                  <w:r>
                    <w:rPr>
                      <w:rFonts w:cs="Times New Roman"/>
                      <w:sz w:val="21"/>
                      <w:szCs w:val="21"/>
                    </w:rPr>
                    <w:t>无组织</w:t>
                  </w:r>
                </w:p>
              </w:tc>
              <w:tc>
                <w:tcPr>
                  <w:tcW w:w="678" w:type="pct"/>
                  <w:vAlign w:val="center"/>
                </w:tcPr>
                <w:p>
                  <w:pPr>
                    <w:pStyle w:val="40"/>
                    <w:adjustRightInd w:val="0"/>
                    <w:snapToGrid w:val="0"/>
                    <w:spacing w:line="240" w:lineRule="auto"/>
                    <w:jc w:val="center"/>
                    <w:rPr>
                      <w:rFonts w:cs="Times New Roman"/>
                      <w:sz w:val="21"/>
                      <w:szCs w:val="21"/>
                    </w:rPr>
                  </w:pPr>
                  <w:r>
                    <w:rPr>
                      <w:rFonts w:cs="Times New Roman"/>
                      <w:sz w:val="21"/>
                      <w:szCs w:val="21"/>
                    </w:rPr>
                    <w:t>颗粒物</w:t>
                  </w:r>
                </w:p>
              </w:tc>
              <w:tc>
                <w:tcPr>
                  <w:tcW w:w="341"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w:t>
                  </w:r>
                </w:p>
              </w:tc>
              <w:tc>
                <w:tcPr>
                  <w:tcW w:w="500"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0.031</w:t>
                  </w:r>
                </w:p>
              </w:tc>
              <w:tc>
                <w:tcPr>
                  <w:tcW w:w="1027" w:type="pct"/>
                  <w:vAlign w:val="center"/>
                </w:tcPr>
                <w:p>
                  <w:pPr>
                    <w:adjustRightInd w:val="0"/>
                    <w:snapToGrid w:val="0"/>
                    <w:spacing w:line="240" w:lineRule="auto"/>
                    <w:jc w:val="center"/>
                    <w:rPr>
                      <w:rFonts w:cs="Times New Roman"/>
                      <w:sz w:val="21"/>
                      <w:szCs w:val="21"/>
                    </w:rPr>
                  </w:pPr>
                  <w:r>
                    <w:rPr>
                      <w:rFonts w:cs="Times New Roman"/>
                      <w:sz w:val="21"/>
                      <w:szCs w:val="21"/>
                      <w:lang w:val="en-GB"/>
                    </w:rPr>
                    <w:t>车辆冲洗+密闭式厂房+喷淋设备</w:t>
                  </w:r>
                </w:p>
              </w:tc>
              <w:tc>
                <w:tcPr>
                  <w:tcW w:w="1052" w:type="pct"/>
                  <w:vMerge w:val="restart"/>
                  <w:vAlign w:val="center"/>
                </w:tcPr>
                <w:p>
                  <w:pPr>
                    <w:adjustRightInd w:val="0"/>
                    <w:snapToGrid w:val="0"/>
                    <w:spacing w:line="240" w:lineRule="auto"/>
                    <w:jc w:val="center"/>
                    <w:rPr>
                      <w:rFonts w:cs="Times New Roman"/>
                      <w:bCs/>
                      <w:sz w:val="21"/>
                      <w:szCs w:val="21"/>
                    </w:rPr>
                  </w:pPr>
                  <w:r>
                    <w:rPr>
                      <w:rFonts w:cs="Times New Roman"/>
                      <w:bCs/>
                      <w:sz w:val="21"/>
                      <w:szCs w:val="21"/>
                    </w:rPr>
                    <w:t>《水泥工业大气污染物排放标准》(GB4915-2013)表3中的限值要求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5" w:type="pct"/>
                  <w:vMerge w:val="continue"/>
                  <w:vAlign w:val="center"/>
                </w:tcPr>
                <w:p>
                  <w:pPr>
                    <w:adjustRightInd w:val="0"/>
                    <w:snapToGrid w:val="0"/>
                    <w:spacing w:line="240" w:lineRule="auto"/>
                    <w:jc w:val="center"/>
                    <w:rPr>
                      <w:rFonts w:cs="Times New Roman"/>
                      <w:b/>
                      <w:kern w:val="0"/>
                      <w:sz w:val="21"/>
                      <w:szCs w:val="21"/>
                    </w:rPr>
                  </w:pPr>
                </w:p>
              </w:tc>
              <w:tc>
                <w:tcPr>
                  <w:tcW w:w="365" w:type="pc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上料粉尘</w:t>
                  </w:r>
                </w:p>
              </w:tc>
              <w:tc>
                <w:tcPr>
                  <w:tcW w:w="633" w:type="pct"/>
                  <w:vAlign w:val="center"/>
                </w:tcPr>
                <w:p>
                  <w:pPr>
                    <w:pStyle w:val="40"/>
                    <w:adjustRightInd w:val="0"/>
                    <w:snapToGrid w:val="0"/>
                    <w:spacing w:line="240" w:lineRule="auto"/>
                    <w:jc w:val="center"/>
                    <w:rPr>
                      <w:rFonts w:cs="Times New Roman"/>
                      <w:sz w:val="21"/>
                      <w:szCs w:val="21"/>
                    </w:rPr>
                  </w:pPr>
                  <w:r>
                    <w:rPr>
                      <w:rFonts w:cs="Times New Roman"/>
                      <w:sz w:val="21"/>
                      <w:szCs w:val="21"/>
                    </w:rPr>
                    <w:t>无组织</w:t>
                  </w:r>
                </w:p>
              </w:tc>
              <w:tc>
                <w:tcPr>
                  <w:tcW w:w="678" w:type="pct"/>
                  <w:vAlign w:val="center"/>
                </w:tcPr>
                <w:p>
                  <w:pPr>
                    <w:adjustRightInd w:val="0"/>
                    <w:snapToGrid w:val="0"/>
                    <w:spacing w:line="240" w:lineRule="auto"/>
                    <w:jc w:val="center"/>
                    <w:rPr>
                      <w:rFonts w:cs="Times New Roman"/>
                      <w:bCs/>
                      <w:sz w:val="21"/>
                      <w:szCs w:val="21"/>
                    </w:rPr>
                  </w:pPr>
                  <w:r>
                    <w:rPr>
                      <w:rFonts w:cs="Times New Roman"/>
                      <w:sz w:val="21"/>
                      <w:szCs w:val="21"/>
                    </w:rPr>
                    <w:t>颗粒物</w:t>
                  </w:r>
                </w:p>
              </w:tc>
              <w:tc>
                <w:tcPr>
                  <w:tcW w:w="341"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w:t>
                  </w:r>
                </w:p>
              </w:tc>
              <w:tc>
                <w:tcPr>
                  <w:tcW w:w="500"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0.0099</w:t>
                  </w:r>
                </w:p>
              </w:tc>
              <w:tc>
                <w:tcPr>
                  <w:tcW w:w="1027" w:type="pct"/>
                  <w:vAlign w:val="center"/>
                </w:tcPr>
                <w:p>
                  <w:pPr>
                    <w:adjustRightInd w:val="0"/>
                    <w:snapToGrid w:val="0"/>
                    <w:spacing w:line="240" w:lineRule="auto"/>
                    <w:jc w:val="center"/>
                    <w:rPr>
                      <w:rFonts w:cs="Times New Roman"/>
                      <w:sz w:val="21"/>
                      <w:szCs w:val="21"/>
                      <w:lang w:val="en-GB"/>
                    </w:rPr>
                  </w:pPr>
                  <w:r>
                    <w:rPr>
                      <w:rFonts w:cs="Times New Roman"/>
                      <w:sz w:val="21"/>
                      <w:szCs w:val="21"/>
                      <w:lang w:val="en-GB"/>
                    </w:rPr>
                    <w:t>密闭式厂房+喷淋设备</w:t>
                  </w:r>
                </w:p>
              </w:tc>
              <w:tc>
                <w:tcPr>
                  <w:tcW w:w="1052" w:type="pct"/>
                  <w:vMerge w:val="continue"/>
                  <w:vAlign w:val="center"/>
                </w:tcPr>
                <w:p>
                  <w:pPr>
                    <w:adjustRightInd w:val="0"/>
                    <w:snapToGrid w:val="0"/>
                    <w:spacing w:line="240" w:lineRule="auto"/>
                    <w:jc w:val="center"/>
                    <w:rPr>
                      <w:rFonts w:cs="Times New Roman"/>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5" w:type="pct"/>
                  <w:vMerge w:val="continue"/>
                  <w:vAlign w:val="center"/>
                </w:tcPr>
                <w:p>
                  <w:pPr>
                    <w:adjustRightInd w:val="0"/>
                    <w:snapToGrid w:val="0"/>
                    <w:spacing w:line="240" w:lineRule="auto"/>
                    <w:jc w:val="center"/>
                    <w:rPr>
                      <w:rFonts w:cs="Times New Roman"/>
                      <w:b/>
                      <w:kern w:val="0"/>
                      <w:sz w:val="21"/>
                      <w:szCs w:val="21"/>
                    </w:rPr>
                  </w:pPr>
                </w:p>
              </w:tc>
              <w:tc>
                <w:tcPr>
                  <w:tcW w:w="365" w:type="pc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筒仓</w:t>
                  </w:r>
                </w:p>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粉尘</w:t>
                  </w:r>
                </w:p>
              </w:tc>
              <w:tc>
                <w:tcPr>
                  <w:tcW w:w="633" w:type="pct"/>
                  <w:vAlign w:val="center"/>
                </w:tcPr>
                <w:p>
                  <w:pPr>
                    <w:pStyle w:val="40"/>
                    <w:adjustRightInd w:val="0"/>
                    <w:snapToGrid w:val="0"/>
                    <w:spacing w:line="240" w:lineRule="auto"/>
                    <w:jc w:val="center"/>
                    <w:rPr>
                      <w:rFonts w:cs="Times New Roman"/>
                      <w:sz w:val="21"/>
                      <w:szCs w:val="21"/>
                    </w:rPr>
                  </w:pPr>
                  <w:r>
                    <w:rPr>
                      <w:rFonts w:cs="Times New Roman"/>
                      <w:sz w:val="21"/>
                      <w:szCs w:val="21"/>
                    </w:rPr>
                    <w:t>无组织</w:t>
                  </w:r>
                </w:p>
              </w:tc>
              <w:tc>
                <w:tcPr>
                  <w:tcW w:w="678" w:type="pct"/>
                  <w:vAlign w:val="center"/>
                </w:tcPr>
                <w:p>
                  <w:pPr>
                    <w:adjustRightInd w:val="0"/>
                    <w:snapToGrid w:val="0"/>
                    <w:spacing w:line="240" w:lineRule="auto"/>
                    <w:jc w:val="center"/>
                    <w:rPr>
                      <w:rFonts w:cs="Times New Roman"/>
                      <w:sz w:val="21"/>
                      <w:szCs w:val="21"/>
                    </w:rPr>
                  </w:pPr>
                  <w:r>
                    <w:rPr>
                      <w:rFonts w:cs="Times New Roman"/>
                      <w:sz w:val="21"/>
                      <w:szCs w:val="21"/>
                    </w:rPr>
                    <w:t>颗粒物</w:t>
                  </w:r>
                </w:p>
              </w:tc>
              <w:tc>
                <w:tcPr>
                  <w:tcW w:w="341"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w:t>
                  </w:r>
                </w:p>
              </w:tc>
              <w:tc>
                <w:tcPr>
                  <w:tcW w:w="500"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sz w:val="21"/>
                      <w:szCs w:val="21"/>
                    </w:rPr>
                    <w:t>2.0×10</w:t>
                  </w:r>
                  <w:r>
                    <w:rPr>
                      <w:rFonts w:cs="Times New Roman"/>
                      <w:sz w:val="21"/>
                      <w:szCs w:val="21"/>
                      <w:vertAlign w:val="superscript"/>
                    </w:rPr>
                    <w:t>-5</w:t>
                  </w:r>
                </w:p>
              </w:tc>
              <w:tc>
                <w:tcPr>
                  <w:tcW w:w="1027" w:type="pct"/>
                  <w:vAlign w:val="center"/>
                </w:tcPr>
                <w:p>
                  <w:pPr>
                    <w:adjustRightInd w:val="0"/>
                    <w:snapToGrid w:val="0"/>
                    <w:spacing w:line="240" w:lineRule="auto"/>
                    <w:jc w:val="center"/>
                    <w:rPr>
                      <w:rFonts w:cs="Times New Roman"/>
                      <w:sz w:val="21"/>
                      <w:szCs w:val="21"/>
                      <w:lang w:val="en-GB"/>
                    </w:rPr>
                  </w:pPr>
                  <w:r>
                    <w:rPr>
                      <w:rFonts w:cs="Times New Roman"/>
                      <w:sz w:val="21"/>
                      <w:szCs w:val="21"/>
                    </w:rPr>
                    <w:t>密闭式厂房+袋式除尘器</w:t>
                  </w:r>
                </w:p>
              </w:tc>
              <w:tc>
                <w:tcPr>
                  <w:tcW w:w="1052" w:type="pct"/>
                  <w:vMerge w:val="continue"/>
                  <w:vAlign w:val="center"/>
                </w:tcPr>
                <w:p>
                  <w:pPr>
                    <w:adjustRightInd w:val="0"/>
                    <w:snapToGrid w:val="0"/>
                    <w:spacing w:line="240" w:lineRule="auto"/>
                    <w:jc w:val="center"/>
                    <w:rPr>
                      <w:rFonts w:cs="Times New Roman"/>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5" w:type="pct"/>
                  <w:vMerge w:val="continue"/>
                  <w:vAlign w:val="center"/>
                </w:tcPr>
                <w:p>
                  <w:pPr>
                    <w:adjustRightInd w:val="0"/>
                    <w:snapToGrid w:val="0"/>
                    <w:spacing w:line="240" w:lineRule="auto"/>
                    <w:jc w:val="center"/>
                    <w:rPr>
                      <w:rFonts w:cs="Times New Roman"/>
                      <w:b/>
                      <w:kern w:val="0"/>
                      <w:sz w:val="21"/>
                      <w:szCs w:val="21"/>
                    </w:rPr>
                  </w:pPr>
                </w:p>
              </w:tc>
              <w:tc>
                <w:tcPr>
                  <w:tcW w:w="365" w:type="pc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搅拌粉尘</w:t>
                  </w:r>
                </w:p>
              </w:tc>
              <w:tc>
                <w:tcPr>
                  <w:tcW w:w="633" w:type="pct"/>
                  <w:vAlign w:val="center"/>
                </w:tcPr>
                <w:p>
                  <w:pPr>
                    <w:pStyle w:val="40"/>
                    <w:adjustRightInd w:val="0"/>
                    <w:snapToGrid w:val="0"/>
                    <w:spacing w:line="240" w:lineRule="auto"/>
                    <w:jc w:val="center"/>
                    <w:rPr>
                      <w:rFonts w:cs="Times New Roman"/>
                      <w:sz w:val="21"/>
                      <w:szCs w:val="21"/>
                    </w:rPr>
                  </w:pPr>
                  <w:r>
                    <w:rPr>
                      <w:rFonts w:cs="Times New Roman"/>
                      <w:sz w:val="21"/>
                      <w:szCs w:val="21"/>
                    </w:rPr>
                    <w:t>无组织</w:t>
                  </w:r>
                </w:p>
              </w:tc>
              <w:tc>
                <w:tcPr>
                  <w:tcW w:w="678" w:type="pct"/>
                  <w:vAlign w:val="center"/>
                </w:tcPr>
                <w:p>
                  <w:pPr>
                    <w:adjustRightInd w:val="0"/>
                    <w:snapToGrid w:val="0"/>
                    <w:spacing w:line="240" w:lineRule="auto"/>
                    <w:jc w:val="center"/>
                    <w:rPr>
                      <w:rFonts w:cs="Times New Roman"/>
                      <w:sz w:val="21"/>
                      <w:szCs w:val="21"/>
                    </w:rPr>
                  </w:pPr>
                  <w:r>
                    <w:rPr>
                      <w:rFonts w:cs="Times New Roman"/>
                      <w:sz w:val="21"/>
                      <w:szCs w:val="21"/>
                    </w:rPr>
                    <w:t>颗粒物</w:t>
                  </w:r>
                </w:p>
              </w:tc>
              <w:tc>
                <w:tcPr>
                  <w:tcW w:w="341"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w:t>
                  </w:r>
                </w:p>
              </w:tc>
              <w:tc>
                <w:tcPr>
                  <w:tcW w:w="500" w:type="pct"/>
                  <w:vAlign w:val="center"/>
                </w:tcPr>
                <w:p>
                  <w:pPr>
                    <w:adjustRightInd w:val="0"/>
                    <w:snapToGrid w:val="0"/>
                    <w:spacing w:line="240" w:lineRule="auto"/>
                    <w:jc w:val="center"/>
                    <w:textAlignment w:val="center"/>
                    <w:rPr>
                      <w:rFonts w:cs="Times New Roman"/>
                      <w:sz w:val="21"/>
                      <w:szCs w:val="21"/>
                    </w:rPr>
                  </w:pPr>
                  <w:r>
                    <w:rPr>
                      <w:rFonts w:cs="Times New Roman"/>
                      <w:sz w:val="21"/>
                      <w:szCs w:val="21"/>
                    </w:rPr>
                    <w:t>0.015</w:t>
                  </w:r>
                </w:p>
              </w:tc>
              <w:tc>
                <w:tcPr>
                  <w:tcW w:w="1027" w:type="pct"/>
                  <w:vAlign w:val="center"/>
                </w:tcPr>
                <w:p>
                  <w:pPr>
                    <w:adjustRightInd w:val="0"/>
                    <w:snapToGrid w:val="0"/>
                    <w:spacing w:line="240" w:lineRule="auto"/>
                    <w:jc w:val="center"/>
                    <w:rPr>
                      <w:rFonts w:cs="Times New Roman"/>
                      <w:sz w:val="21"/>
                      <w:szCs w:val="21"/>
                    </w:rPr>
                  </w:pPr>
                  <w:r>
                    <w:rPr>
                      <w:rFonts w:cs="Times New Roman"/>
                      <w:sz w:val="21"/>
                      <w:szCs w:val="21"/>
                    </w:rPr>
                    <w:t>密闭式厂房+袋式除尘器+喷淋设备</w:t>
                  </w:r>
                </w:p>
              </w:tc>
              <w:tc>
                <w:tcPr>
                  <w:tcW w:w="1052" w:type="pct"/>
                  <w:vMerge w:val="continue"/>
                  <w:vAlign w:val="center"/>
                </w:tcPr>
                <w:p>
                  <w:pPr>
                    <w:adjustRightInd w:val="0"/>
                    <w:snapToGrid w:val="0"/>
                    <w:spacing w:line="240" w:lineRule="auto"/>
                    <w:jc w:val="center"/>
                    <w:rPr>
                      <w:rFonts w:cs="Times New Roman"/>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5" w:type="pct"/>
                  <w:vMerge w:val="continue"/>
                  <w:vAlign w:val="center"/>
                </w:tcPr>
                <w:p>
                  <w:pPr>
                    <w:adjustRightInd w:val="0"/>
                    <w:snapToGrid w:val="0"/>
                    <w:spacing w:line="240" w:lineRule="auto"/>
                    <w:jc w:val="center"/>
                    <w:rPr>
                      <w:rFonts w:cs="Times New Roman"/>
                      <w:b/>
                      <w:kern w:val="0"/>
                      <w:sz w:val="21"/>
                      <w:szCs w:val="21"/>
                    </w:rPr>
                  </w:pPr>
                </w:p>
              </w:tc>
              <w:tc>
                <w:tcPr>
                  <w:tcW w:w="365" w:type="pc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车辆扬尘</w:t>
                  </w:r>
                </w:p>
              </w:tc>
              <w:tc>
                <w:tcPr>
                  <w:tcW w:w="633" w:type="pct"/>
                  <w:vAlign w:val="center"/>
                </w:tcPr>
                <w:p>
                  <w:pPr>
                    <w:pStyle w:val="40"/>
                    <w:adjustRightInd w:val="0"/>
                    <w:snapToGrid w:val="0"/>
                    <w:spacing w:line="240" w:lineRule="auto"/>
                    <w:jc w:val="center"/>
                    <w:rPr>
                      <w:rFonts w:cs="Times New Roman"/>
                      <w:sz w:val="21"/>
                      <w:szCs w:val="21"/>
                    </w:rPr>
                  </w:pPr>
                  <w:r>
                    <w:rPr>
                      <w:rFonts w:cs="Times New Roman"/>
                      <w:sz w:val="21"/>
                      <w:szCs w:val="21"/>
                    </w:rPr>
                    <w:t>无组织</w:t>
                  </w:r>
                </w:p>
              </w:tc>
              <w:tc>
                <w:tcPr>
                  <w:tcW w:w="678" w:type="pct"/>
                  <w:vAlign w:val="center"/>
                </w:tcPr>
                <w:p>
                  <w:pPr>
                    <w:adjustRightInd w:val="0"/>
                    <w:snapToGrid w:val="0"/>
                    <w:spacing w:line="240" w:lineRule="auto"/>
                    <w:jc w:val="center"/>
                    <w:rPr>
                      <w:rFonts w:cs="Times New Roman"/>
                      <w:sz w:val="21"/>
                      <w:szCs w:val="21"/>
                    </w:rPr>
                  </w:pPr>
                  <w:r>
                    <w:rPr>
                      <w:rFonts w:cs="Times New Roman"/>
                      <w:sz w:val="21"/>
                      <w:szCs w:val="21"/>
                    </w:rPr>
                    <w:t>颗粒物</w:t>
                  </w:r>
                </w:p>
              </w:tc>
              <w:tc>
                <w:tcPr>
                  <w:tcW w:w="341"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w:t>
                  </w:r>
                </w:p>
              </w:tc>
              <w:tc>
                <w:tcPr>
                  <w:tcW w:w="500" w:type="pct"/>
                  <w:vAlign w:val="center"/>
                </w:tcPr>
                <w:p>
                  <w:pPr>
                    <w:adjustRightInd w:val="0"/>
                    <w:snapToGrid w:val="0"/>
                    <w:spacing w:line="240" w:lineRule="auto"/>
                    <w:jc w:val="center"/>
                    <w:textAlignment w:val="center"/>
                    <w:rPr>
                      <w:rFonts w:cs="Times New Roman"/>
                      <w:sz w:val="21"/>
                      <w:szCs w:val="21"/>
                    </w:rPr>
                  </w:pPr>
                  <w:r>
                    <w:rPr>
                      <w:rFonts w:cs="Times New Roman"/>
                      <w:sz w:val="21"/>
                      <w:szCs w:val="21"/>
                    </w:rPr>
                    <w:t>0.0016</w:t>
                  </w:r>
                </w:p>
              </w:tc>
              <w:tc>
                <w:tcPr>
                  <w:tcW w:w="1027" w:type="pct"/>
                  <w:vAlign w:val="center"/>
                </w:tcPr>
                <w:p>
                  <w:pPr>
                    <w:adjustRightInd w:val="0"/>
                    <w:snapToGrid w:val="0"/>
                    <w:spacing w:line="240" w:lineRule="auto"/>
                    <w:jc w:val="center"/>
                    <w:rPr>
                      <w:rFonts w:cs="Times New Roman"/>
                      <w:sz w:val="21"/>
                      <w:szCs w:val="21"/>
                    </w:rPr>
                  </w:pPr>
                  <w:r>
                    <w:rPr>
                      <w:rFonts w:cs="Times New Roman"/>
                      <w:sz w:val="21"/>
                      <w:szCs w:val="21"/>
                      <w:lang w:val="en-GB"/>
                    </w:rPr>
                    <w:t>定期清洗车辆、路面定期洒水</w:t>
                  </w:r>
                </w:p>
              </w:tc>
              <w:tc>
                <w:tcPr>
                  <w:tcW w:w="1052" w:type="pct"/>
                  <w:vMerge w:val="continue"/>
                  <w:vAlign w:val="center"/>
                </w:tcPr>
                <w:p>
                  <w:pPr>
                    <w:adjustRightInd w:val="0"/>
                    <w:snapToGrid w:val="0"/>
                    <w:spacing w:line="240" w:lineRule="auto"/>
                    <w:jc w:val="center"/>
                    <w:rPr>
                      <w:rFonts w:cs="Times New Roman"/>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5" w:type="pct"/>
                  <w:vMerge w:val="continue"/>
                  <w:vAlign w:val="center"/>
                </w:tcPr>
                <w:p>
                  <w:pPr>
                    <w:adjustRightInd w:val="0"/>
                    <w:snapToGrid w:val="0"/>
                    <w:spacing w:line="240" w:lineRule="auto"/>
                    <w:jc w:val="center"/>
                    <w:rPr>
                      <w:rFonts w:cs="Times New Roman"/>
                      <w:b/>
                      <w:kern w:val="0"/>
                      <w:sz w:val="21"/>
                      <w:szCs w:val="21"/>
                    </w:rPr>
                  </w:pPr>
                </w:p>
              </w:tc>
              <w:tc>
                <w:tcPr>
                  <w:tcW w:w="365" w:type="pct"/>
                  <w:vMerge w:val="restar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沥青罐呼吸废气</w:t>
                  </w:r>
                </w:p>
              </w:tc>
              <w:tc>
                <w:tcPr>
                  <w:tcW w:w="633" w:type="pct"/>
                  <w:vAlign w:val="center"/>
                </w:tcPr>
                <w:p>
                  <w:pPr>
                    <w:pStyle w:val="40"/>
                    <w:adjustRightInd w:val="0"/>
                    <w:snapToGrid w:val="0"/>
                    <w:spacing w:line="240" w:lineRule="auto"/>
                    <w:jc w:val="center"/>
                    <w:rPr>
                      <w:rFonts w:cs="Times New Roman"/>
                      <w:sz w:val="21"/>
                      <w:szCs w:val="21"/>
                    </w:rPr>
                  </w:pPr>
                  <w:r>
                    <w:rPr>
                      <w:rFonts w:hint="eastAsia" w:cs="Times New Roman"/>
                      <w:sz w:val="21"/>
                      <w:szCs w:val="21"/>
                    </w:rPr>
                    <w:t>有</w:t>
                  </w:r>
                  <w:r>
                    <w:rPr>
                      <w:rFonts w:cs="Times New Roman"/>
                      <w:sz w:val="21"/>
                      <w:szCs w:val="21"/>
                    </w:rPr>
                    <w:t>组织</w:t>
                  </w:r>
                </w:p>
              </w:tc>
              <w:tc>
                <w:tcPr>
                  <w:tcW w:w="678" w:type="pct"/>
                  <w:vAlign w:val="center"/>
                </w:tcPr>
                <w:p>
                  <w:pPr>
                    <w:adjustRightInd w:val="0"/>
                    <w:snapToGrid w:val="0"/>
                    <w:spacing w:line="240" w:lineRule="auto"/>
                    <w:jc w:val="center"/>
                    <w:rPr>
                      <w:rFonts w:cs="Times New Roman"/>
                      <w:sz w:val="21"/>
                      <w:szCs w:val="21"/>
                    </w:rPr>
                  </w:pPr>
                  <w:r>
                    <w:rPr>
                      <w:rFonts w:cs="Times New Roman"/>
                      <w:sz w:val="21"/>
                      <w:szCs w:val="21"/>
                    </w:rPr>
                    <w:t>沥青烟</w:t>
                  </w:r>
                </w:p>
              </w:tc>
              <w:tc>
                <w:tcPr>
                  <w:tcW w:w="341"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w:t>
                  </w:r>
                </w:p>
              </w:tc>
              <w:tc>
                <w:tcPr>
                  <w:tcW w:w="500" w:type="pct"/>
                  <w:vAlign w:val="center"/>
                </w:tcPr>
                <w:p>
                  <w:pPr>
                    <w:adjustRightInd w:val="0"/>
                    <w:snapToGrid w:val="0"/>
                    <w:spacing w:line="240" w:lineRule="auto"/>
                    <w:jc w:val="center"/>
                    <w:textAlignment w:val="center"/>
                    <w:rPr>
                      <w:rFonts w:cs="Times New Roman"/>
                      <w:sz w:val="21"/>
                      <w:szCs w:val="21"/>
                    </w:rPr>
                  </w:pPr>
                  <w:r>
                    <w:rPr>
                      <w:rFonts w:cs="Times New Roman"/>
                      <w:sz w:val="21"/>
                      <w:szCs w:val="21"/>
                    </w:rPr>
                    <w:t>0.0035</w:t>
                  </w:r>
                </w:p>
              </w:tc>
              <w:tc>
                <w:tcPr>
                  <w:tcW w:w="1027" w:type="pct"/>
                  <w:vMerge w:val="restart"/>
                  <w:vAlign w:val="center"/>
                </w:tcPr>
                <w:p>
                  <w:pPr>
                    <w:adjustRightInd w:val="0"/>
                    <w:snapToGrid w:val="0"/>
                    <w:spacing w:line="240" w:lineRule="auto"/>
                    <w:jc w:val="center"/>
                    <w:rPr>
                      <w:rFonts w:cs="Times New Roman"/>
                      <w:sz w:val="21"/>
                      <w:szCs w:val="21"/>
                      <w:lang w:val="en-GB"/>
                    </w:rPr>
                  </w:pPr>
                  <w:r>
                    <w:rPr>
                      <w:rFonts w:hint="eastAsia" w:cs="Times New Roman"/>
                      <w:sz w:val="21"/>
                      <w:szCs w:val="21"/>
                      <w:lang w:val="en-GB"/>
                    </w:rPr>
                    <w:t>废气收集至“气旋+电捕+活性炭吸附”装置处理后于1</w:t>
                  </w:r>
                  <w:r>
                    <w:rPr>
                      <w:rFonts w:cs="Times New Roman"/>
                      <w:sz w:val="21"/>
                      <w:szCs w:val="21"/>
                      <w:lang w:val="en-GB"/>
                    </w:rPr>
                    <w:t>5.3m</w:t>
                  </w:r>
                  <w:r>
                    <w:rPr>
                      <w:rFonts w:hint="eastAsia" w:cs="Times New Roman"/>
                      <w:sz w:val="21"/>
                      <w:szCs w:val="21"/>
                      <w:lang w:val="en-GB"/>
                    </w:rPr>
                    <w:t>高排气筒排放</w:t>
                  </w:r>
                </w:p>
              </w:tc>
              <w:tc>
                <w:tcPr>
                  <w:tcW w:w="1052" w:type="pct"/>
                  <w:vMerge w:val="restart"/>
                  <w:vAlign w:val="center"/>
                </w:tcPr>
                <w:p>
                  <w:pPr>
                    <w:adjustRightInd w:val="0"/>
                    <w:snapToGrid w:val="0"/>
                    <w:spacing w:line="240" w:lineRule="auto"/>
                    <w:jc w:val="center"/>
                    <w:rPr>
                      <w:rFonts w:cs="Times New Roman"/>
                      <w:bCs/>
                      <w:sz w:val="21"/>
                      <w:szCs w:val="21"/>
                    </w:rPr>
                  </w:pPr>
                  <w:r>
                    <w:rPr>
                      <w:rFonts w:cs="Times New Roman"/>
                      <w:sz w:val="21"/>
                      <w:szCs w:val="21"/>
                    </w:rPr>
                    <w:t>《大气污染物综合排放标准》（GB16297-1996）中二级标准限值要求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5" w:type="pct"/>
                  <w:vMerge w:val="continue"/>
                  <w:vAlign w:val="center"/>
                </w:tcPr>
                <w:p>
                  <w:pPr>
                    <w:adjustRightInd w:val="0"/>
                    <w:snapToGrid w:val="0"/>
                    <w:spacing w:line="240" w:lineRule="auto"/>
                    <w:jc w:val="center"/>
                    <w:rPr>
                      <w:rFonts w:cs="Times New Roman"/>
                      <w:b/>
                      <w:kern w:val="0"/>
                      <w:sz w:val="21"/>
                      <w:szCs w:val="21"/>
                    </w:rPr>
                  </w:pPr>
                </w:p>
              </w:tc>
              <w:tc>
                <w:tcPr>
                  <w:tcW w:w="365" w:type="pct"/>
                  <w:vMerge w:val="continue"/>
                  <w:vAlign w:val="center"/>
                </w:tcPr>
                <w:p>
                  <w:pPr>
                    <w:adjustRightInd w:val="0"/>
                    <w:snapToGrid w:val="0"/>
                    <w:spacing w:line="240" w:lineRule="auto"/>
                    <w:ind w:left="-65" w:leftChars="-27" w:right="-84" w:rightChars="-35"/>
                    <w:jc w:val="center"/>
                    <w:rPr>
                      <w:rFonts w:cs="Times New Roman"/>
                      <w:bCs/>
                      <w:sz w:val="21"/>
                      <w:szCs w:val="21"/>
                    </w:rPr>
                  </w:pPr>
                </w:p>
              </w:tc>
              <w:tc>
                <w:tcPr>
                  <w:tcW w:w="633" w:type="pct"/>
                  <w:vAlign w:val="center"/>
                </w:tcPr>
                <w:p>
                  <w:pPr>
                    <w:pStyle w:val="40"/>
                    <w:adjustRightInd w:val="0"/>
                    <w:snapToGrid w:val="0"/>
                    <w:spacing w:line="240" w:lineRule="auto"/>
                    <w:jc w:val="center"/>
                    <w:rPr>
                      <w:rFonts w:cs="Times New Roman"/>
                      <w:sz w:val="21"/>
                      <w:szCs w:val="21"/>
                    </w:rPr>
                  </w:pPr>
                  <w:r>
                    <w:rPr>
                      <w:rFonts w:hint="eastAsia" w:cs="Times New Roman"/>
                      <w:sz w:val="21"/>
                      <w:szCs w:val="21"/>
                    </w:rPr>
                    <w:t>有</w:t>
                  </w:r>
                  <w:r>
                    <w:rPr>
                      <w:rFonts w:cs="Times New Roman"/>
                      <w:sz w:val="21"/>
                      <w:szCs w:val="21"/>
                    </w:rPr>
                    <w:t>组织</w:t>
                  </w:r>
                </w:p>
              </w:tc>
              <w:tc>
                <w:tcPr>
                  <w:tcW w:w="678" w:type="pct"/>
                  <w:vAlign w:val="center"/>
                </w:tcPr>
                <w:p>
                  <w:pPr>
                    <w:adjustRightInd w:val="0"/>
                    <w:snapToGrid w:val="0"/>
                    <w:spacing w:line="240" w:lineRule="auto"/>
                    <w:jc w:val="center"/>
                    <w:rPr>
                      <w:rFonts w:cs="Times New Roman"/>
                      <w:sz w:val="21"/>
                      <w:szCs w:val="21"/>
                    </w:rPr>
                  </w:pPr>
                  <w:r>
                    <w:rPr>
                      <w:rFonts w:cs="Times New Roman"/>
                      <w:sz w:val="21"/>
                      <w:szCs w:val="21"/>
                    </w:rPr>
                    <w:t>苯并[a]芘</w:t>
                  </w:r>
                </w:p>
              </w:tc>
              <w:tc>
                <w:tcPr>
                  <w:tcW w:w="341" w:type="pct"/>
                  <w:vAlign w:val="center"/>
                </w:tcPr>
                <w:p>
                  <w:pPr>
                    <w:adjustRightInd w:val="0"/>
                    <w:snapToGrid w:val="0"/>
                    <w:spacing w:line="240" w:lineRule="auto"/>
                    <w:jc w:val="center"/>
                    <w:textAlignment w:val="center"/>
                    <w:rPr>
                      <w:rFonts w:cs="Times New Roman"/>
                      <w:kern w:val="0"/>
                      <w:sz w:val="21"/>
                      <w:szCs w:val="21"/>
                      <w:lang w:bidi="ar"/>
                    </w:rPr>
                  </w:pPr>
                  <w:r>
                    <w:rPr>
                      <w:rFonts w:cs="Times New Roman"/>
                      <w:kern w:val="0"/>
                      <w:sz w:val="21"/>
                      <w:szCs w:val="21"/>
                      <w:lang w:bidi="ar"/>
                    </w:rPr>
                    <w:t>/</w:t>
                  </w:r>
                </w:p>
              </w:tc>
              <w:tc>
                <w:tcPr>
                  <w:tcW w:w="500" w:type="pct"/>
                  <w:vAlign w:val="center"/>
                </w:tcPr>
                <w:p>
                  <w:pPr>
                    <w:adjustRightInd w:val="0"/>
                    <w:snapToGrid w:val="0"/>
                    <w:spacing w:line="240" w:lineRule="auto"/>
                    <w:jc w:val="center"/>
                    <w:textAlignment w:val="center"/>
                    <w:rPr>
                      <w:rFonts w:cs="Times New Roman"/>
                      <w:sz w:val="21"/>
                      <w:szCs w:val="21"/>
                    </w:rPr>
                  </w:pPr>
                  <w:r>
                    <w:rPr>
                      <w:rFonts w:cs="Times New Roman"/>
                      <w:sz w:val="21"/>
                      <w:szCs w:val="21"/>
                    </w:rPr>
                    <w:t>4.3×10</w:t>
                  </w:r>
                  <w:r>
                    <w:rPr>
                      <w:rFonts w:cs="Times New Roman"/>
                      <w:sz w:val="21"/>
                      <w:szCs w:val="21"/>
                      <w:vertAlign w:val="superscript"/>
                    </w:rPr>
                    <w:t>-8</w:t>
                  </w:r>
                </w:p>
              </w:tc>
              <w:tc>
                <w:tcPr>
                  <w:tcW w:w="1027" w:type="pct"/>
                  <w:vMerge w:val="continue"/>
                  <w:vAlign w:val="center"/>
                </w:tcPr>
                <w:p>
                  <w:pPr>
                    <w:adjustRightInd w:val="0"/>
                    <w:snapToGrid w:val="0"/>
                    <w:spacing w:line="240" w:lineRule="auto"/>
                    <w:jc w:val="center"/>
                    <w:rPr>
                      <w:rFonts w:cs="Times New Roman"/>
                      <w:sz w:val="21"/>
                      <w:szCs w:val="21"/>
                      <w:lang w:val="en-GB"/>
                    </w:rPr>
                  </w:pPr>
                </w:p>
              </w:tc>
              <w:tc>
                <w:tcPr>
                  <w:tcW w:w="1052" w:type="pct"/>
                  <w:vMerge w:val="continue"/>
                  <w:vAlign w:val="center"/>
                </w:tcPr>
                <w:p>
                  <w:pPr>
                    <w:adjustRightInd w:val="0"/>
                    <w:snapToGrid w:val="0"/>
                    <w:spacing w:line="240" w:lineRule="auto"/>
                    <w:jc w:val="center"/>
                    <w:rPr>
                      <w:rFonts w:cs="Times New Roman"/>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vAlign w:val="center"/>
                </w:tcPr>
                <w:p>
                  <w:pPr>
                    <w:adjustRightInd w:val="0"/>
                    <w:snapToGrid w:val="0"/>
                    <w:spacing w:line="240" w:lineRule="auto"/>
                    <w:jc w:val="center"/>
                    <w:rPr>
                      <w:rFonts w:cs="Times New Roman"/>
                      <w:b/>
                      <w:kern w:val="0"/>
                      <w:sz w:val="21"/>
                      <w:szCs w:val="21"/>
                    </w:rPr>
                  </w:pPr>
                  <w:r>
                    <w:rPr>
                      <w:rFonts w:cs="Times New Roman"/>
                      <w:b/>
                      <w:kern w:val="0"/>
                      <w:sz w:val="21"/>
                      <w:szCs w:val="21"/>
                    </w:rPr>
                    <w:t>水污染物</w:t>
                  </w:r>
                </w:p>
              </w:tc>
              <w:tc>
                <w:tcPr>
                  <w:tcW w:w="998" w:type="pct"/>
                  <w:gridSpan w:val="2"/>
                  <w:vAlign w:val="center"/>
                </w:tcPr>
                <w:p>
                  <w:pPr>
                    <w:pStyle w:val="40"/>
                    <w:adjustRightInd w:val="0"/>
                    <w:snapToGrid w:val="0"/>
                    <w:spacing w:line="240" w:lineRule="auto"/>
                    <w:jc w:val="center"/>
                    <w:rPr>
                      <w:rFonts w:cs="Times New Roman"/>
                      <w:sz w:val="21"/>
                      <w:szCs w:val="21"/>
                    </w:rPr>
                  </w:pPr>
                  <w:r>
                    <w:rPr>
                      <w:rFonts w:cs="Times New Roman"/>
                      <w:sz w:val="21"/>
                      <w:szCs w:val="21"/>
                    </w:rPr>
                    <w:t>车辆冲洗废水</w:t>
                  </w:r>
                </w:p>
              </w:tc>
              <w:tc>
                <w:tcPr>
                  <w:tcW w:w="678" w:type="pct"/>
                  <w:vAlign w:val="center"/>
                </w:tcPr>
                <w:p>
                  <w:pPr>
                    <w:adjustRightInd w:val="0"/>
                    <w:snapToGrid w:val="0"/>
                    <w:spacing w:line="240" w:lineRule="auto"/>
                    <w:jc w:val="center"/>
                    <w:rPr>
                      <w:rFonts w:cs="Times New Roman"/>
                      <w:sz w:val="21"/>
                      <w:szCs w:val="21"/>
                    </w:rPr>
                  </w:pPr>
                  <w:r>
                    <w:rPr>
                      <w:rFonts w:cs="Times New Roman"/>
                      <w:sz w:val="21"/>
                      <w:szCs w:val="21"/>
                    </w:rPr>
                    <w:t>SS</w:t>
                  </w:r>
                </w:p>
              </w:tc>
              <w:tc>
                <w:tcPr>
                  <w:tcW w:w="341" w:type="pct"/>
                  <w:vAlign w:val="center"/>
                </w:tcPr>
                <w:p>
                  <w:pPr>
                    <w:pStyle w:val="36"/>
                    <w:snapToGrid w:val="0"/>
                    <w:jc w:val="center"/>
                    <w:rPr>
                      <w:rFonts w:ascii="Times New Roman" w:cs="Times New Roman"/>
                      <w:bCs/>
                      <w:color w:val="auto"/>
                      <w:kern w:val="2"/>
                      <w:sz w:val="21"/>
                      <w:szCs w:val="21"/>
                    </w:rPr>
                  </w:pPr>
                  <w:r>
                    <w:rPr>
                      <w:rFonts w:ascii="Times New Roman" w:cs="Times New Roman"/>
                      <w:bCs/>
                      <w:color w:val="auto"/>
                      <w:kern w:val="2"/>
                      <w:sz w:val="21"/>
                      <w:szCs w:val="21"/>
                    </w:rPr>
                    <w:t>/</w:t>
                  </w:r>
                </w:p>
              </w:tc>
              <w:tc>
                <w:tcPr>
                  <w:tcW w:w="500" w:type="pct"/>
                  <w:vAlign w:val="center"/>
                </w:tcPr>
                <w:p>
                  <w:pPr>
                    <w:adjustRightInd w:val="0"/>
                    <w:snapToGrid w:val="0"/>
                    <w:spacing w:line="240" w:lineRule="auto"/>
                    <w:jc w:val="center"/>
                    <w:rPr>
                      <w:rFonts w:cs="Times New Roman"/>
                      <w:spacing w:val="-1"/>
                      <w:kern w:val="0"/>
                      <w:sz w:val="21"/>
                      <w:szCs w:val="21"/>
                    </w:rPr>
                  </w:pPr>
                  <w:r>
                    <w:rPr>
                      <w:rFonts w:cs="Times New Roman"/>
                      <w:spacing w:val="-1"/>
                      <w:kern w:val="0"/>
                      <w:sz w:val="21"/>
                      <w:szCs w:val="21"/>
                    </w:rPr>
                    <w:t>0</w:t>
                  </w:r>
                </w:p>
              </w:tc>
              <w:tc>
                <w:tcPr>
                  <w:tcW w:w="2079" w:type="pct"/>
                  <w:gridSpan w:val="2"/>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lang w:val="zh-TW"/>
                    </w:rPr>
                  </w:pPr>
                  <w:r>
                    <w:rPr>
                      <w:rFonts w:ascii="Times New Roman" w:hAnsi="Times New Roman" w:cs="Times New Roman"/>
                      <w:sz w:val="21"/>
                      <w:szCs w:val="21"/>
                    </w:rPr>
                    <w:t>回用于车辆冲洗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vMerge w:val="restart"/>
                  <w:vAlign w:val="center"/>
                </w:tcPr>
                <w:p>
                  <w:pPr>
                    <w:adjustRightInd w:val="0"/>
                    <w:snapToGrid w:val="0"/>
                    <w:spacing w:line="240" w:lineRule="auto"/>
                    <w:jc w:val="center"/>
                    <w:rPr>
                      <w:rFonts w:cs="Times New Roman"/>
                      <w:b/>
                      <w:kern w:val="0"/>
                      <w:sz w:val="21"/>
                      <w:szCs w:val="21"/>
                    </w:rPr>
                  </w:pPr>
                  <w:r>
                    <w:rPr>
                      <w:rFonts w:cs="Times New Roman"/>
                      <w:b/>
                      <w:kern w:val="0"/>
                      <w:sz w:val="21"/>
                      <w:szCs w:val="21"/>
                    </w:rPr>
                    <w:t>固体</w:t>
                  </w:r>
                </w:p>
                <w:p>
                  <w:pPr>
                    <w:adjustRightInd w:val="0"/>
                    <w:snapToGrid w:val="0"/>
                    <w:spacing w:line="240" w:lineRule="auto"/>
                    <w:jc w:val="center"/>
                    <w:rPr>
                      <w:rFonts w:cs="Times New Roman"/>
                      <w:b/>
                      <w:sz w:val="21"/>
                      <w:szCs w:val="21"/>
                    </w:rPr>
                  </w:pPr>
                  <w:r>
                    <w:rPr>
                      <w:rFonts w:cs="Times New Roman"/>
                      <w:b/>
                      <w:kern w:val="0"/>
                      <w:sz w:val="21"/>
                      <w:szCs w:val="21"/>
                    </w:rPr>
                    <w:t>废物</w:t>
                  </w:r>
                </w:p>
              </w:tc>
              <w:tc>
                <w:tcPr>
                  <w:tcW w:w="365" w:type="pct"/>
                  <w:vMerge w:val="restar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一般固体废物</w:t>
                  </w:r>
                </w:p>
              </w:tc>
              <w:tc>
                <w:tcPr>
                  <w:tcW w:w="633" w:type="pct"/>
                  <w:vAlign w:val="center"/>
                </w:tcPr>
                <w:p>
                  <w:pPr>
                    <w:adjustRightInd w:val="0"/>
                    <w:snapToGrid w:val="0"/>
                    <w:spacing w:line="240" w:lineRule="auto"/>
                    <w:jc w:val="center"/>
                    <w:rPr>
                      <w:rFonts w:cs="Times New Roman"/>
                      <w:spacing w:val="-1"/>
                      <w:sz w:val="21"/>
                      <w:szCs w:val="21"/>
                    </w:rPr>
                  </w:pPr>
                  <w:r>
                    <w:rPr>
                      <w:rFonts w:cs="Times New Roman"/>
                      <w:sz w:val="21"/>
                      <w:szCs w:val="21"/>
                    </w:rPr>
                    <w:t>除尘装置收集的粉尘</w:t>
                  </w:r>
                </w:p>
              </w:tc>
              <w:tc>
                <w:tcPr>
                  <w:tcW w:w="678"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工业粉尘</w:t>
                  </w:r>
                </w:p>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309-001-66</w:t>
                  </w:r>
                </w:p>
              </w:tc>
              <w:tc>
                <w:tcPr>
                  <w:tcW w:w="341" w:type="pct"/>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rPr>
                  </w:pPr>
                  <w:r>
                    <w:rPr>
                      <w:rFonts w:ascii="Times New Roman" w:hAnsi="Times New Roman" w:cs="Times New Roman"/>
                      <w:bCs/>
                      <w:sz w:val="21"/>
                      <w:szCs w:val="21"/>
                    </w:rPr>
                    <w:t>/</w:t>
                  </w:r>
                </w:p>
              </w:tc>
              <w:tc>
                <w:tcPr>
                  <w:tcW w:w="500"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98.3</w:t>
                  </w:r>
                </w:p>
              </w:tc>
              <w:tc>
                <w:tcPr>
                  <w:tcW w:w="1027" w:type="pct"/>
                  <w:vMerge w:val="restar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lang w:val="zh-TW"/>
                    </w:rPr>
                  </w:pPr>
                  <w:r>
                    <w:rPr>
                      <w:rFonts w:ascii="Times New Roman" w:hAnsi="Times New Roman" w:cs="Times New Roman"/>
                      <w:spacing w:val="-1"/>
                      <w:sz w:val="21"/>
                      <w:szCs w:val="21"/>
                    </w:rPr>
                    <w:t>回用于生产</w:t>
                  </w:r>
                </w:p>
              </w:tc>
              <w:tc>
                <w:tcPr>
                  <w:tcW w:w="1052" w:type="pct"/>
                  <w:vMerge w:val="restart"/>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lang w:val="zh-TW"/>
                    </w:rPr>
                  </w:pPr>
                  <w:r>
                    <w:rPr>
                      <w:rFonts w:ascii="Times New Roman" w:hAnsi="Times New Roman" w:cs="Times New Roman"/>
                      <w:bCs/>
                      <w:sz w:val="21"/>
                      <w:szCs w:val="21"/>
                      <w:lang w:val="zh-TW"/>
                    </w:rPr>
                    <w:t>《一般工业固体废物贮存和填埋污染控制标准》(GB18599-2020)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vMerge w:val="continue"/>
                  <w:vAlign w:val="center"/>
                </w:tcPr>
                <w:p>
                  <w:pPr>
                    <w:pStyle w:val="37"/>
                    <w:kinsoku w:val="0"/>
                    <w:overflowPunct w:val="0"/>
                    <w:adjustRightInd w:val="0"/>
                    <w:snapToGrid w:val="0"/>
                    <w:spacing w:line="240" w:lineRule="auto"/>
                    <w:contextualSpacing/>
                    <w:rPr>
                      <w:rFonts w:ascii="Times New Roman" w:hAnsi="Times New Roman" w:cs="Times New Roman"/>
                      <w:b/>
                      <w:spacing w:val="-1"/>
                      <w:sz w:val="21"/>
                      <w:szCs w:val="21"/>
                    </w:rPr>
                  </w:pPr>
                </w:p>
              </w:tc>
              <w:tc>
                <w:tcPr>
                  <w:tcW w:w="365" w:type="pct"/>
                  <w:vMerge w:val="continue"/>
                  <w:vAlign w:val="center"/>
                </w:tcPr>
                <w:p>
                  <w:pPr>
                    <w:adjustRightInd w:val="0"/>
                    <w:snapToGrid w:val="0"/>
                    <w:spacing w:line="240" w:lineRule="auto"/>
                    <w:ind w:left="-65" w:leftChars="-27" w:right="-84" w:rightChars="-35"/>
                    <w:jc w:val="center"/>
                    <w:rPr>
                      <w:rFonts w:cs="Times New Roman"/>
                      <w:bCs/>
                      <w:sz w:val="21"/>
                      <w:szCs w:val="21"/>
                    </w:rPr>
                  </w:pPr>
                </w:p>
              </w:tc>
              <w:tc>
                <w:tcPr>
                  <w:tcW w:w="633" w:type="pct"/>
                  <w:vAlign w:val="center"/>
                </w:tcPr>
                <w:p>
                  <w:pPr>
                    <w:adjustRightInd w:val="0"/>
                    <w:snapToGrid w:val="0"/>
                    <w:spacing w:line="240" w:lineRule="auto"/>
                    <w:jc w:val="center"/>
                    <w:rPr>
                      <w:rFonts w:cs="Times New Roman"/>
                      <w:sz w:val="21"/>
                      <w:szCs w:val="21"/>
                    </w:rPr>
                  </w:pPr>
                  <w:r>
                    <w:rPr>
                      <w:rFonts w:cs="Times New Roman"/>
                      <w:sz w:val="21"/>
                      <w:szCs w:val="21"/>
                    </w:rPr>
                    <w:t>沉淀池</w:t>
                  </w:r>
                </w:p>
                <w:p>
                  <w:pPr>
                    <w:adjustRightInd w:val="0"/>
                    <w:snapToGrid w:val="0"/>
                    <w:spacing w:line="240" w:lineRule="auto"/>
                    <w:jc w:val="center"/>
                    <w:rPr>
                      <w:rFonts w:cs="Times New Roman"/>
                      <w:spacing w:val="-1"/>
                      <w:sz w:val="21"/>
                      <w:szCs w:val="21"/>
                    </w:rPr>
                  </w:pPr>
                  <w:r>
                    <w:rPr>
                      <w:rFonts w:cs="Times New Roman"/>
                      <w:sz w:val="21"/>
                      <w:szCs w:val="21"/>
                    </w:rPr>
                    <w:t>沉渣</w:t>
                  </w:r>
                </w:p>
              </w:tc>
              <w:tc>
                <w:tcPr>
                  <w:tcW w:w="678"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其他废物309-001-99</w:t>
                  </w:r>
                </w:p>
              </w:tc>
              <w:tc>
                <w:tcPr>
                  <w:tcW w:w="341" w:type="pct"/>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rPr>
                  </w:pPr>
                  <w:r>
                    <w:rPr>
                      <w:rFonts w:ascii="Times New Roman" w:hAnsi="Times New Roman" w:cs="Times New Roman"/>
                      <w:bCs/>
                      <w:sz w:val="21"/>
                      <w:szCs w:val="21"/>
                    </w:rPr>
                    <w:t>/</w:t>
                  </w:r>
                </w:p>
              </w:tc>
              <w:tc>
                <w:tcPr>
                  <w:tcW w:w="500"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1.0</w:t>
                  </w:r>
                </w:p>
              </w:tc>
              <w:tc>
                <w:tcPr>
                  <w:tcW w:w="1027" w:type="pct"/>
                  <w:vMerge w:val="continue"/>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lang w:val="zh-TW"/>
                    </w:rPr>
                  </w:pPr>
                </w:p>
              </w:tc>
              <w:tc>
                <w:tcPr>
                  <w:tcW w:w="1052" w:type="pct"/>
                  <w:vMerge w:val="continue"/>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lang w:val="zh-T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vMerge w:val="continue"/>
                  <w:vAlign w:val="center"/>
                </w:tcPr>
                <w:p>
                  <w:pPr>
                    <w:pStyle w:val="37"/>
                    <w:kinsoku w:val="0"/>
                    <w:overflowPunct w:val="0"/>
                    <w:adjustRightInd w:val="0"/>
                    <w:snapToGrid w:val="0"/>
                    <w:spacing w:line="240" w:lineRule="auto"/>
                    <w:contextualSpacing/>
                    <w:rPr>
                      <w:rFonts w:ascii="Times New Roman" w:hAnsi="Times New Roman" w:cs="Times New Roman"/>
                      <w:b/>
                      <w:spacing w:val="-1"/>
                      <w:sz w:val="21"/>
                      <w:szCs w:val="21"/>
                    </w:rPr>
                  </w:pPr>
                </w:p>
              </w:tc>
              <w:tc>
                <w:tcPr>
                  <w:tcW w:w="365" w:type="pct"/>
                  <w:vMerge w:val="restar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危险固体废物</w:t>
                  </w:r>
                </w:p>
              </w:tc>
              <w:tc>
                <w:tcPr>
                  <w:tcW w:w="633"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废机油</w:t>
                  </w:r>
                </w:p>
              </w:tc>
              <w:tc>
                <w:tcPr>
                  <w:tcW w:w="678"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HW08 900-214-08</w:t>
                  </w:r>
                </w:p>
              </w:tc>
              <w:tc>
                <w:tcPr>
                  <w:tcW w:w="341" w:type="pct"/>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rPr>
                  </w:pPr>
                  <w:r>
                    <w:rPr>
                      <w:rFonts w:ascii="Times New Roman" w:hAnsi="Times New Roman" w:cs="Times New Roman"/>
                      <w:bCs/>
                      <w:sz w:val="21"/>
                      <w:szCs w:val="21"/>
                    </w:rPr>
                    <w:t>/</w:t>
                  </w:r>
                </w:p>
              </w:tc>
              <w:tc>
                <w:tcPr>
                  <w:tcW w:w="500"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0.36</w:t>
                  </w:r>
                </w:p>
              </w:tc>
              <w:tc>
                <w:tcPr>
                  <w:tcW w:w="1027" w:type="pct"/>
                  <w:vMerge w:val="restar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危险废物暂存间暂存委托陕西明瑞资源再生有限公司处置</w:t>
                  </w:r>
                </w:p>
              </w:tc>
              <w:tc>
                <w:tcPr>
                  <w:tcW w:w="1052" w:type="pct"/>
                  <w:vMerge w:val="restart"/>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rPr>
                  </w:pPr>
                  <w:r>
                    <w:rPr>
                      <w:rFonts w:ascii="Times New Roman" w:hAnsi="Times New Roman" w:cs="Times New Roman"/>
                      <w:bCs/>
                      <w:sz w:val="21"/>
                      <w:szCs w:val="21"/>
                    </w:rPr>
                    <w:t>《危险废物贮存污染控制标准》（GB18597－2001）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vMerge w:val="continue"/>
                  <w:vAlign w:val="center"/>
                </w:tcPr>
                <w:p>
                  <w:pPr>
                    <w:pStyle w:val="37"/>
                    <w:kinsoku w:val="0"/>
                    <w:overflowPunct w:val="0"/>
                    <w:adjustRightInd w:val="0"/>
                    <w:snapToGrid w:val="0"/>
                    <w:spacing w:line="240" w:lineRule="auto"/>
                    <w:contextualSpacing/>
                    <w:rPr>
                      <w:rFonts w:ascii="Times New Roman" w:hAnsi="Times New Roman" w:cs="Times New Roman"/>
                      <w:b/>
                      <w:spacing w:val="-1"/>
                      <w:sz w:val="21"/>
                      <w:szCs w:val="21"/>
                    </w:rPr>
                  </w:pPr>
                </w:p>
              </w:tc>
              <w:tc>
                <w:tcPr>
                  <w:tcW w:w="365" w:type="pct"/>
                  <w:vMerge w:val="continue"/>
                  <w:vAlign w:val="center"/>
                </w:tcPr>
                <w:p>
                  <w:pPr>
                    <w:adjustRightInd w:val="0"/>
                    <w:snapToGrid w:val="0"/>
                    <w:spacing w:line="240" w:lineRule="auto"/>
                    <w:ind w:left="-65" w:leftChars="-27" w:right="-84" w:rightChars="-35"/>
                    <w:jc w:val="center"/>
                    <w:rPr>
                      <w:rFonts w:cs="Times New Roman"/>
                      <w:bCs/>
                      <w:sz w:val="21"/>
                      <w:szCs w:val="21"/>
                    </w:rPr>
                  </w:pPr>
                </w:p>
              </w:tc>
              <w:tc>
                <w:tcPr>
                  <w:tcW w:w="633"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废机油桶</w:t>
                  </w:r>
                </w:p>
              </w:tc>
              <w:tc>
                <w:tcPr>
                  <w:tcW w:w="678"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HW49 900-041-49</w:t>
                  </w:r>
                </w:p>
              </w:tc>
              <w:tc>
                <w:tcPr>
                  <w:tcW w:w="341" w:type="pct"/>
                  <w:vAlign w:val="center"/>
                </w:tcPr>
                <w:p>
                  <w:pPr>
                    <w:pStyle w:val="36"/>
                    <w:snapToGrid w:val="0"/>
                    <w:jc w:val="center"/>
                    <w:rPr>
                      <w:rFonts w:ascii="Times New Roman" w:cs="Times New Roman"/>
                      <w:bCs/>
                      <w:color w:val="auto"/>
                      <w:kern w:val="2"/>
                      <w:sz w:val="21"/>
                      <w:szCs w:val="21"/>
                    </w:rPr>
                  </w:pPr>
                  <w:r>
                    <w:rPr>
                      <w:rFonts w:ascii="Times New Roman" w:cs="Times New Roman"/>
                      <w:bCs/>
                      <w:color w:val="auto"/>
                      <w:kern w:val="2"/>
                      <w:sz w:val="21"/>
                      <w:szCs w:val="21"/>
                    </w:rPr>
                    <w:t>/</w:t>
                  </w:r>
                </w:p>
              </w:tc>
              <w:tc>
                <w:tcPr>
                  <w:tcW w:w="500" w:type="pct"/>
                  <w:vAlign w:val="center"/>
                </w:tcPr>
                <w:p>
                  <w:pPr>
                    <w:pStyle w:val="37"/>
                    <w:kinsoku w:val="0"/>
                    <w:overflowPunct w:val="0"/>
                    <w:adjustRightInd w:val="0"/>
                    <w:snapToGrid w:val="0"/>
                    <w:spacing w:line="240" w:lineRule="auto"/>
                    <w:contextualSpacing/>
                    <w:rPr>
                      <w:rFonts w:ascii="Times New Roman" w:hAnsi="Times New Roman" w:cs="Times New Roman"/>
                      <w:spacing w:val="-1"/>
                      <w:sz w:val="21"/>
                      <w:szCs w:val="21"/>
                    </w:rPr>
                  </w:pPr>
                  <w:r>
                    <w:rPr>
                      <w:rFonts w:ascii="Times New Roman" w:hAnsi="Times New Roman" w:cs="Times New Roman"/>
                      <w:spacing w:val="-1"/>
                      <w:sz w:val="21"/>
                      <w:szCs w:val="21"/>
                    </w:rPr>
                    <w:t>0.02</w:t>
                  </w:r>
                </w:p>
              </w:tc>
              <w:tc>
                <w:tcPr>
                  <w:tcW w:w="1027" w:type="pct"/>
                  <w:vMerge w:val="continue"/>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rPr>
                  </w:pPr>
                </w:p>
              </w:tc>
              <w:tc>
                <w:tcPr>
                  <w:tcW w:w="1052" w:type="pct"/>
                  <w:vMerge w:val="continue"/>
                  <w:vAlign w:val="center"/>
                </w:tcPr>
                <w:p>
                  <w:pPr>
                    <w:pStyle w:val="37"/>
                    <w:kinsoku w:val="0"/>
                    <w:overflowPunct w:val="0"/>
                    <w:adjustRightInd w:val="0"/>
                    <w:snapToGrid w:val="0"/>
                    <w:spacing w:line="240" w:lineRule="auto"/>
                    <w:contextualSpacing/>
                    <w:rPr>
                      <w:rFonts w:ascii="Times New Roman" w:hAnsi="Times New Roman" w:cs="Times New Roman"/>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 w:type="pct"/>
                  <w:vAlign w:val="center"/>
                </w:tcPr>
                <w:p>
                  <w:pPr>
                    <w:adjustRightInd w:val="0"/>
                    <w:snapToGrid w:val="0"/>
                    <w:spacing w:line="240" w:lineRule="auto"/>
                    <w:jc w:val="center"/>
                    <w:rPr>
                      <w:rFonts w:cs="Times New Roman"/>
                      <w:b/>
                      <w:sz w:val="21"/>
                      <w:szCs w:val="21"/>
                    </w:rPr>
                  </w:pPr>
                  <w:r>
                    <w:rPr>
                      <w:rFonts w:cs="Times New Roman"/>
                      <w:b/>
                      <w:kern w:val="0"/>
                      <w:sz w:val="21"/>
                      <w:szCs w:val="21"/>
                    </w:rPr>
                    <w:t>噪声</w:t>
                  </w:r>
                </w:p>
              </w:tc>
              <w:tc>
                <w:tcPr>
                  <w:tcW w:w="365" w:type="pct"/>
                  <w:vAlign w:val="center"/>
                </w:tcPr>
                <w:p>
                  <w:pPr>
                    <w:adjustRightInd w:val="0"/>
                    <w:snapToGrid w:val="0"/>
                    <w:spacing w:line="240" w:lineRule="auto"/>
                    <w:ind w:left="-65" w:leftChars="-27" w:right="-84" w:rightChars="-35"/>
                    <w:jc w:val="center"/>
                    <w:rPr>
                      <w:rFonts w:cs="Times New Roman"/>
                      <w:bCs/>
                      <w:sz w:val="21"/>
                      <w:szCs w:val="21"/>
                    </w:rPr>
                  </w:pPr>
                  <w:r>
                    <w:rPr>
                      <w:rFonts w:cs="Times New Roman"/>
                      <w:bCs/>
                      <w:sz w:val="21"/>
                      <w:szCs w:val="21"/>
                    </w:rPr>
                    <w:t>设备运行</w:t>
                  </w:r>
                </w:p>
              </w:tc>
              <w:tc>
                <w:tcPr>
                  <w:tcW w:w="3178" w:type="pct"/>
                  <w:gridSpan w:val="5"/>
                  <w:vAlign w:val="center"/>
                </w:tcPr>
                <w:p>
                  <w:pPr>
                    <w:pStyle w:val="37"/>
                    <w:kinsoku w:val="0"/>
                    <w:overflowPunct w:val="0"/>
                    <w:adjustRightInd w:val="0"/>
                    <w:snapToGrid w:val="0"/>
                    <w:spacing w:line="240" w:lineRule="auto"/>
                    <w:contextualSpacing/>
                    <w:rPr>
                      <w:rFonts w:ascii="Times New Roman" w:hAnsi="Times New Roman" w:cs="Times New Roman"/>
                      <w:bCs/>
                      <w:spacing w:val="-1"/>
                      <w:sz w:val="21"/>
                      <w:szCs w:val="21"/>
                    </w:rPr>
                  </w:pPr>
                  <w:r>
                    <w:rPr>
                      <w:rFonts w:ascii="Times New Roman" w:hAnsi="Times New Roman" w:cs="Times New Roman"/>
                      <w:bCs/>
                      <w:sz w:val="21"/>
                      <w:szCs w:val="21"/>
                    </w:rPr>
                    <w:t>项目噪声主要为搅拌机、环保风机和水泵等设备运行噪声。经厂房隔声、设备基础减振后，厂界执行《工业企业厂界环境噪声排放标准》（GB12348-2008）2类标准。</w:t>
                  </w:r>
                </w:p>
              </w:tc>
              <w:tc>
                <w:tcPr>
                  <w:tcW w:w="1052" w:type="pct"/>
                  <w:vAlign w:val="center"/>
                </w:tcPr>
                <w:p>
                  <w:pPr>
                    <w:pStyle w:val="37"/>
                    <w:kinsoku w:val="0"/>
                    <w:overflowPunct w:val="0"/>
                    <w:adjustRightInd w:val="0"/>
                    <w:snapToGrid w:val="0"/>
                    <w:spacing w:line="240" w:lineRule="auto"/>
                    <w:contextualSpacing/>
                    <w:rPr>
                      <w:rFonts w:ascii="Times New Roman" w:hAnsi="Times New Roman" w:cs="Times New Roman"/>
                      <w:bCs/>
                      <w:spacing w:val="-1"/>
                      <w:sz w:val="21"/>
                      <w:szCs w:val="21"/>
                    </w:rPr>
                  </w:pPr>
                  <w:r>
                    <w:rPr>
                      <w:rFonts w:ascii="Times New Roman" w:hAnsi="Times New Roman" w:cs="Times New Roman"/>
                      <w:bCs/>
                      <w:sz w:val="21"/>
                      <w:szCs w:val="21"/>
                    </w:rPr>
                    <w:t>《工业企业厂界环境声排放标准》（GB12348-2008）</w:t>
                  </w:r>
                </w:p>
              </w:tc>
            </w:tr>
          </w:tbl>
          <w:p>
            <w:pPr>
              <w:rPr>
                <w:rFonts w:cs="Times New Roman"/>
              </w:rPr>
            </w:pPr>
          </w:p>
        </w:tc>
      </w:tr>
    </w:tbl>
    <w:p>
      <w:pPr>
        <w:pStyle w:val="16"/>
        <w:outlineLvl w:val="0"/>
        <w:rPr>
          <w:rFonts w:ascii="Times New Roman" w:hAnsi="Times New Roman" w:cs="Times New Roman"/>
          <w:kern w:val="2"/>
          <w:szCs w:val="24"/>
        </w:rPr>
      </w:pPr>
    </w:p>
    <w:p>
      <w:pPr>
        <w:pStyle w:val="16"/>
        <w:jc w:val="center"/>
        <w:outlineLvl w:val="0"/>
        <w:rPr>
          <w:rFonts w:ascii="Times New Roman" w:hAnsi="Times New Roman" w:cs="Times New Roman"/>
          <w:kern w:val="2"/>
          <w:szCs w:val="24"/>
        </w:rPr>
        <w:sectPr>
          <w:pgSz w:w="11906" w:h="16838"/>
          <w:pgMar w:top="1440" w:right="1080" w:bottom="1440" w:left="1080" w:header="850" w:footer="851" w:gutter="0"/>
          <w:pgNumType w:fmt="numberInDash"/>
          <w:cols w:space="720" w:num="1"/>
          <w:docGrid w:linePitch="312" w:charSpace="0"/>
        </w:sectPr>
      </w:pPr>
    </w:p>
    <w:p>
      <w:pPr>
        <w:jc w:val="center"/>
        <w:rPr>
          <w:rFonts w:cs="Times New Roman"/>
          <w:b/>
          <w:bCs/>
          <w:sz w:val="28"/>
          <w:szCs w:val="24"/>
        </w:rPr>
      </w:pPr>
      <w:r>
        <w:rPr>
          <w:rFonts w:cs="Times New Roman"/>
          <w:b/>
          <w:bCs/>
          <w:sz w:val="28"/>
          <w:szCs w:val="24"/>
        </w:rPr>
        <w:t>五、</w:t>
      </w:r>
      <w:bookmarkStart w:id="12" w:name="_Hlk54167917"/>
      <w:r>
        <w:rPr>
          <w:rFonts w:cs="Times New Roman"/>
          <w:b/>
          <w:bCs/>
          <w:sz w:val="28"/>
          <w:szCs w:val="24"/>
        </w:rPr>
        <w:t>环境保护措施监督检查清单</w:t>
      </w:r>
      <w:bookmarkEnd w:id="12"/>
    </w:p>
    <w:tbl>
      <w:tblPr>
        <w:tblStyle w:val="18"/>
        <w:tblW w:w="499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38"/>
        <w:gridCol w:w="1301"/>
        <w:gridCol w:w="1552"/>
        <w:gridCol w:w="1785"/>
        <w:gridCol w:w="3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tcBorders>
              <w:tl2br w:val="single" w:color="auto" w:sz="4" w:space="0"/>
            </w:tcBorders>
          </w:tcPr>
          <w:p>
            <w:pPr>
              <w:adjustRightInd w:val="0"/>
              <w:snapToGrid w:val="0"/>
              <w:jc w:val="right"/>
              <w:rPr>
                <w:rFonts w:cs="Times New Roman"/>
                <w:b/>
                <w:bCs/>
              </w:rPr>
            </w:pPr>
            <w:r>
              <w:rPr>
                <w:rFonts w:cs="Times New Roman"/>
                <w:b/>
                <w:bCs/>
              </w:rPr>
              <w:t>内容</w:t>
            </w:r>
          </w:p>
          <w:p>
            <w:pPr>
              <w:adjustRightInd w:val="0"/>
              <w:snapToGrid w:val="0"/>
              <w:rPr>
                <w:rFonts w:cs="Times New Roman"/>
                <w:b/>
                <w:bCs/>
              </w:rPr>
            </w:pPr>
            <w:r>
              <w:rPr>
                <w:rFonts w:cs="Times New Roman"/>
                <w:b/>
                <w:bCs/>
              </w:rPr>
              <w:t>要素</w:t>
            </w:r>
          </w:p>
        </w:tc>
        <w:tc>
          <w:tcPr>
            <w:tcW w:w="1226" w:type="pct"/>
            <w:gridSpan w:val="2"/>
            <w:vAlign w:val="center"/>
          </w:tcPr>
          <w:p>
            <w:pPr>
              <w:adjustRightInd w:val="0"/>
              <w:snapToGrid w:val="0"/>
              <w:spacing w:line="240" w:lineRule="auto"/>
              <w:jc w:val="center"/>
              <w:rPr>
                <w:rFonts w:cs="Times New Roman"/>
                <w:b/>
                <w:bCs/>
              </w:rPr>
            </w:pPr>
            <w:r>
              <w:rPr>
                <w:rFonts w:cs="Times New Roman"/>
                <w:b/>
                <w:bCs/>
              </w:rPr>
              <w:t>排放口(编号、</w:t>
            </w:r>
          </w:p>
          <w:p>
            <w:pPr>
              <w:adjustRightInd w:val="0"/>
              <w:snapToGrid w:val="0"/>
              <w:spacing w:line="240" w:lineRule="auto"/>
              <w:jc w:val="center"/>
              <w:rPr>
                <w:rFonts w:cs="Times New Roman"/>
                <w:b/>
                <w:bCs/>
              </w:rPr>
            </w:pPr>
            <w:r>
              <w:rPr>
                <w:rFonts w:cs="Times New Roman"/>
                <w:b/>
                <w:bCs/>
              </w:rPr>
              <w:t>名称)/污染源</w:t>
            </w:r>
          </w:p>
        </w:tc>
        <w:tc>
          <w:tcPr>
            <w:tcW w:w="780" w:type="pct"/>
            <w:vAlign w:val="center"/>
          </w:tcPr>
          <w:p>
            <w:pPr>
              <w:adjustRightInd w:val="0"/>
              <w:snapToGrid w:val="0"/>
              <w:spacing w:line="240" w:lineRule="auto"/>
              <w:jc w:val="center"/>
              <w:rPr>
                <w:rFonts w:cs="Times New Roman"/>
                <w:b/>
                <w:bCs/>
              </w:rPr>
            </w:pPr>
            <w:r>
              <w:rPr>
                <w:rFonts w:cs="Times New Roman"/>
                <w:b/>
                <w:bCs/>
              </w:rPr>
              <w:t>污染物</w:t>
            </w:r>
          </w:p>
          <w:p>
            <w:pPr>
              <w:adjustRightInd w:val="0"/>
              <w:snapToGrid w:val="0"/>
              <w:spacing w:line="240" w:lineRule="auto"/>
              <w:jc w:val="center"/>
              <w:rPr>
                <w:rFonts w:cs="Times New Roman"/>
                <w:b/>
                <w:bCs/>
              </w:rPr>
            </w:pPr>
            <w:r>
              <w:rPr>
                <w:rFonts w:cs="Times New Roman"/>
                <w:b/>
                <w:bCs/>
              </w:rPr>
              <w:t>项目</w:t>
            </w:r>
          </w:p>
        </w:tc>
        <w:tc>
          <w:tcPr>
            <w:tcW w:w="897" w:type="pct"/>
            <w:vAlign w:val="center"/>
          </w:tcPr>
          <w:p>
            <w:pPr>
              <w:adjustRightInd w:val="0"/>
              <w:snapToGrid w:val="0"/>
              <w:spacing w:line="240" w:lineRule="auto"/>
              <w:jc w:val="center"/>
              <w:rPr>
                <w:rFonts w:cs="Times New Roman"/>
                <w:b/>
                <w:bCs/>
              </w:rPr>
            </w:pPr>
            <w:r>
              <w:rPr>
                <w:rFonts w:cs="Times New Roman"/>
                <w:b/>
                <w:bCs/>
              </w:rPr>
              <w:t>环境保护措施</w:t>
            </w:r>
          </w:p>
        </w:tc>
        <w:tc>
          <w:tcPr>
            <w:tcW w:w="1518" w:type="pct"/>
            <w:vAlign w:val="center"/>
          </w:tcPr>
          <w:p>
            <w:pPr>
              <w:adjustRightInd w:val="0"/>
              <w:snapToGrid w:val="0"/>
              <w:spacing w:line="240" w:lineRule="auto"/>
              <w:jc w:val="center"/>
              <w:rPr>
                <w:rFonts w:cs="Times New Roman"/>
                <w:b/>
                <w:bCs/>
              </w:rPr>
            </w:pPr>
            <w:r>
              <w:rPr>
                <w:rFonts w:cs="Times New Roman"/>
                <w:b/>
                <w:bCs/>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Merge w:val="restart"/>
            <w:vAlign w:val="center"/>
          </w:tcPr>
          <w:p>
            <w:pPr>
              <w:adjustRightInd w:val="0"/>
              <w:snapToGrid w:val="0"/>
              <w:jc w:val="center"/>
              <w:rPr>
                <w:rFonts w:cs="Times New Roman"/>
                <w:b/>
                <w:bCs/>
              </w:rPr>
            </w:pPr>
            <w:r>
              <w:rPr>
                <w:rFonts w:cs="Times New Roman"/>
                <w:b/>
                <w:bCs/>
              </w:rPr>
              <w:t>大气</w:t>
            </w:r>
          </w:p>
          <w:p>
            <w:pPr>
              <w:adjustRightInd w:val="0"/>
              <w:snapToGrid w:val="0"/>
              <w:jc w:val="center"/>
              <w:rPr>
                <w:rFonts w:cs="Times New Roman"/>
                <w:b/>
                <w:bCs/>
              </w:rPr>
            </w:pPr>
            <w:r>
              <w:rPr>
                <w:rFonts w:cs="Times New Roman"/>
                <w:b/>
                <w:bCs/>
              </w:rPr>
              <w:t>环境</w:t>
            </w:r>
          </w:p>
        </w:tc>
        <w:tc>
          <w:tcPr>
            <w:tcW w:w="572" w:type="pct"/>
            <w:vAlign w:val="center"/>
          </w:tcPr>
          <w:p>
            <w:pPr>
              <w:widowControl/>
              <w:spacing w:line="240" w:lineRule="auto"/>
              <w:jc w:val="center"/>
              <w:rPr>
                <w:rFonts w:cs="Times New Roman"/>
                <w:bCs/>
              </w:rPr>
            </w:pPr>
            <w:r>
              <w:rPr>
                <w:rFonts w:cs="Times New Roman"/>
              </w:rPr>
              <w:t>堆存、装卸粉尘</w:t>
            </w:r>
          </w:p>
        </w:tc>
        <w:tc>
          <w:tcPr>
            <w:tcW w:w="654" w:type="pct"/>
            <w:vAlign w:val="center"/>
          </w:tcPr>
          <w:p>
            <w:pPr>
              <w:pStyle w:val="40"/>
              <w:spacing w:line="240" w:lineRule="auto"/>
              <w:jc w:val="center"/>
              <w:rPr>
                <w:rFonts w:cs="Times New Roman"/>
                <w:bCs/>
                <w:szCs w:val="24"/>
              </w:rPr>
            </w:pPr>
            <w:r>
              <w:rPr>
                <w:rFonts w:cs="Times New Roman"/>
                <w:szCs w:val="24"/>
              </w:rPr>
              <w:t>无组织</w:t>
            </w:r>
          </w:p>
        </w:tc>
        <w:tc>
          <w:tcPr>
            <w:tcW w:w="780" w:type="pct"/>
            <w:vAlign w:val="center"/>
          </w:tcPr>
          <w:p>
            <w:pPr>
              <w:pStyle w:val="40"/>
              <w:spacing w:line="240" w:lineRule="auto"/>
              <w:jc w:val="center"/>
              <w:rPr>
                <w:rFonts w:cs="Times New Roman"/>
                <w:bCs/>
                <w:szCs w:val="24"/>
              </w:rPr>
            </w:pPr>
            <w:r>
              <w:rPr>
                <w:rFonts w:cs="Times New Roman"/>
                <w:szCs w:val="24"/>
              </w:rPr>
              <w:t>颗粒物</w:t>
            </w:r>
          </w:p>
        </w:tc>
        <w:tc>
          <w:tcPr>
            <w:tcW w:w="897" w:type="pct"/>
            <w:vAlign w:val="center"/>
          </w:tcPr>
          <w:p>
            <w:pPr>
              <w:spacing w:line="240" w:lineRule="auto"/>
              <w:jc w:val="center"/>
              <w:rPr>
                <w:rFonts w:cs="Times New Roman"/>
                <w:bCs/>
              </w:rPr>
            </w:pPr>
            <w:r>
              <w:rPr>
                <w:rFonts w:cs="Times New Roman"/>
                <w:lang w:val="en-GB"/>
              </w:rPr>
              <w:t>车辆冲洗+密闭式厂房+喷淋设备</w:t>
            </w:r>
          </w:p>
        </w:tc>
        <w:tc>
          <w:tcPr>
            <w:tcW w:w="1518" w:type="pct"/>
            <w:vMerge w:val="restart"/>
            <w:vAlign w:val="center"/>
          </w:tcPr>
          <w:p>
            <w:pPr>
              <w:spacing w:line="240" w:lineRule="auto"/>
              <w:jc w:val="center"/>
              <w:rPr>
                <w:rFonts w:cs="Times New Roman"/>
                <w:bCs/>
              </w:rPr>
            </w:pPr>
            <w:r>
              <w:rPr>
                <w:rFonts w:cs="Times New Roman"/>
                <w:bCs/>
              </w:rPr>
              <w:t>《水泥工业大气污染物排放标准》（GB4915-2013）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Merge w:val="continue"/>
            <w:vAlign w:val="center"/>
          </w:tcPr>
          <w:p>
            <w:pPr>
              <w:adjustRightInd w:val="0"/>
              <w:snapToGrid w:val="0"/>
              <w:jc w:val="center"/>
              <w:rPr>
                <w:rFonts w:cs="Times New Roman"/>
              </w:rPr>
            </w:pPr>
          </w:p>
        </w:tc>
        <w:tc>
          <w:tcPr>
            <w:tcW w:w="572" w:type="pct"/>
            <w:vAlign w:val="center"/>
          </w:tcPr>
          <w:p>
            <w:pPr>
              <w:adjustRightInd w:val="0"/>
              <w:snapToGrid w:val="0"/>
              <w:spacing w:line="240" w:lineRule="auto"/>
              <w:jc w:val="center"/>
              <w:rPr>
                <w:rFonts w:cs="Times New Roman"/>
                <w:bCs/>
              </w:rPr>
            </w:pPr>
            <w:r>
              <w:rPr>
                <w:rFonts w:cs="Times New Roman"/>
              </w:rPr>
              <w:t>上料粉尘</w:t>
            </w:r>
          </w:p>
        </w:tc>
        <w:tc>
          <w:tcPr>
            <w:tcW w:w="654" w:type="pct"/>
            <w:vAlign w:val="center"/>
          </w:tcPr>
          <w:p>
            <w:pPr>
              <w:pStyle w:val="40"/>
              <w:spacing w:line="240" w:lineRule="auto"/>
              <w:jc w:val="center"/>
              <w:rPr>
                <w:rFonts w:cs="Times New Roman"/>
                <w:bCs/>
                <w:szCs w:val="24"/>
              </w:rPr>
            </w:pPr>
            <w:r>
              <w:rPr>
                <w:rFonts w:cs="Times New Roman"/>
                <w:szCs w:val="24"/>
              </w:rPr>
              <w:t>无组织</w:t>
            </w:r>
          </w:p>
        </w:tc>
        <w:tc>
          <w:tcPr>
            <w:tcW w:w="780" w:type="pct"/>
            <w:vAlign w:val="center"/>
          </w:tcPr>
          <w:p>
            <w:pPr>
              <w:spacing w:line="240" w:lineRule="auto"/>
              <w:jc w:val="center"/>
              <w:rPr>
                <w:rFonts w:cs="Times New Roman"/>
                <w:bCs/>
              </w:rPr>
            </w:pPr>
            <w:r>
              <w:rPr>
                <w:rFonts w:cs="Times New Roman"/>
              </w:rPr>
              <w:t>颗粒物</w:t>
            </w:r>
          </w:p>
        </w:tc>
        <w:tc>
          <w:tcPr>
            <w:tcW w:w="897" w:type="pct"/>
            <w:vAlign w:val="center"/>
          </w:tcPr>
          <w:p>
            <w:pPr>
              <w:spacing w:line="240" w:lineRule="auto"/>
              <w:jc w:val="center"/>
              <w:rPr>
                <w:rFonts w:cs="Times New Roman"/>
                <w:bCs/>
              </w:rPr>
            </w:pPr>
            <w:r>
              <w:rPr>
                <w:rFonts w:cs="Times New Roman"/>
                <w:lang w:val="en-GB"/>
              </w:rPr>
              <w:t>密闭式厂房+喷淋设备</w:t>
            </w:r>
          </w:p>
        </w:tc>
        <w:tc>
          <w:tcPr>
            <w:tcW w:w="1518" w:type="pct"/>
            <w:vMerge w:val="continue"/>
            <w:vAlign w:val="center"/>
          </w:tcPr>
          <w:p>
            <w:pPr>
              <w:spacing w:line="240" w:lineRule="auto"/>
              <w:jc w:val="center"/>
              <w:rPr>
                <w:rFonts w:cs="Times New Roman"/>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Merge w:val="continue"/>
            <w:vAlign w:val="center"/>
          </w:tcPr>
          <w:p>
            <w:pPr>
              <w:adjustRightInd w:val="0"/>
              <w:snapToGrid w:val="0"/>
              <w:jc w:val="center"/>
              <w:rPr>
                <w:rFonts w:cs="Times New Roman"/>
              </w:rPr>
            </w:pPr>
          </w:p>
        </w:tc>
        <w:tc>
          <w:tcPr>
            <w:tcW w:w="572" w:type="pct"/>
            <w:vAlign w:val="center"/>
          </w:tcPr>
          <w:p>
            <w:pPr>
              <w:adjustRightInd w:val="0"/>
              <w:snapToGrid w:val="0"/>
              <w:spacing w:line="240" w:lineRule="auto"/>
              <w:jc w:val="center"/>
              <w:rPr>
                <w:rFonts w:cs="Times New Roman"/>
                <w:bCs/>
              </w:rPr>
            </w:pPr>
            <w:r>
              <w:rPr>
                <w:rFonts w:cs="Times New Roman"/>
              </w:rPr>
              <w:t>筒仓粉尘</w:t>
            </w:r>
          </w:p>
        </w:tc>
        <w:tc>
          <w:tcPr>
            <w:tcW w:w="654" w:type="pct"/>
            <w:vAlign w:val="center"/>
          </w:tcPr>
          <w:p>
            <w:pPr>
              <w:pStyle w:val="40"/>
              <w:spacing w:line="240" w:lineRule="auto"/>
              <w:jc w:val="center"/>
              <w:rPr>
                <w:rFonts w:cs="Times New Roman"/>
                <w:bCs/>
                <w:szCs w:val="24"/>
              </w:rPr>
            </w:pPr>
            <w:r>
              <w:rPr>
                <w:rFonts w:cs="Times New Roman"/>
                <w:szCs w:val="24"/>
              </w:rPr>
              <w:t>无组织</w:t>
            </w:r>
          </w:p>
        </w:tc>
        <w:tc>
          <w:tcPr>
            <w:tcW w:w="780" w:type="pct"/>
            <w:vAlign w:val="center"/>
          </w:tcPr>
          <w:p>
            <w:pPr>
              <w:spacing w:line="240" w:lineRule="auto"/>
              <w:jc w:val="center"/>
              <w:rPr>
                <w:rFonts w:cs="Times New Roman"/>
                <w:bCs/>
              </w:rPr>
            </w:pPr>
            <w:r>
              <w:rPr>
                <w:rFonts w:cs="Times New Roman"/>
              </w:rPr>
              <w:t>颗粒物</w:t>
            </w:r>
          </w:p>
        </w:tc>
        <w:tc>
          <w:tcPr>
            <w:tcW w:w="897" w:type="pct"/>
            <w:vAlign w:val="center"/>
          </w:tcPr>
          <w:p>
            <w:pPr>
              <w:spacing w:line="240" w:lineRule="auto"/>
              <w:jc w:val="center"/>
              <w:rPr>
                <w:rFonts w:cs="Times New Roman"/>
                <w:bCs/>
                <w:lang w:val="en-GB"/>
              </w:rPr>
            </w:pPr>
            <w:r>
              <w:rPr>
                <w:rFonts w:cs="Times New Roman"/>
              </w:rPr>
              <w:t>密闭式厂房+袋式除尘器</w:t>
            </w:r>
          </w:p>
        </w:tc>
        <w:tc>
          <w:tcPr>
            <w:tcW w:w="1518" w:type="pct"/>
            <w:vMerge w:val="continue"/>
            <w:vAlign w:val="center"/>
          </w:tcPr>
          <w:p>
            <w:pPr>
              <w:spacing w:line="240" w:lineRule="auto"/>
              <w:jc w:val="center"/>
              <w:rPr>
                <w:rFonts w:cs="Times New Roman"/>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Merge w:val="continue"/>
            <w:vAlign w:val="center"/>
          </w:tcPr>
          <w:p>
            <w:pPr>
              <w:adjustRightInd w:val="0"/>
              <w:snapToGrid w:val="0"/>
              <w:jc w:val="center"/>
              <w:rPr>
                <w:rFonts w:cs="Times New Roman"/>
                <w:b/>
                <w:bCs/>
              </w:rPr>
            </w:pPr>
          </w:p>
        </w:tc>
        <w:tc>
          <w:tcPr>
            <w:tcW w:w="572" w:type="pct"/>
            <w:vAlign w:val="center"/>
          </w:tcPr>
          <w:p>
            <w:pPr>
              <w:adjustRightInd w:val="0"/>
              <w:snapToGrid w:val="0"/>
              <w:spacing w:line="240" w:lineRule="auto"/>
              <w:jc w:val="center"/>
              <w:rPr>
                <w:rFonts w:cs="Times New Roman"/>
                <w:bCs/>
              </w:rPr>
            </w:pPr>
            <w:r>
              <w:rPr>
                <w:rFonts w:cs="Times New Roman"/>
                <w:bCs/>
              </w:rPr>
              <w:t>搅拌粉尘</w:t>
            </w:r>
          </w:p>
        </w:tc>
        <w:tc>
          <w:tcPr>
            <w:tcW w:w="654" w:type="pct"/>
            <w:vAlign w:val="center"/>
          </w:tcPr>
          <w:p>
            <w:pPr>
              <w:pStyle w:val="40"/>
              <w:spacing w:line="240" w:lineRule="auto"/>
              <w:jc w:val="center"/>
              <w:rPr>
                <w:rFonts w:cs="Times New Roman"/>
                <w:bCs/>
                <w:szCs w:val="24"/>
              </w:rPr>
            </w:pPr>
            <w:r>
              <w:rPr>
                <w:rFonts w:cs="Times New Roman"/>
                <w:szCs w:val="24"/>
              </w:rPr>
              <w:t>无组织</w:t>
            </w:r>
          </w:p>
        </w:tc>
        <w:tc>
          <w:tcPr>
            <w:tcW w:w="780" w:type="pct"/>
            <w:vAlign w:val="center"/>
          </w:tcPr>
          <w:p>
            <w:pPr>
              <w:spacing w:line="240" w:lineRule="auto"/>
              <w:jc w:val="center"/>
              <w:rPr>
                <w:rFonts w:cs="Times New Roman"/>
                <w:bCs/>
              </w:rPr>
            </w:pPr>
            <w:r>
              <w:rPr>
                <w:rFonts w:cs="Times New Roman"/>
              </w:rPr>
              <w:t>颗粒物</w:t>
            </w:r>
          </w:p>
        </w:tc>
        <w:tc>
          <w:tcPr>
            <w:tcW w:w="897" w:type="pct"/>
            <w:vAlign w:val="center"/>
          </w:tcPr>
          <w:p>
            <w:pPr>
              <w:spacing w:line="240" w:lineRule="auto"/>
              <w:jc w:val="center"/>
              <w:rPr>
                <w:rFonts w:cs="Times New Roman"/>
                <w:bCs/>
              </w:rPr>
            </w:pPr>
            <w:r>
              <w:rPr>
                <w:rFonts w:cs="Times New Roman"/>
                <w:lang w:val="en-GB"/>
              </w:rPr>
              <w:t>密闭式厂房+袋式除尘器+喷淋设备</w:t>
            </w:r>
          </w:p>
        </w:tc>
        <w:tc>
          <w:tcPr>
            <w:tcW w:w="1518" w:type="pct"/>
            <w:vMerge w:val="continue"/>
            <w:vAlign w:val="center"/>
          </w:tcPr>
          <w:p>
            <w:pPr>
              <w:spacing w:line="240" w:lineRule="auto"/>
              <w:jc w:val="center"/>
              <w:rPr>
                <w:rFonts w:cs="Times New Roman"/>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Merge w:val="continue"/>
            <w:vAlign w:val="center"/>
          </w:tcPr>
          <w:p>
            <w:pPr>
              <w:adjustRightInd w:val="0"/>
              <w:snapToGrid w:val="0"/>
              <w:jc w:val="center"/>
              <w:rPr>
                <w:rFonts w:cs="Times New Roman"/>
                <w:b/>
                <w:bCs/>
              </w:rPr>
            </w:pPr>
          </w:p>
        </w:tc>
        <w:tc>
          <w:tcPr>
            <w:tcW w:w="572" w:type="pct"/>
            <w:vAlign w:val="center"/>
          </w:tcPr>
          <w:p>
            <w:pPr>
              <w:adjustRightInd w:val="0"/>
              <w:snapToGrid w:val="0"/>
              <w:spacing w:line="240" w:lineRule="auto"/>
              <w:jc w:val="center"/>
              <w:rPr>
                <w:rFonts w:cs="Times New Roman"/>
                <w:bCs/>
              </w:rPr>
            </w:pPr>
            <w:r>
              <w:rPr>
                <w:rFonts w:cs="Times New Roman"/>
                <w:bCs/>
              </w:rPr>
              <w:t>车辆运输扬尘</w:t>
            </w:r>
          </w:p>
        </w:tc>
        <w:tc>
          <w:tcPr>
            <w:tcW w:w="654" w:type="pct"/>
            <w:vAlign w:val="center"/>
          </w:tcPr>
          <w:p>
            <w:pPr>
              <w:pStyle w:val="40"/>
              <w:spacing w:line="240" w:lineRule="auto"/>
              <w:jc w:val="center"/>
              <w:rPr>
                <w:rFonts w:cs="Times New Roman"/>
                <w:bCs/>
                <w:szCs w:val="24"/>
              </w:rPr>
            </w:pPr>
            <w:r>
              <w:rPr>
                <w:rFonts w:cs="Times New Roman"/>
                <w:szCs w:val="24"/>
              </w:rPr>
              <w:t>无组织</w:t>
            </w:r>
          </w:p>
        </w:tc>
        <w:tc>
          <w:tcPr>
            <w:tcW w:w="780" w:type="pct"/>
            <w:vAlign w:val="center"/>
          </w:tcPr>
          <w:p>
            <w:pPr>
              <w:spacing w:line="240" w:lineRule="auto"/>
              <w:jc w:val="center"/>
              <w:rPr>
                <w:rFonts w:cs="Times New Roman"/>
                <w:bCs/>
              </w:rPr>
            </w:pPr>
            <w:r>
              <w:rPr>
                <w:rFonts w:cs="Times New Roman"/>
              </w:rPr>
              <w:t>颗粒物</w:t>
            </w:r>
          </w:p>
        </w:tc>
        <w:tc>
          <w:tcPr>
            <w:tcW w:w="897" w:type="pct"/>
            <w:vAlign w:val="center"/>
          </w:tcPr>
          <w:p>
            <w:pPr>
              <w:spacing w:line="240" w:lineRule="auto"/>
              <w:jc w:val="center"/>
              <w:rPr>
                <w:rFonts w:cs="Times New Roman"/>
                <w:bCs/>
              </w:rPr>
            </w:pPr>
            <w:r>
              <w:rPr>
                <w:rFonts w:cs="Times New Roman"/>
                <w:lang w:val="en-GB"/>
              </w:rPr>
              <w:t>定期清洗车辆、路面定期洒水</w:t>
            </w:r>
          </w:p>
        </w:tc>
        <w:tc>
          <w:tcPr>
            <w:tcW w:w="1518" w:type="pct"/>
            <w:vMerge w:val="continue"/>
            <w:vAlign w:val="center"/>
          </w:tcPr>
          <w:p>
            <w:pPr>
              <w:spacing w:line="240" w:lineRule="auto"/>
              <w:jc w:val="center"/>
              <w:rPr>
                <w:rFonts w:cs="Times New Roman"/>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Merge w:val="continue"/>
            <w:vAlign w:val="center"/>
          </w:tcPr>
          <w:p>
            <w:pPr>
              <w:adjustRightInd w:val="0"/>
              <w:snapToGrid w:val="0"/>
              <w:jc w:val="center"/>
              <w:rPr>
                <w:rFonts w:cs="Times New Roman"/>
                <w:b/>
                <w:bCs/>
              </w:rPr>
            </w:pPr>
          </w:p>
        </w:tc>
        <w:tc>
          <w:tcPr>
            <w:tcW w:w="572" w:type="pct"/>
            <w:vMerge w:val="restart"/>
            <w:vAlign w:val="center"/>
          </w:tcPr>
          <w:p>
            <w:pPr>
              <w:adjustRightInd w:val="0"/>
              <w:snapToGrid w:val="0"/>
              <w:spacing w:line="240" w:lineRule="auto"/>
              <w:jc w:val="center"/>
              <w:rPr>
                <w:rFonts w:cs="Times New Roman"/>
                <w:bCs/>
              </w:rPr>
            </w:pPr>
            <w:r>
              <w:rPr>
                <w:rFonts w:cs="Times New Roman"/>
                <w:bCs/>
              </w:rPr>
              <w:t>沥青罐呼吸废气</w:t>
            </w:r>
          </w:p>
        </w:tc>
        <w:tc>
          <w:tcPr>
            <w:tcW w:w="654" w:type="pct"/>
            <w:vAlign w:val="center"/>
          </w:tcPr>
          <w:p>
            <w:pPr>
              <w:pStyle w:val="40"/>
              <w:spacing w:line="240" w:lineRule="auto"/>
              <w:jc w:val="center"/>
              <w:rPr>
                <w:rFonts w:cs="Times New Roman"/>
                <w:bCs/>
                <w:szCs w:val="24"/>
              </w:rPr>
            </w:pPr>
            <w:r>
              <w:rPr>
                <w:rFonts w:hint="eastAsia" w:cs="Times New Roman"/>
                <w:szCs w:val="24"/>
              </w:rPr>
              <w:t>有</w:t>
            </w:r>
            <w:r>
              <w:rPr>
                <w:rFonts w:cs="Times New Roman"/>
                <w:szCs w:val="24"/>
              </w:rPr>
              <w:t>组织</w:t>
            </w:r>
          </w:p>
        </w:tc>
        <w:tc>
          <w:tcPr>
            <w:tcW w:w="780" w:type="pct"/>
            <w:vAlign w:val="center"/>
          </w:tcPr>
          <w:p>
            <w:pPr>
              <w:adjustRightInd w:val="0"/>
              <w:snapToGrid w:val="0"/>
              <w:spacing w:line="240" w:lineRule="auto"/>
              <w:jc w:val="center"/>
              <w:rPr>
                <w:rFonts w:cs="Times New Roman"/>
              </w:rPr>
            </w:pPr>
            <w:r>
              <w:rPr>
                <w:rFonts w:cs="Times New Roman"/>
              </w:rPr>
              <w:t>沥青烟</w:t>
            </w:r>
          </w:p>
        </w:tc>
        <w:tc>
          <w:tcPr>
            <w:tcW w:w="897" w:type="pct"/>
            <w:vMerge w:val="restart"/>
            <w:vAlign w:val="center"/>
          </w:tcPr>
          <w:p>
            <w:pPr>
              <w:spacing w:line="240" w:lineRule="auto"/>
              <w:jc w:val="center"/>
              <w:rPr>
                <w:rFonts w:cs="Times New Roman"/>
                <w:bCs/>
              </w:rPr>
            </w:pPr>
            <w:r>
              <w:rPr>
                <w:rFonts w:hint="eastAsia" w:cs="Times New Roman"/>
                <w:bCs/>
              </w:rPr>
              <w:t>废气收集至“气旋+电捕+活性炭吸附”装置处理后于15</w:t>
            </w:r>
            <w:r>
              <w:rPr>
                <w:rFonts w:cs="Times New Roman"/>
                <w:bCs/>
              </w:rPr>
              <w:t>.3</w:t>
            </w:r>
            <w:r>
              <w:rPr>
                <w:rFonts w:hint="eastAsia" w:cs="Times New Roman"/>
                <w:bCs/>
              </w:rPr>
              <w:t>m高排气筒排放</w:t>
            </w:r>
          </w:p>
        </w:tc>
        <w:tc>
          <w:tcPr>
            <w:tcW w:w="1518" w:type="pct"/>
            <w:vMerge w:val="restart"/>
            <w:vAlign w:val="center"/>
          </w:tcPr>
          <w:p>
            <w:pPr>
              <w:adjustRightInd w:val="0"/>
              <w:snapToGrid w:val="0"/>
              <w:spacing w:line="240" w:lineRule="auto"/>
              <w:jc w:val="center"/>
              <w:rPr>
                <w:rFonts w:cs="Times New Roman"/>
                <w:bCs/>
              </w:rPr>
            </w:pPr>
            <w:r>
              <w:rPr>
                <w:rFonts w:cs="Times New Roman"/>
                <w:bCs/>
              </w:rPr>
              <w:t>《大气污染物综合排放标准》（GB16297-1996）中二级标准限值要求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Merge w:val="continue"/>
            <w:vAlign w:val="center"/>
          </w:tcPr>
          <w:p>
            <w:pPr>
              <w:adjustRightInd w:val="0"/>
              <w:snapToGrid w:val="0"/>
              <w:jc w:val="center"/>
              <w:rPr>
                <w:rFonts w:cs="Times New Roman"/>
                <w:b/>
                <w:bCs/>
              </w:rPr>
            </w:pPr>
          </w:p>
        </w:tc>
        <w:tc>
          <w:tcPr>
            <w:tcW w:w="572" w:type="pct"/>
            <w:vMerge w:val="continue"/>
            <w:vAlign w:val="center"/>
          </w:tcPr>
          <w:p>
            <w:pPr>
              <w:adjustRightInd w:val="0"/>
              <w:snapToGrid w:val="0"/>
              <w:jc w:val="center"/>
              <w:rPr>
                <w:rFonts w:cs="Times New Roman"/>
                <w:bCs/>
              </w:rPr>
            </w:pPr>
          </w:p>
        </w:tc>
        <w:tc>
          <w:tcPr>
            <w:tcW w:w="654" w:type="pct"/>
            <w:vAlign w:val="center"/>
          </w:tcPr>
          <w:p>
            <w:pPr>
              <w:pStyle w:val="40"/>
              <w:spacing w:line="240" w:lineRule="auto"/>
              <w:jc w:val="center"/>
              <w:rPr>
                <w:rFonts w:cs="Times New Roman"/>
                <w:szCs w:val="24"/>
              </w:rPr>
            </w:pPr>
            <w:r>
              <w:rPr>
                <w:rFonts w:hint="eastAsia" w:cs="Times New Roman"/>
                <w:szCs w:val="24"/>
              </w:rPr>
              <w:t>有</w:t>
            </w:r>
            <w:r>
              <w:rPr>
                <w:rFonts w:cs="Times New Roman"/>
                <w:szCs w:val="24"/>
              </w:rPr>
              <w:t>组织</w:t>
            </w:r>
          </w:p>
        </w:tc>
        <w:tc>
          <w:tcPr>
            <w:tcW w:w="780" w:type="pct"/>
            <w:vAlign w:val="center"/>
          </w:tcPr>
          <w:p>
            <w:pPr>
              <w:adjustRightInd w:val="0"/>
              <w:snapToGrid w:val="0"/>
              <w:spacing w:line="240" w:lineRule="auto"/>
              <w:jc w:val="center"/>
              <w:rPr>
                <w:rFonts w:cs="Times New Roman"/>
              </w:rPr>
            </w:pPr>
            <w:r>
              <w:rPr>
                <w:rFonts w:cs="Times New Roman"/>
              </w:rPr>
              <w:t>苯并[a]芘</w:t>
            </w:r>
          </w:p>
        </w:tc>
        <w:tc>
          <w:tcPr>
            <w:tcW w:w="897" w:type="pct"/>
            <w:vMerge w:val="continue"/>
            <w:vAlign w:val="center"/>
          </w:tcPr>
          <w:p>
            <w:pPr>
              <w:jc w:val="center"/>
              <w:rPr>
                <w:rFonts w:cs="Times New Roman"/>
                <w:lang w:val="en-GB"/>
              </w:rPr>
            </w:pPr>
          </w:p>
        </w:tc>
        <w:tc>
          <w:tcPr>
            <w:tcW w:w="1518" w:type="pct"/>
            <w:vMerge w:val="continue"/>
            <w:vAlign w:val="center"/>
          </w:tcPr>
          <w:p>
            <w:pPr>
              <w:adjustRightInd w:val="0"/>
              <w:snapToGrid w:val="0"/>
              <w:jc w:val="center"/>
              <w:rPr>
                <w:rFonts w:cs="Times New Roman"/>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Align w:val="center"/>
          </w:tcPr>
          <w:p>
            <w:pPr>
              <w:adjustRightInd w:val="0"/>
              <w:snapToGrid w:val="0"/>
              <w:spacing w:line="276" w:lineRule="auto"/>
              <w:jc w:val="center"/>
              <w:rPr>
                <w:rFonts w:cs="Times New Roman"/>
                <w:b/>
                <w:bCs/>
              </w:rPr>
            </w:pPr>
            <w:r>
              <w:rPr>
                <w:rFonts w:cs="Times New Roman"/>
                <w:b/>
                <w:bCs/>
              </w:rPr>
              <w:t>地表水</w:t>
            </w:r>
          </w:p>
          <w:p>
            <w:pPr>
              <w:adjustRightInd w:val="0"/>
              <w:snapToGrid w:val="0"/>
              <w:spacing w:line="276" w:lineRule="auto"/>
              <w:jc w:val="center"/>
              <w:rPr>
                <w:rFonts w:cs="Times New Roman"/>
                <w:b/>
                <w:bCs/>
              </w:rPr>
            </w:pPr>
            <w:r>
              <w:rPr>
                <w:rFonts w:cs="Times New Roman"/>
                <w:b/>
                <w:bCs/>
              </w:rPr>
              <w:t>环境</w:t>
            </w:r>
          </w:p>
        </w:tc>
        <w:tc>
          <w:tcPr>
            <w:tcW w:w="1226" w:type="pct"/>
            <w:gridSpan w:val="2"/>
            <w:vAlign w:val="center"/>
          </w:tcPr>
          <w:p>
            <w:pPr>
              <w:spacing w:line="276" w:lineRule="auto"/>
              <w:jc w:val="center"/>
              <w:rPr>
                <w:rFonts w:cs="Times New Roman"/>
                <w:bCs/>
              </w:rPr>
            </w:pPr>
            <w:r>
              <w:rPr>
                <w:rFonts w:cs="Times New Roman"/>
                <w:bCs/>
              </w:rPr>
              <w:t>车辆冲洗废水</w:t>
            </w:r>
          </w:p>
        </w:tc>
        <w:tc>
          <w:tcPr>
            <w:tcW w:w="780" w:type="pct"/>
            <w:vAlign w:val="center"/>
          </w:tcPr>
          <w:p>
            <w:pPr>
              <w:spacing w:line="276" w:lineRule="auto"/>
              <w:jc w:val="center"/>
              <w:rPr>
                <w:rFonts w:cs="Times New Roman"/>
                <w:bCs/>
              </w:rPr>
            </w:pPr>
            <w:r>
              <w:rPr>
                <w:rFonts w:cs="Times New Roman"/>
                <w:bCs/>
                <w:kern w:val="0"/>
              </w:rPr>
              <w:t>SS</w:t>
            </w:r>
          </w:p>
        </w:tc>
        <w:tc>
          <w:tcPr>
            <w:tcW w:w="897" w:type="pct"/>
            <w:vAlign w:val="center"/>
          </w:tcPr>
          <w:p>
            <w:pPr>
              <w:spacing w:line="276" w:lineRule="auto"/>
              <w:jc w:val="center"/>
              <w:rPr>
                <w:rFonts w:cs="Times New Roman"/>
                <w:bCs/>
              </w:rPr>
            </w:pPr>
            <w:r>
              <w:rPr>
                <w:rFonts w:cs="Times New Roman"/>
                <w:bCs/>
              </w:rPr>
              <w:t>沉淀池</w:t>
            </w:r>
          </w:p>
        </w:tc>
        <w:tc>
          <w:tcPr>
            <w:tcW w:w="1518" w:type="pct"/>
            <w:vAlign w:val="center"/>
          </w:tcPr>
          <w:p>
            <w:pPr>
              <w:spacing w:line="276" w:lineRule="auto"/>
              <w:jc w:val="center"/>
              <w:rPr>
                <w:rFonts w:cs="Times New Roman"/>
                <w:bCs/>
              </w:rPr>
            </w:pPr>
            <w:r>
              <w:rPr>
                <w:rFonts w:cs="Times New Roman"/>
                <w:bCs/>
                <w:lang w:val="zh-TW"/>
              </w:rPr>
              <w:t>回用于道路与车辆冲洗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vAlign w:val="center"/>
          </w:tcPr>
          <w:p>
            <w:pPr>
              <w:adjustRightInd w:val="0"/>
              <w:snapToGrid w:val="0"/>
              <w:spacing w:line="276" w:lineRule="auto"/>
              <w:jc w:val="center"/>
              <w:rPr>
                <w:rFonts w:cs="Times New Roman"/>
                <w:b/>
                <w:bCs/>
              </w:rPr>
            </w:pPr>
            <w:r>
              <w:rPr>
                <w:rFonts w:cs="Times New Roman"/>
                <w:b/>
                <w:bCs/>
              </w:rPr>
              <w:t>声环境</w:t>
            </w:r>
          </w:p>
        </w:tc>
        <w:tc>
          <w:tcPr>
            <w:tcW w:w="1226" w:type="pct"/>
            <w:gridSpan w:val="2"/>
            <w:vAlign w:val="center"/>
          </w:tcPr>
          <w:p>
            <w:pPr>
              <w:adjustRightInd w:val="0"/>
              <w:snapToGrid w:val="0"/>
              <w:spacing w:line="276" w:lineRule="auto"/>
              <w:jc w:val="center"/>
              <w:rPr>
                <w:rFonts w:cs="Times New Roman"/>
                <w:bCs/>
              </w:rPr>
            </w:pPr>
            <w:r>
              <w:rPr>
                <w:rFonts w:cs="Times New Roman"/>
                <w:bCs/>
              </w:rPr>
              <w:t>设备噪声</w:t>
            </w:r>
          </w:p>
        </w:tc>
        <w:tc>
          <w:tcPr>
            <w:tcW w:w="780" w:type="pct"/>
            <w:vAlign w:val="center"/>
          </w:tcPr>
          <w:p>
            <w:pPr>
              <w:adjustRightInd w:val="0"/>
              <w:snapToGrid w:val="0"/>
              <w:spacing w:line="276" w:lineRule="auto"/>
              <w:jc w:val="center"/>
              <w:rPr>
                <w:rFonts w:cs="Times New Roman"/>
                <w:bCs/>
              </w:rPr>
            </w:pPr>
            <w:r>
              <w:rPr>
                <w:rFonts w:cs="Times New Roman"/>
                <w:bCs/>
              </w:rPr>
              <w:t>噪声</w:t>
            </w:r>
          </w:p>
        </w:tc>
        <w:tc>
          <w:tcPr>
            <w:tcW w:w="897" w:type="pct"/>
            <w:vAlign w:val="center"/>
          </w:tcPr>
          <w:p>
            <w:pPr>
              <w:adjustRightInd w:val="0"/>
              <w:snapToGrid w:val="0"/>
              <w:spacing w:line="276" w:lineRule="auto"/>
              <w:jc w:val="center"/>
              <w:rPr>
                <w:rFonts w:cs="Times New Roman"/>
                <w:bCs/>
              </w:rPr>
            </w:pPr>
            <w:r>
              <w:rPr>
                <w:rFonts w:cs="Times New Roman"/>
                <w:bCs/>
              </w:rPr>
              <w:t>厂房隔声、设备基础减振</w:t>
            </w:r>
          </w:p>
        </w:tc>
        <w:tc>
          <w:tcPr>
            <w:tcW w:w="1518" w:type="pct"/>
            <w:vAlign w:val="center"/>
          </w:tcPr>
          <w:p>
            <w:pPr>
              <w:adjustRightInd w:val="0"/>
              <w:snapToGrid w:val="0"/>
              <w:spacing w:line="276" w:lineRule="auto"/>
              <w:jc w:val="center"/>
              <w:rPr>
                <w:rFonts w:cs="Times New Roman"/>
                <w:bCs/>
              </w:rPr>
            </w:pPr>
            <w:r>
              <w:rPr>
                <w:rFonts w:cs="Times New Roman"/>
                <w:bCs/>
              </w:rPr>
              <w:t>项目噪声主要为搅拌机、环保风机和水泵等设备运行噪声。经厂房隔声、设备基础减振后，厂界执行《工业企业厂界环境噪声排放标准》（GB12348-2008）2类标准。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579" w:type="pct"/>
            <w:vAlign w:val="center"/>
          </w:tcPr>
          <w:p>
            <w:pPr>
              <w:adjustRightInd w:val="0"/>
              <w:snapToGrid w:val="0"/>
              <w:jc w:val="center"/>
              <w:rPr>
                <w:rFonts w:cs="Times New Roman"/>
                <w:b/>
                <w:bCs/>
              </w:rPr>
            </w:pPr>
            <w:r>
              <w:rPr>
                <w:rFonts w:cs="Times New Roman"/>
                <w:b/>
                <w:bCs/>
              </w:rPr>
              <w:t>固体</w:t>
            </w:r>
          </w:p>
          <w:p>
            <w:pPr>
              <w:adjustRightInd w:val="0"/>
              <w:snapToGrid w:val="0"/>
              <w:jc w:val="center"/>
              <w:rPr>
                <w:rFonts w:cs="Times New Roman"/>
                <w:b/>
                <w:bCs/>
              </w:rPr>
            </w:pPr>
            <w:r>
              <w:rPr>
                <w:rFonts w:cs="Times New Roman"/>
                <w:b/>
                <w:bCs/>
              </w:rPr>
              <w:t>废物</w:t>
            </w:r>
          </w:p>
        </w:tc>
        <w:tc>
          <w:tcPr>
            <w:tcW w:w="4421" w:type="pct"/>
            <w:gridSpan w:val="5"/>
            <w:vAlign w:val="center"/>
          </w:tcPr>
          <w:p>
            <w:pPr>
              <w:pStyle w:val="40"/>
              <w:spacing w:line="360" w:lineRule="auto"/>
              <w:rPr>
                <w:rFonts w:cs="Times New Roman"/>
                <w:szCs w:val="24"/>
              </w:rPr>
            </w:pPr>
            <w:r>
              <w:rPr>
                <w:rFonts w:cs="Times New Roman"/>
                <w:szCs w:val="24"/>
              </w:rPr>
              <w:t>1、一般固体废物：本扩建项目一般固体废物的处置应执行《一般工业固体废物贮存和填埋污染控制标准》（GB18599-2020）的相关规定。</w:t>
            </w:r>
          </w:p>
          <w:p>
            <w:pPr>
              <w:pStyle w:val="40"/>
              <w:spacing w:line="360" w:lineRule="auto"/>
              <w:rPr>
                <w:rFonts w:cs="Times New Roman"/>
                <w:szCs w:val="24"/>
              </w:rPr>
            </w:pPr>
            <w:r>
              <w:rPr>
                <w:rFonts w:cs="Times New Roman"/>
                <w:szCs w:val="24"/>
              </w:rPr>
              <w:t>2、危险废物：本项目危废贮存设施的设置应按照《危险废物贮存污染控制标准》（GB18597-2023）中的相关要求。危险废物贮存设施标识都必须按《危险废物识别标志设置技术规范》（HJ 1276—2022）中的规定，规范立标设置环保标识牌。加强管理防止发生意外事故，同时厂区范围内必须完善消防措施及加强管理。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579" w:type="pct"/>
            <w:vAlign w:val="center"/>
          </w:tcPr>
          <w:p>
            <w:pPr>
              <w:adjustRightInd w:val="0"/>
              <w:snapToGrid w:val="0"/>
              <w:jc w:val="center"/>
              <w:rPr>
                <w:rFonts w:cs="Times New Roman"/>
                <w:b/>
                <w:bCs/>
              </w:rPr>
            </w:pPr>
            <w:r>
              <w:rPr>
                <w:rFonts w:cs="Times New Roman"/>
                <w:b/>
                <w:bCs/>
              </w:rPr>
              <w:t>土壤及地下水污染防治措施</w:t>
            </w:r>
          </w:p>
        </w:tc>
        <w:tc>
          <w:tcPr>
            <w:tcW w:w="4421" w:type="pct"/>
            <w:gridSpan w:val="5"/>
            <w:vAlign w:val="center"/>
          </w:tcPr>
          <w:p>
            <w:pPr>
              <w:rPr>
                <w:rFonts w:cs="Times New Roman"/>
              </w:rPr>
            </w:pPr>
            <w:r>
              <w:rPr>
                <w:rFonts w:cs="Times New Roman"/>
              </w:rPr>
              <w:t>1、做好危废及危险物质的储存管理，危废贮存设施必须做好防腐、防渗处理，保持地面硬化，防止危废渗漏到土壤，造成污染。</w:t>
            </w:r>
          </w:p>
          <w:p>
            <w:pPr>
              <w:rPr>
                <w:rFonts w:cs="Times New Roman"/>
              </w:rPr>
            </w:pPr>
            <w:r>
              <w:rPr>
                <w:rFonts w:cs="Times New Roman"/>
              </w:rPr>
              <w:t>2、各类污染物严格按照环评要求处理处置，禁止未经处理的污染物直接排放到环境中，对周边环境造成污染。</w:t>
            </w:r>
          </w:p>
          <w:p>
            <w:pPr>
              <w:rPr>
                <w:rFonts w:cs="Times New Roman"/>
              </w:rPr>
            </w:pPr>
            <w:r>
              <w:rPr>
                <w:rFonts w:cs="Times New Roman"/>
              </w:rPr>
              <w:t>3、严格落实本报告提出的污染防治措施，项目运营时应确保环保措施稳定正常的运行，废气达标排放，防止直接排放从而沉降后对地表土壤环境造成污染。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579" w:type="pct"/>
            <w:vAlign w:val="center"/>
          </w:tcPr>
          <w:p>
            <w:pPr>
              <w:adjustRightInd w:val="0"/>
              <w:snapToGrid w:val="0"/>
              <w:jc w:val="center"/>
              <w:rPr>
                <w:rFonts w:cs="Times New Roman"/>
                <w:b/>
                <w:bCs/>
              </w:rPr>
            </w:pPr>
            <w:r>
              <w:rPr>
                <w:rFonts w:cs="Times New Roman"/>
                <w:b/>
                <w:bCs/>
              </w:rPr>
              <w:t>生态保护措施</w:t>
            </w:r>
          </w:p>
        </w:tc>
        <w:tc>
          <w:tcPr>
            <w:tcW w:w="4421" w:type="pct"/>
            <w:gridSpan w:val="5"/>
            <w:vAlign w:val="center"/>
          </w:tcPr>
          <w:p>
            <w:pPr>
              <w:rPr>
                <w:rFonts w:cs="Times New Roman"/>
              </w:rPr>
            </w:pPr>
            <w:r>
              <w:rPr>
                <w:rFonts w:cs="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579" w:type="pct"/>
            <w:vAlign w:val="center"/>
          </w:tcPr>
          <w:p>
            <w:pPr>
              <w:adjustRightInd w:val="0"/>
              <w:snapToGrid w:val="0"/>
              <w:jc w:val="center"/>
              <w:rPr>
                <w:rFonts w:cs="Times New Roman"/>
                <w:b/>
                <w:bCs/>
                <w:spacing w:val="-8"/>
              </w:rPr>
            </w:pPr>
            <w:r>
              <w:rPr>
                <w:rFonts w:cs="Times New Roman"/>
                <w:b/>
                <w:bCs/>
                <w:spacing w:val="-8"/>
              </w:rPr>
              <w:t>环境风险</w:t>
            </w:r>
          </w:p>
          <w:p>
            <w:pPr>
              <w:adjustRightInd w:val="0"/>
              <w:snapToGrid w:val="0"/>
              <w:jc w:val="center"/>
              <w:rPr>
                <w:rFonts w:cs="Times New Roman"/>
                <w:b/>
                <w:bCs/>
                <w:spacing w:val="-8"/>
              </w:rPr>
            </w:pPr>
            <w:r>
              <w:rPr>
                <w:rFonts w:cs="Times New Roman"/>
                <w:b/>
                <w:bCs/>
                <w:spacing w:val="-8"/>
              </w:rPr>
              <w:t>防范措施</w:t>
            </w:r>
          </w:p>
        </w:tc>
        <w:tc>
          <w:tcPr>
            <w:tcW w:w="4421" w:type="pct"/>
            <w:gridSpan w:val="5"/>
            <w:vAlign w:val="center"/>
          </w:tcPr>
          <w:p>
            <w:pPr>
              <w:ind w:firstLine="480" w:firstLineChars="200"/>
              <w:rPr>
                <w:rFonts w:cs="Times New Roman"/>
              </w:rPr>
            </w:pPr>
            <w:r>
              <w:rPr>
                <w:rFonts w:hint="eastAsia" w:cs="Times New Roman"/>
              </w:rPr>
              <w:t>针对产生的废机油，建设单位已经将其暂存在危废贮存设施内，为进一步减小风险，需加强对危废贮存设施的管理，加强防渗，建立危险废物管理台账，必须定期交由有危险废物处理资质的单位进行处理。加强对原料区机油的管理，周边放置砂子，若发生泄露可及时进行围堵。针对厂区环境风险，建设单位应编制突发环境事件应急预案，并报环保局备案，且及时修正应急预案并加强演练。</w:t>
            </w:r>
          </w:p>
          <w:p>
            <w:pPr>
              <w:ind w:firstLine="480" w:firstLineChars="200"/>
              <w:rPr>
                <w:rFonts w:cs="Times New Roman"/>
              </w:rPr>
            </w:pPr>
            <w:r>
              <w:rPr>
                <w:rFonts w:cs="Times New Roman"/>
              </w:rPr>
              <w:t>本项目不存在重大危险源，且涉及危险品性质及生产工艺简单，在采取本次评价提出的各项风险防范措施后，环境风险较小。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53" w:hRule="atLeast"/>
          <w:jc w:val="center"/>
        </w:trPr>
        <w:tc>
          <w:tcPr>
            <w:tcW w:w="579" w:type="pct"/>
            <w:vAlign w:val="center"/>
          </w:tcPr>
          <w:p>
            <w:pPr>
              <w:adjustRightInd w:val="0"/>
              <w:snapToGrid w:val="0"/>
              <w:jc w:val="center"/>
              <w:rPr>
                <w:rFonts w:cs="Times New Roman"/>
                <w:b/>
                <w:bCs/>
                <w:spacing w:val="-8"/>
              </w:rPr>
            </w:pPr>
            <w:r>
              <w:rPr>
                <w:rFonts w:cs="Times New Roman"/>
                <w:b/>
                <w:bCs/>
                <w:spacing w:val="-8"/>
              </w:rPr>
              <w:t>其他环境</w:t>
            </w:r>
          </w:p>
          <w:p>
            <w:pPr>
              <w:adjustRightInd w:val="0"/>
              <w:snapToGrid w:val="0"/>
              <w:jc w:val="center"/>
              <w:rPr>
                <w:rFonts w:cs="Times New Roman"/>
                <w:b/>
                <w:bCs/>
                <w:spacing w:val="-8"/>
              </w:rPr>
            </w:pPr>
            <w:r>
              <w:rPr>
                <w:rFonts w:cs="Times New Roman"/>
                <w:b/>
                <w:bCs/>
                <w:spacing w:val="-8"/>
              </w:rPr>
              <w:t>管理要求</w:t>
            </w:r>
          </w:p>
        </w:tc>
        <w:tc>
          <w:tcPr>
            <w:tcW w:w="4421" w:type="pct"/>
            <w:gridSpan w:val="5"/>
            <w:vAlign w:val="center"/>
          </w:tcPr>
          <w:p>
            <w:pPr>
              <w:adjustRightInd w:val="0"/>
              <w:snapToGrid w:val="0"/>
              <w:ind w:firstLine="480" w:firstLineChars="200"/>
              <w:rPr>
                <w:rFonts w:cs="Times New Roman"/>
              </w:rPr>
            </w:pPr>
            <w:r>
              <w:rPr>
                <w:rFonts w:hint="eastAsia" w:ascii="宋体" w:hAnsi="宋体" w:eastAsia="宋体" w:cs="宋体"/>
              </w:rPr>
              <w:t>①</w:t>
            </w:r>
            <w:r>
              <w:rPr>
                <w:rFonts w:cs="Times New Roman"/>
              </w:rPr>
              <w:t>环境管理制度</w:t>
            </w:r>
          </w:p>
          <w:p>
            <w:pPr>
              <w:adjustRightInd w:val="0"/>
              <w:snapToGrid w:val="0"/>
              <w:ind w:firstLine="480" w:firstLineChars="200"/>
              <w:rPr>
                <w:rFonts w:cs="Times New Roman"/>
              </w:rPr>
            </w:pPr>
            <w:r>
              <w:rPr>
                <w:rFonts w:cs="Times New Roman"/>
              </w:rPr>
              <w:t>企业应必须重视本项目的环境保护工作，制定一系列环境管理制度以促进项目的环境保护工作，并保证环境管理制度的落实。制定的环境保护管理制度应包括：建设项目“三同时”管理制度、环境保护职责管理制度、污染物收集与处理管理制度、固体废物的管理与处置制度、日常环境监督与记录管理制度等。</w:t>
            </w:r>
          </w:p>
          <w:p>
            <w:pPr>
              <w:adjustRightInd w:val="0"/>
              <w:snapToGrid w:val="0"/>
              <w:ind w:firstLine="480" w:firstLineChars="200"/>
              <w:rPr>
                <w:rFonts w:cs="Times New Roman"/>
              </w:rPr>
            </w:pPr>
            <w:r>
              <w:rPr>
                <w:rFonts w:hint="eastAsia" w:ascii="宋体" w:hAnsi="宋体" w:eastAsia="宋体" w:cs="宋体"/>
              </w:rPr>
              <w:t>②</w:t>
            </w:r>
            <w:r>
              <w:rPr>
                <w:rFonts w:cs="Times New Roman"/>
              </w:rPr>
              <w:t>环境管理机构</w:t>
            </w:r>
          </w:p>
          <w:p>
            <w:pPr>
              <w:adjustRightInd w:val="0"/>
              <w:snapToGrid w:val="0"/>
              <w:ind w:firstLine="480" w:firstLineChars="200"/>
              <w:rPr>
                <w:rFonts w:cs="Times New Roman"/>
              </w:rPr>
            </w:pPr>
            <w:r>
              <w:rPr>
                <w:rFonts w:cs="Times New Roman"/>
              </w:rPr>
              <w:t>企业应设置环境保护管理机构及负责人员，负责组织落实监督项目的各项环境保护工作。</w:t>
            </w:r>
          </w:p>
          <w:p>
            <w:pPr>
              <w:adjustRightInd w:val="0"/>
              <w:snapToGrid w:val="0"/>
              <w:ind w:firstLine="480" w:firstLineChars="200"/>
              <w:rPr>
                <w:rFonts w:cs="Times New Roman"/>
              </w:rPr>
            </w:pPr>
            <w:r>
              <w:rPr>
                <w:rFonts w:cs="Times New Roman"/>
              </w:rPr>
              <w:t>环保管理人员的职能包括：贯彻执行国家有关法律、法规和政策；编制本项目实施的环保计划并组织实施；执行建设项目的“三同时”制度；监督环保设计工程措施及运行管理；配合有关环保部门搞好监测与年度统计工作。</w:t>
            </w:r>
          </w:p>
          <w:p>
            <w:pPr>
              <w:adjustRightInd w:val="0"/>
              <w:snapToGrid w:val="0"/>
              <w:ind w:firstLine="480" w:firstLineChars="200"/>
              <w:rPr>
                <w:rFonts w:cs="Times New Roman"/>
              </w:rPr>
            </w:pPr>
            <w:r>
              <w:rPr>
                <w:rFonts w:hint="eastAsia" w:ascii="宋体" w:hAnsi="宋体" w:eastAsia="宋体" w:cs="宋体"/>
              </w:rPr>
              <w:t>③</w:t>
            </w:r>
            <w:r>
              <w:rPr>
                <w:rFonts w:cs="Times New Roman"/>
              </w:rPr>
              <w:t>环境监测计划</w:t>
            </w:r>
          </w:p>
          <w:p>
            <w:pPr>
              <w:adjustRightInd w:val="0"/>
              <w:snapToGrid w:val="0"/>
              <w:ind w:firstLine="480" w:firstLineChars="200"/>
              <w:rPr>
                <w:rFonts w:cs="Times New Roman"/>
              </w:rPr>
            </w:pPr>
            <w:r>
              <w:rPr>
                <w:rFonts w:cs="Times New Roman"/>
              </w:rPr>
              <w:t>企业应当严格执行本次评价提出的监测要求，应定期委托有环境监测资质的单位进行环境监测工作，监测时必须保证所有装置稳定运行，并记录操作工况。环境监测计划的制定依据项目内容和企业实际情况，制定相应切实可行的方案，向有关环境保护主管部门上报监测结果。</w:t>
            </w:r>
          </w:p>
          <w:p>
            <w:pPr>
              <w:adjustRightInd w:val="0"/>
              <w:snapToGrid w:val="0"/>
              <w:ind w:firstLine="480" w:firstLineChars="200"/>
              <w:rPr>
                <w:rFonts w:cs="Times New Roman"/>
              </w:rPr>
            </w:pPr>
            <w:r>
              <w:rPr>
                <w:rFonts w:hint="eastAsia" w:ascii="宋体" w:hAnsi="宋体" w:eastAsia="宋体" w:cs="宋体"/>
              </w:rPr>
              <w:t>④</w:t>
            </w:r>
            <w:r>
              <w:rPr>
                <w:rFonts w:cs="Times New Roman"/>
              </w:rPr>
              <w:t>排污口管理要求</w:t>
            </w:r>
          </w:p>
          <w:p>
            <w:pPr>
              <w:adjustRightInd w:val="0"/>
              <w:snapToGrid w:val="0"/>
              <w:ind w:firstLine="480" w:firstLineChars="200"/>
              <w:rPr>
                <w:rFonts w:cs="Times New Roman"/>
              </w:rPr>
            </w:pPr>
            <w:r>
              <w:rPr>
                <w:rFonts w:cs="Times New Roman"/>
              </w:rPr>
              <w:t>企业应当按照国家环保总局环监（1996）470号文《排污口规范化整治技术要求》对废气、噪声、固体废物排放口进行实行规范化管理，排污口必须按照国家《环境保护图形标志》相关规定，设置环保图形标志牌。</w:t>
            </w:r>
          </w:p>
          <w:p>
            <w:pPr>
              <w:adjustRightInd w:val="0"/>
              <w:snapToGrid w:val="0"/>
              <w:ind w:firstLine="480" w:firstLineChars="200"/>
              <w:rPr>
                <w:rFonts w:cs="Times New Roman"/>
              </w:rPr>
            </w:pPr>
            <w:r>
              <w:rPr>
                <w:rFonts w:hint="eastAsia" w:ascii="宋体" w:hAnsi="宋体" w:eastAsia="宋体" w:cs="宋体"/>
              </w:rPr>
              <w:t>⑤</w:t>
            </w:r>
            <w:r>
              <w:rPr>
                <w:rFonts w:cs="Times New Roman"/>
              </w:rPr>
              <w:t>竣工环保验收要求</w:t>
            </w:r>
          </w:p>
          <w:p>
            <w:pPr>
              <w:adjustRightInd w:val="0"/>
              <w:snapToGrid w:val="0"/>
              <w:ind w:firstLine="480" w:firstLineChars="200"/>
              <w:rPr>
                <w:rFonts w:cs="Times New Roman"/>
              </w:rPr>
            </w:pPr>
            <w:r>
              <w:rPr>
                <w:rFonts w:cs="Times New Roman"/>
              </w:rPr>
              <w:t>企业应当根据《建设项目环境保护管理条例》（国务院令第682号修订发布）、《建设项目竣工环境保护验收暂行办法》（国环规环评[2017]4号）、《关于实施建设项目竣工环境保护企业自行验收管理的指导意见》的规定，建设项目主体工程竣工后、正式投产或运行前，企业应自行组织开展建设项目竣工环境保护验收。</w:t>
            </w:r>
          </w:p>
          <w:p>
            <w:pPr>
              <w:adjustRightInd w:val="0"/>
              <w:snapToGrid w:val="0"/>
              <w:ind w:firstLine="480" w:firstLineChars="200"/>
              <w:rPr>
                <w:rFonts w:cs="Times New Roman"/>
              </w:rPr>
            </w:pPr>
            <w:r>
              <w:rPr>
                <w:rFonts w:hint="eastAsia" w:ascii="宋体" w:hAnsi="宋体" w:eastAsia="宋体" w:cs="宋体"/>
              </w:rPr>
              <w:t>⑥</w:t>
            </w:r>
            <w:r>
              <w:rPr>
                <w:rFonts w:cs="Times New Roman"/>
              </w:rPr>
              <w:t>环境管理台账要求</w:t>
            </w:r>
          </w:p>
          <w:p>
            <w:pPr>
              <w:adjustRightInd w:val="0"/>
              <w:snapToGrid w:val="0"/>
              <w:ind w:firstLine="480" w:firstLineChars="200"/>
              <w:rPr>
                <w:rFonts w:cs="Times New Roman"/>
              </w:rPr>
            </w:pPr>
            <w:r>
              <w:rPr>
                <w:rFonts w:cs="Times New Roman"/>
              </w:rPr>
              <w:t>企业应建立环境管理台账，并按照规定年限保存。环境管理台账主要包括大气污染源和厂界噪声监测记录台账，以及固体废物管理台账。</w:t>
            </w: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p>
            <w:pPr>
              <w:adjustRightInd w:val="0"/>
              <w:snapToGrid w:val="0"/>
              <w:ind w:firstLine="480" w:firstLineChars="200"/>
              <w:rPr>
                <w:rFonts w:cs="Times New Roman"/>
              </w:rPr>
            </w:pPr>
          </w:p>
        </w:tc>
      </w:tr>
    </w:tbl>
    <w:p>
      <w:pPr>
        <w:pStyle w:val="16"/>
        <w:jc w:val="center"/>
        <w:outlineLvl w:val="0"/>
        <w:rPr>
          <w:rFonts w:ascii="Times New Roman" w:hAnsi="Times New Roman" w:eastAsia="黑体" w:cs="Times New Roman"/>
          <w:snapToGrid w:val="0"/>
          <w:sz w:val="30"/>
          <w:szCs w:val="30"/>
        </w:rPr>
        <w:sectPr>
          <w:pgSz w:w="11906" w:h="16838"/>
          <w:pgMar w:top="1440" w:right="1080" w:bottom="1440" w:left="1080" w:header="850" w:footer="851" w:gutter="0"/>
          <w:pgNumType w:fmt="numberInDash"/>
          <w:cols w:space="720" w:num="1"/>
          <w:docGrid w:linePitch="312" w:charSpace="0"/>
        </w:sectPr>
      </w:pPr>
    </w:p>
    <w:p>
      <w:pPr>
        <w:jc w:val="center"/>
        <w:rPr>
          <w:rFonts w:cs="Times New Roman"/>
          <w:b/>
          <w:bCs/>
          <w:sz w:val="28"/>
          <w:szCs w:val="24"/>
        </w:rPr>
      </w:pPr>
      <w:r>
        <w:rPr>
          <w:rFonts w:cs="Times New Roman"/>
          <w:b/>
          <w:bCs/>
          <w:sz w:val="28"/>
          <w:szCs w:val="24"/>
        </w:rPr>
        <w:t>六、结论</w:t>
      </w:r>
    </w:p>
    <w:tbl>
      <w:tblPr>
        <w:tblStyle w:val="1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90" w:hRule="atLeast"/>
          <w:jc w:val="center"/>
        </w:trPr>
        <w:tc>
          <w:tcPr>
            <w:tcW w:w="5000" w:type="pct"/>
          </w:tcPr>
          <w:p>
            <w:pPr>
              <w:ind w:firstLine="480" w:firstLineChars="200"/>
              <w:rPr>
                <w:rFonts w:cs="Times New Roman"/>
              </w:rPr>
            </w:pPr>
            <w:r>
              <w:rPr>
                <w:rFonts w:cs="Times New Roman"/>
              </w:rPr>
              <w:t>周至科达路面建设材料有限公司路面建设材料扩建项目符合国家政策，生产过程中污染物排放量较小，项目运营期产生的废水、废气、噪声和固体废物等污染物在采取环评要求的处理处置措施后，各污染物均能达标排放或得到合理处置，对周围环境影响较小。因此，从环境保护角度，本项目环境影响可行。</w:t>
            </w:r>
          </w:p>
        </w:tc>
      </w:tr>
    </w:tbl>
    <w:p>
      <w:pPr>
        <w:pStyle w:val="16"/>
        <w:adjustRightInd w:val="0"/>
        <w:snapToGrid w:val="0"/>
        <w:spacing w:before="0" w:beforeAutospacing="0" w:after="0" w:afterAutospacing="0"/>
        <w:outlineLvl w:val="0"/>
        <w:rPr>
          <w:rFonts w:ascii="Times New Roman" w:hAnsi="Times New Roman" w:eastAsia="黑体" w:cs="Times New Roman"/>
          <w:snapToGrid w:val="0"/>
          <w:sz w:val="32"/>
          <w:szCs w:val="32"/>
        </w:rPr>
        <w:sectPr>
          <w:pgSz w:w="11906" w:h="16838"/>
          <w:pgMar w:top="1440" w:right="1080" w:bottom="1440" w:left="1080" w:header="851" w:footer="992" w:gutter="0"/>
          <w:pgNumType w:fmt="numberInDash"/>
          <w:cols w:space="0" w:num="1"/>
          <w:docGrid w:type="lines" w:linePitch="326" w:charSpace="0"/>
        </w:sectPr>
      </w:pPr>
    </w:p>
    <w:p>
      <w:pPr>
        <w:pStyle w:val="16"/>
        <w:adjustRightInd w:val="0"/>
        <w:snapToGrid w:val="0"/>
        <w:spacing w:before="0" w:beforeAutospacing="0" w:after="0" w:afterAutospacing="0" w:line="240" w:lineRule="auto"/>
        <w:jc w:val="center"/>
        <w:outlineLvl w:val="0"/>
        <w:rPr>
          <w:rFonts w:ascii="Times New Roman" w:hAnsi="Times New Roman" w:eastAsia="方正小标宋_GBK" w:cs="Times New Roman"/>
          <w:snapToGrid w:val="0"/>
          <w:sz w:val="38"/>
          <w:szCs w:val="38"/>
        </w:rPr>
      </w:pPr>
      <w:r>
        <w:rPr>
          <w:rFonts w:ascii="Times New Roman" w:hAnsi="Times New Roman" w:eastAsia="方正小标宋_GBK" w:cs="Times New Roman"/>
          <w:snapToGrid w:val="0"/>
          <w:sz w:val="38"/>
          <w:szCs w:val="38"/>
        </w:rPr>
        <w:t>建设项目污染物排放量汇总表</w:t>
      </w:r>
    </w:p>
    <w:tbl>
      <w:tblPr>
        <w:tblStyle w:val="18"/>
        <w:tblW w:w="14418" w:type="dxa"/>
        <w:tblInd w:w="-15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3475"/>
        <w:gridCol w:w="1597"/>
        <w:gridCol w:w="1167"/>
        <w:gridCol w:w="1459"/>
        <w:gridCol w:w="1400"/>
        <w:gridCol w:w="1417"/>
        <w:gridCol w:w="1575"/>
        <w:gridCol w:w="11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49" w:type="dxa"/>
            <w:tcBorders>
              <w:tl2br w:val="single" w:color="auto" w:sz="4" w:space="0"/>
            </w:tcBorders>
            <w:tcMar>
              <w:left w:w="28" w:type="dxa"/>
              <w:right w:w="28" w:type="dxa"/>
            </w:tcMar>
            <w:vAlign w:val="center"/>
          </w:tcPr>
          <w:p>
            <w:pPr>
              <w:pStyle w:val="44"/>
              <w:spacing w:beforeLines="0" w:afterLines="0" w:line="240" w:lineRule="auto"/>
              <w:jc w:val="right"/>
              <w:rPr>
                <w:rFonts w:ascii="Times New Roman" w:cs="Times New Roman"/>
                <w:b/>
                <w:bCs/>
                <w:snapToGrid w:val="0"/>
                <w:spacing w:val="-6"/>
                <w:kern w:val="21"/>
                <w:szCs w:val="24"/>
              </w:rPr>
            </w:pPr>
            <w:r>
              <w:rPr>
                <w:rFonts w:ascii="Times New Roman" w:cs="Times New Roman"/>
                <w:b/>
                <w:bCs/>
                <w:snapToGrid w:val="0"/>
                <w:spacing w:val="-6"/>
                <w:kern w:val="21"/>
                <w:szCs w:val="24"/>
              </w:rPr>
              <w:t>项目</w:t>
            </w:r>
          </w:p>
          <w:p>
            <w:pPr>
              <w:rPr>
                <w:rFonts w:cs="Times New Roman"/>
              </w:rPr>
            </w:pPr>
            <w:r>
              <w:rPr>
                <w:rFonts w:cs="Times New Roman"/>
                <w:b/>
                <w:bCs/>
                <w:snapToGrid w:val="0"/>
                <w:spacing w:val="-6"/>
                <w:kern w:val="21"/>
              </w:rPr>
              <w:t>分类</w:t>
            </w:r>
          </w:p>
        </w:tc>
        <w:tc>
          <w:tcPr>
            <w:tcW w:w="3475" w:type="dxa"/>
            <w:tcMar>
              <w:left w:w="28" w:type="dxa"/>
              <w:right w:w="28" w:type="dxa"/>
            </w:tcMar>
            <w:vAlign w:val="center"/>
          </w:tcPr>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污染物名称</w:t>
            </w:r>
          </w:p>
        </w:tc>
        <w:tc>
          <w:tcPr>
            <w:tcW w:w="1597" w:type="dxa"/>
            <w:tcMar>
              <w:left w:w="28" w:type="dxa"/>
              <w:right w:w="28" w:type="dxa"/>
            </w:tcMar>
            <w:vAlign w:val="center"/>
          </w:tcPr>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现有工程</w:t>
            </w:r>
          </w:p>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排放量（固体废物产生量）</w:t>
            </w:r>
            <w:r>
              <w:rPr>
                <w:rFonts w:ascii="Times New Roman" w:cs="Times New Roman"/>
                <w:b/>
                <w:bCs/>
                <w:snapToGrid w:val="0"/>
                <w:spacing w:val="-6"/>
                <w:kern w:val="21"/>
                <w:sz w:val="22"/>
                <w:szCs w:val="22"/>
              </w:rPr>
              <w:fldChar w:fldCharType="begin"/>
            </w:r>
            <w:r>
              <w:rPr>
                <w:rFonts w:ascii="Times New Roman" w:cs="Times New Roman"/>
                <w:b/>
                <w:bCs/>
                <w:snapToGrid w:val="0"/>
                <w:spacing w:val="-6"/>
                <w:kern w:val="21"/>
                <w:sz w:val="22"/>
                <w:szCs w:val="22"/>
              </w:rPr>
              <w:instrText xml:space="preserve"> = 1 \* GB3 \* MERGEFORMAT </w:instrText>
            </w:r>
            <w:r>
              <w:rPr>
                <w:rFonts w:ascii="Times New Roman" w:cs="Times New Roman"/>
                <w:b/>
                <w:bCs/>
                <w:snapToGrid w:val="0"/>
                <w:spacing w:val="-6"/>
                <w:kern w:val="21"/>
                <w:sz w:val="22"/>
                <w:szCs w:val="22"/>
              </w:rPr>
              <w:fldChar w:fldCharType="separate"/>
            </w:r>
            <w:r>
              <w:rPr>
                <w:rFonts w:hint="eastAsia" w:hAnsi="宋体" w:eastAsia="宋体" w:cs="宋体"/>
                <w:b/>
                <w:bCs/>
                <w:kern w:val="2"/>
                <w:sz w:val="22"/>
                <w:szCs w:val="22"/>
              </w:rPr>
              <w:t>①</w:t>
            </w:r>
            <w:r>
              <w:rPr>
                <w:rFonts w:ascii="Times New Roman" w:cs="Times New Roman"/>
                <w:b/>
                <w:bCs/>
                <w:snapToGrid w:val="0"/>
                <w:spacing w:val="-6"/>
                <w:kern w:val="21"/>
                <w:sz w:val="22"/>
                <w:szCs w:val="22"/>
              </w:rPr>
              <w:fldChar w:fldCharType="end"/>
            </w:r>
          </w:p>
        </w:tc>
        <w:tc>
          <w:tcPr>
            <w:tcW w:w="1167" w:type="dxa"/>
            <w:tcMar>
              <w:left w:w="28" w:type="dxa"/>
              <w:right w:w="28" w:type="dxa"/>
            </w:tcMar>
            <w:vAlign w:val="center"/>
          </w:tcPr>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现有工程</w:t>
            </w:r>
          </w:p>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许可排放量</w:t>
            </w:r>
          </w:p>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fldChar w:fldCharType="begin"/>
            </w:r>
            <w:r>
              <w:rPr>
                <w:rFonts w:ascii="Times New Roman" w:cs="Times New Roman"/>
                <w:b/>
                <w:bCs/>
                <w:snapToGrid w:val="0"/>
                <w:spacing w:val="-6"/>
                <w:kern w:val="21"/>
                <w:sz w:val="22"/>
                <w:szCs w:val="22"/>
              </w:rPr>
              <w:instrText xml:space="preserve"> = 2 \* GB3 \* MERGEFORMAT </w:instrText>
            </w:r>
            <w:r>
              <w:rPr>
                <w:rFonts w:ascii="Times New Roman" w:cs="Times New Roman"/>
                <w:b/>
                <w:bCs/>
                <w:snapToGrid w:val="0"/>
                <w:spacing w:val="-6"/>
                <w:kern w:val="21"/>
                <w:sz w:val="22"/>
                <w:szCs w:val="22"/>
              </w:rPr>
              <w:fldChar w:fldCharType="separate"/>
            </w:r>
            <w:r>
              <w:rPr>
                <w:rFonts w:hint="eastAsia" w:hAnsi="宋体" w:eastAsia="宋体" w:cs="宋体"/>
                <w:b/>
                <w:bCs/>
                <w:snapToGrid w:val="0"/>
                <w:spacing w:val="-6"/>
                <w:kern w:val="21"/>
                <w:sz w:val="22"/>
                <w:szCs w:val="22"/>
              </w:rPr>
              <w:t>②</w:t>
            </w:r>
            <w:r>
              <w:rPr>
                <w:rFonts w:ascii="Times New Roman" w:cs="Times New Roman"/>
                <w:b/>
                <w:bCs/>
                <w:snapToGrid w:val="0"/>
                <w:spacing w:val="-6"/>
                <w:kern w:val="21"/>
                <w:sz w:val="22"/>
                <w:szCs w:val="22"/>
              </w:rPr>
              <w:fldChar w:fldCharType="end"/>
            </w:r>
          </w:p>
        </w:tc>
        <w:tc>
          <w:tcPr>
            <w:tcW w:w="1459" w:type="dxa"/>
            <w:tcMar>
              <w:left w:w="28" w:type="dxa"/>
              <w:right w:w="28" w:type="dxa"/>
            </w:tcMar>
            <w:vAlign w:val="center"/>
          </w:tcPr>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在建工程</w:t>
            </w:r>
          </w:p>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排放量（固体废物产生量）</w:t>
            </w:r>
            <w:r>
              <w:rPr>
                <w:rFonts w:ascii="Times New Roman" w:cs="Times New Roman"/>
                <w:b/>
                <w:bCs/>
                <w:snapToGrid w:val="0"/>
                <w:spacing w:val="-6"/>
                <w:kern w:val="21"/>
                <w:sz w:val="22"/>
                <w:szCs w:val="22"/>
              </w:rPr>
              <w:fldChar w:fldCharType="begin"/>
            </w:r>
            <w:r>
              <w:rPr>
                <w:rFonts w:ascii="Times New Roman" w:cs="Times New Roman"/>
                <w:b/>
                <w:bCs/>
                <w:snapToGrid w:val="0"/>
                <w:spacing w:val="-6"/>
                <w:kern w:val="21"/>
                <w:sz w:val="22"/>
                <w:szCs w:val="22"/>
              </w:rPr>
              <w:instrText xml:space="preserve"> = 3 \* GB3 \* MERGEFORMAT </w:instrText>
            </w:r>
            <w:r>
              <w:rPr>
                <w:rFonts w:ascii="Times New Roman" w:cs="Times New Roman"/>
                <w:b/>
                <w:bCs/>
                <w:snapToGrid w:val="0"/>
                <w:spacing w:val="-6"/>
                <w:kern w:val="21"/>
                <w:sz w:val="22"/>
                <w:szCs w:val="22"/>
              </w:rPr>
              <w:fldChar w:fldCharType="separate"/>
            </w:r>
            <w:r>
              <w:rPr>
                <w:rFonts w:hint="eastAsia" w:hAnsi="宋体" w:eastAsia="宋体" w:cs="宋体"/>
                <w:b/>
                <w:bCs/>
                <w:kern w:val="2"/>
                <w:sz w:val="22"/>
                <w:szCs w:val="22"/>
              </w:rPr>
              <w:t>③</w:t>
            </w:r>
            <w:r>
              <w:rPr>
                <w:rFonts w:ascii="Times New Roman" w:cs="Times New Roman"/>
                <w:b/>
                <w:bCs/>
                <w:snapToGrid w:val="0"/>
                <w:spacing w:val="-6"/>
                <w:kern w:val="21"/>
                <w:sz w:val="22"/>
                <w:szCs w:val="22"/>
              </w:rPr>
              <w:fldChar w:fldCharType="end"/>
            </w:r>
          </w:p>
        </w:tc>
        <w:tc>
          <w:tcPr>
            <w:tcW w:w="1400" w:type="dxa"/>
            <w:tcMar>
              <w:left w:w="28" w:type="dxa"/>
              <w:right w:w="28" w:type="dxa"/>
            </w:tcMar>
            <w:vAlign w:val="center"/>
          </w:tcPr>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本项目</w:t>
            </w:r>
          </w:p>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排放量（固体废物产生量）</w:t>
            </w:r>
            <w:r>
              <w:rPr>
                <w:rFonts w:ascii="Times New Roman" w:cs="Times New Roman"/>
                <w:b/>
                <w:bCs/>
                <w:snapToGrid w:val="0"/>
                <w:spacing w:val="-6"/>
                <w:kern w:val="21"/>
                <w:sz w:val="22"/>
                <w:szCs w:val="22"/>
              </w:rPr>
              <w:fldChar w:fldCharType="begin"/>
            </w:r>
            <w:r>
              <w:rPr>
                <w:rFonts w:ascii="Times New Roman" w:cs="Times New Roman"/>
                <w:b/>
                <w:bCs/>
                <w:snapToGrid w:val="0"/>
                <w:spacing w:val="-6"/>
                <w:kern w:val="21"/>
                <w:sz w:val="22"/>
                <w:szCs w:val="22"/>
              </w:rPr>
              <w:instrText xml:space="preserve"> = 4 \* GB3 \* MERGEFORMAT </w:instrText>
            </w:r>
            <w:r>
              <w:rPr>
                <w:rFonts w:ascii="Times New Roman" w:cs="Times New Roman"/>
                <w:b/>
                <w:bCs/>
                <w:snapToGrid w:val="0"/>
                <w:spacing w:val="-6"/>
                <w:kern w:val="21"/>
                <w:sz w:val="22"/>
                <w:szCs w:val="22"/>
              </w:rPr>
              <w:fldChar w:fldCharType="separate"/>
            </w:r>
            <w:r>
              <w:rPr>
                <w:rFonts w:hint="eastAsia" w:hAnsi="宋体" w:eastAsia="宋体" w:cs="宋体"/>
                <w:b/>
                <w:bCs/>
                <w:kern w:val="2"/>
                <w:sz w:val="22"/>
                <w:szCs w:val="22"/>
              </w:rPr>
              <w:t>④</w:t>
            </w:r>
            <w:r>
              <w:rPr>
                <w:rFonts w:ascii="Times New Roman" w:cs="Times New Roman"/>
                <w:b/>
                <w:bCs/>
                <w:snapToGrid w:val="0"/>
                <w:spacing w:val="-6"/>
                <w:kern w:val="21"/>
                <w:sz w:val="22"/>
                <w:szCs w:val="22"/>
              </w:rPr>
              <w:fldChar w:fldCharType="end"/>
            </w:r>
          </w:p>
        </w:tc>
        <w:tc>
          <w:tcPr>
            <w:tcW w:w="1417" w:type="dxa"/>
            <w:tcMar>
              <w:left w:w="28" w:type="dxa"/>
              <w:right w:w="28" w:type="dxa"/>
            </w:tcMar>
            <w:vAlign w:val="center"/>
          </w:tcPr>
          <w:p>
            <w:pPr>
              <w:pStyle w:val="44"/>
              <w:spacing w:beforeLines="0" w:afterLines="0" w:line="240" w:lineRule="auto"/>
              <w:rPr>
                <w:rFonts w:ascii="Times New Roman" w:cs="Times New Roman"/>
                <w:b/>
                <w:bCs/>
                <w:snapToGrid w:val="0"/>
                <w:spacing w:val="-16"/>
                <w:kern w:val="21"/>
                <w:sz w:val="22"/>
                <w:szCs w:val="22"/>
              </w:rPr>
            </w:pPr>
            <w:r>
              <w:rPr>
                <w:rFonts w:ascii="Times New Roman" w:cs="Times New Roman"/>
                <w:b/>
                <w:bCs/>
                <w:snapToGrid w:val="0"/>
                <w:spacing w:val="-16"/>
                <w:kern w:val="21"/>
                <w:sz w:val="22"/>
                <w:szCs w:val="22"/>
              </w:rPr>
              <w:t>以新带老削减量（新建项目不填）</w:t>
            </w:r>
            <w:r>
              <w:rPr>
                <w:rFonts w:ascii="Times New Roman" w:cs="Times New Roman"/>
                <w:b/>
                <w:bCs/>
                <w:snapToGrid w:val="0"/>
                <w:spacing w:val="-16"/>
                <w:kern w:val="21"/>
                <w:sz w:val="22"/>
                <w:szCs w:val="22"/>
              </w:rPr>
              <w:fldChar w:fldCharType="begin"/>
            </w:r>
            <w:r>
              <w:rPr>
                <w:rFonts w:ascii="Times New Roman" w:cs="Times New Roman"/>
                <w:b/>
                <w:bCs/>
                <w:snapToGrid w:val="0"/>
                <w:spacing w:val="-16"/>
                <w:kern w:val="21"/>
                <w:sz w:val="22"/>
                <w:szCs w:val="22"/>
              </w:rPr>
              <w:instrText xml:space="preserve"> = 5 \* GB3 \* MERGEFORMAT </w:instrText>
            </w:r>
            <w:r>
              <w:rPr>
                <w:rFonts w:ascii="Times New Roman" w:cs="Times New Roman"/>
                <w:b/>
                <w:bCs/>
                <w:snapToGrid w:val="0"/>
                <w:spacing w:val="-16"/>
                <w:kern w:val="21"/>
                <w:sz w:val="22"/>
                <w:szCs w:val="22"/>
              </w:rPr>
              <w:fldChar w:fldCharType="separate"/>
            </w:r>
            <w:r>
              <w:rPr>
                <w:rFonts w:hint="eastAsia" w:hAnsi="宋体" w:eastAsia="宋体" w:cs="宋体"/>
                <w:b/>
                <w:bCs/>
                <w:kern w:val="2"/>
                <w:sz w:val="22"/>
                <w:szCs w:val="22"/>
              </w:rPr>
              <w:t>⑤</w:t>
            </w:r>
            <w:r>
              <w:rPr>
                <w:rFonts w:ascii="Times New Roman" w:cs="Times New Roman"/>
                <w:b/>
                <w:bCs/>
                <w:snapToGrid w:val="0"/>
                <w:spacing w:val="-16"/>
                <w:kern w:val="21"/>
                <w:sz w:val="22"/>
                <w:szCs w:val="22"/>
              </w:rPr>
              <w:fldChar w:fldCharType="end"/>
            </w:r>
          </w:p>
        </w:tc>
        <w:tc>
          <w:tcPr>
            <w:tcW w:w="1575" w:type="dxa"/>
            <w:tcMar>
              <w:left w:w="28" w:type="dxa"/>
              <w:right w:w="28" w:type="dxa"/>
            </w:tcMar>
            <w:vAlign w:val="center"/>
          </w:tcPr>
          <w:p>
            <w:pPr>
              <w:pStyle w:val="44"/>
              <w:spacing w:beforeLines="0" w:afterLines="0" w:line="240" w:lineRule="auto"/>
              <w:rPr>
                <w:rFonts w:ascii="Times New Roman" w:cs="Times New Roman"/>
                <w:b/>
                <w:bCs/>
                <w:snapToGrid w:val="0"/>
                <w:spacing w:val="-16"/>
                <w:kern w:val="21"/>
                <w:sz w:val="22"/>
                <w:szCs w:val="22"/>
              </w:rPr>
            </w:pPr>
            <w:r>
              <w:rPr>
                <w:rFonts w:ascii="Times New Roman" w:cs="Times New Roman"/>
                <w:b/>
                <w:bCs/>
                <w:snapToGrid w:val="0"/>
                <w:spacing w:val="-16"/>
                <w:kern w:val="21"/>
                <w:sz w:val="22"/>
                <w:szCs w:val="22"/>
              </w:rPr>
              <w:t>本项目建成后</w:t>
            </w:r>
          </w:p>
          <w:p>
            <w:pPr>
              <w:pStyle w:val="44"/>
              <w:spacing w:beforeLines="0" w:afterLines="0" w:line="240" w:lineRule="auto"/>
              <w:rPr>
                <w:rFonts w:ascii="Times New Roman" w:cs="Times New Roman"/>
                <w:b/>
                <w:bCs/>
                <w:snapToGrid w:val="0"/>
                <w:spacing w:val="-16"/>
                <w:kern w:val="21"/>
                <w:sz w:val="22"/>
                <w:szCs w:val="22"/>
              </w:rPr>
            </w:pPr>
            <w:r>
              <w:rPr>
                <w:rFonts w:ascii="Times New Roman" w:cs="Times New Roman"/>
                <w:b/>
                <w:bCs/>
                <w:snapToGrid w:val="0"/>
                <w:spacing w:val="-16"/>
                <w:kern w:val="21"/>
                <w:sz w:val="22"/>
                <w:szCs w:val="22"/>
              </w:rPr>
              <w:t>全厂排放量（固体废物产生量）</w:t>
            </w:r>
            <w:r>
              <w:rPr>
                <w:rFonts w:ascii="Times New Roman" w:cs="Times New Roman"/>
                <w:b/>
                <w:bCs/>
                <w:snapToGrid w:val="0"/>
                <w:spacing w:val="-16"/>
                <w:kern w:val="21"/>
                <w:sz w:val="22"/>
                <w:szCs w:val="22"/>
              </w:rPr>
              <w:fldChar w:fldCharType="begin"/>
            </w:r>
            <w:r>
              <w:rPr>
                <w:rFonts w:ascii="Times New Roman" w:cs="Times New Roman"/>
                <w:b/>
                <w:bCs/>
                <w:snapToGrid w:val="0"/>
                <w:spacing w:val="-16"/>
                <w:kern w:val="21"/>
                <w:sz w:val="22"/>
                <w:szCs w:val="22"/>
              </w:rPr>
              <w:instrText xml:space="preserve"> = 6 \* GB3 \* MERGEFORMAT </w:instrText>
            </w:r>
            <w:r>
              <w:rPr>
                <w:rFonts w:ascii="Times New Roman" w:cs="Times New Roman"/>
                <w:b/>
                <w:bCs/>
                <w:snapToGrid w:val="0"/>
                <w:spacing w:val="-16"/>
                <w:kern w:val="21"/>
                <w:sz w:val="22"/>
                <w:szCs w:val="22"/>
              </w:rPr>
              <w:fldChar w:fldCharType="separate"/>
            </w:r>
            <w:r>
              <w:rPr>
                <w:rFonts w:hint="eastAsia" w:hAnsi="宋体" w:eastAsia="宋体" w:cs="宋体"/>
                <w:b/>
                <w:bCs/>
                <w:kern w:val="2"/>
                <w:sz w:val="22"/>
                <w:szCs w:val="22"/>
              </w:rPr>
              <w:t>⑥</w:t>
            </w:r>
            <w:r>
              <w:rPr>
                <w:rFonts w:ascii="Times New Roman" w:cs="Times New Roman"/>
                <w:b/>
                <w:bCs/>
                <w:snapToGrid w:val="0"/>
                <w:spacing w:val="-16"/>
                <w:kern w:val="21"/>
                <w:sz w:val="22"/>
                <w:szCs w:val="22"/>
              </w:rPr>
              <w:fldChar w:fldCharType="end"/>
            </w:r>
          </w:p>
        </w:tc>
        <w:tc>
          <w:tcPr>
            <w:tcW w:w="1179" w:type="dxa"/>
            <w:tcMar>
              <w:left w:w="28" w:type="dxa"/>
              <w:right w:w="28" w:type="dxa"/>
            </w:tcMar>
            <w:vAlign w:val="center"/>
          </w:tcPr>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t>变化量</w:t>
            </w:r>
          </w:p>
          <w:p>
            <w:pPr>
              <w:pStyle w:val="44"/>
              <w:spacing w:beforeLines="0" w:afterLines="0" w:line="240" w:lineRule="auto"/>
              <w:rPr>
                <w:rFonts w:ascii="Times New Roman" w:cs="Times New Roman"/>
                <w:b/>
                <w:bCs/>
                <w:snapToGrid w:val="0"/>
                <w:spacing w:val="-6"/>
                <w:kern w:val="21"/>
                <w:sz w:val="22"/>
                <w:szCs w:val="22"/>
              </w:rPr>
            </w:pPr>
            <w:r>
              <w:rPr>
                <w:rFonts w:ascii="Times New Roman" w:cs="Times New Roman"/>
                <w:b/>
                <w:bCs/>
                <w:snapToGrid w:val="0"/>
                <w:spacing w:val="-6"/>
                <w:kern w:val="21"/>
                <w:sz w:val="22"/>
                <w:szCs w:val="22"/>
              </w:rPr>
              <w:fldChar w:fldCharType="begin"/>
            </w:r>
            <w:r>
              <w:rPr>
                <w:rFonts w:ascii="Times New Roman" w:cs="Times New Roman"/>
                <w:b/>
                <w:bCs/>
                <w:snapToGrid w:val="0"/>
                <w:spacing w:val="-6"/>
                <w:kern w:val="21"/>
                <w:sz w:val="22"/>
                <w:szCs w:val="22"/>
              </w:rPr>
              <w:instrText xml:space="preserve"> = 7 \* GB3 \* MERGEFORMAT </w:instrText>
            </w:r>
            <w:r>
              <w:rPr>
                <w:rFonts w:ascii="Times New Roman" w:cs="Times New Roman"/>
                <w:b/>
                <w:bCs/>
                <w:snapToGrid w:val="0"/>
                <w:spacing w:val="-6"/>
                <w:kern w:val="21"/>
                <w:sz w:val="22"/>
                <w:szCs w:val="22"/>
              </w:rPr>
              <w:fldChar w:fldCharType="separate"/>
            </w:r>
            <w:r>
              <w:rPr>
                <w:rFonts w:hint="eastAsia" w:hAnsi="宋体" w:eastAsia="宋体" w:cs="宋体"/>
                <w:b/>
                <w:bCs/>
                <w:kern w:val="2"/>
                <w:sz w:val="22"/>
                <w:szCs w:val="22"/>
              </w:rPr>
              <w:t>⑦</w:t>
            </w:r>
            <w:r>
              <w:rPr>
                <w:rFonts w:ascii="Times New Roman" w:cs="Times New Roman"/>
                <w:b/>
                <w:bCs/>
                <w:snapToGrid w:val="0"/>
                <w:spacing w:val="-6"/>
                <w:kern w:val="21"/>
                <w:sz w:val="22"/>
                <w:szCs w:val="22"/>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restart"/>
            <w:vAlign w:val="center"/>
          </w:tcPr>
          <w:p>
            <w:pPr>
              <w:pStyle w:val="44"/>
              <w:spacing w:beforeLines="0" w:afterLines="0" w:line="240" w:lineRule="auto"/>
              <w:rPr>
                <w:rFonts w:ascii="Times New Roman" w:cs="Times New Roman"/>
                <w:b/>
                <w:bCs/>
                <w:snapToGrid w:val="0"/>
                <w:kern w:val="21"/>
                <w:sz w:val="22"/>
                <w:szCs w:val="22"/>
              </w:rPr>
            </w:pPr>
            <w:r>
              <w:rPr>
                <w:rFonts w:ascii="Times New Roman" w:cs="Times New Roman"/>
                <w:b/>
                <w:bCs/>
                <w:snapToGrid w:val="0"/>
                <w:kern w:val="21"/>
                <w:sz w:val="22"/>
                <w:szCs w:val="22"/>
              </w:rPr>
              <w:t>废气</w:t>
            </w:r>
          </w:p>
        </w:tc>
        <w:tc>
          <w:tcPr>
            <w:tcW w:w="3475" w:type="dxa"/>
            <w:vAlign w:val="center"/>
          </w:tcPr>
          <w:p>
            <w:pPr>
              <w:pStyle w:val="36"/>
              <w:jc w:val="center"/>
              <w:rPr>
                <w:rFonts w:ascii="Times New Roman" w:cs="Times New Roman"/>
                <w:color w:val="auto"/>
              </w:rPr>
            </w:pPr>
            <w:r>
              <w:rPr>
                <w:rFonts w:ascii="Times New Roman" w:cs="Times New Roman"/>
                <w:color w:val="auto"/>
              </w:rPr>
              <w:t>颗粒物</w:t>
            </w:r>
          </w:p>
        </w:tc>
        <w:tc>
          <w:tcPr>
            <w:tcW w:w="1597" w:type="dxa"/>
            <w:vAlign w:val="center"/>
          </w:tcPr>
          <w:p>
            <w:pPr>
              <w:pStyle w:val="36"/>
              <w:jc w:val="center"/>
              <w:rPr>
                <w:rFonts w:ascii="Times New Roman" w:cs="Times New Roman"/>
                <w:color w:val="auto"/>
                <w:kern w:val="2"/>
              </w:rPr>
            </w:pPr>
            <w:r>
              <w:rPr>
                <w:rFonts w:ascii="Times New Roman" w:cs="Times New Roman"/>
                <w:color w:val="auto"/>
                <w:kern w:val="2"/>
              </w:rPr>
              <w:t>0.164t/a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kern w:val="2"/>
              </w:rPr>
            </w:pPr>
          </w:p>
        </w:tc>
        <w:tc>
          <w:tcPr>
            <w:tcW w:w="1400" w:type="dxa"/>
            <w:vAlign w:val="center"/>
          </w:tcPr>
          <w:p>
            <w:pPr>
              <w:widowControl/>
              <w:spacing w:line="240" w:lineRule="auto"/>
              <w:jc w:val="center"/>
              <w:textAlignment w:val="center"/>
              <w:rPr>
                <w:rFonts w:cs="Times New Roman"/>
                <w:kern w:val="0"/>
                <w:lang w:bidi="ar"/>
              </w:rPr>
            </w:pPr>
            <w:r>
              <w:rPr>
                <w:rFonts w:cs="Times New Roman"/>
                <w:kern w:val="0"/>
                <w:lang w:bidi="ar"/>
              </w:rPr>
              <w:t>0.058</w:t>
            </w:r>
            <w:r>
              <w:rPr>
                <w:rFonts w:cs="Times New Roman"/>
              </w:rPr>
              <w:t xml:space="preserve"> t/a</w:t>
            </w:r>
          </w:p>
        </w:tc>
        <w:tc>
          <w:tcPr>
            <w:tcW w:w="1417" w:type="dxa"/>
            <w:vAlign w:val="center"/>
          </w:tcPr>
          <w:p>
            <w:pPr>
              <w:pStyle w:val="36"/>
              <w:jc w:val="center"/>
              <w:rPr>
                <w:rFonts w:ascii="Times New Roman" w:cs="Times New Roman"/>
                <w:color w:val="auto"/>
                <w:kern w:val="2"/>
              </w:rPr>
            </w:pPr>
            <w:r>
              <w:rPr>
                <w:rFonts w:ascii="Times New Roman" w:cs="Times New Roman"/>
                <w:color w:val="auto"/>
                <w:kern w:val="2"/>
              </w:rPr>
              <w:t>0</w:t>
            </w:r>
          </w:p>
        </w:tc>
        <w:tc>
          <w:tcPr>
            <w:tcW w:w="1575" w:type="dxa"/>
            <w:vAlign w:val="center"/>
          </w:tcPr>
          <w:p>
            <w:pPr>
              <w:widowControl/>
              <w:spacing w:line="240" w:lineRule="auto"/>
              <w:jc w:val="center"/>
              <w:rPr>
                <w:rFonts w:cs="Times New Roman"/>
                <w:szCs w:val="24"/>
              </w:rPr>
            </w:pPr>
            <w:r>
              <w:rPr>
                <w:rFonts w:cs="Times New Roman"/>
                <w:szCs w:val="24"/>
              </w:rPr>
              <w:t>0.714</w:t>
            </w:r>
            <w:r>
              <w:rPr>
                <w:rFonts w:cs="Times New Roman"/>
              </w:rPr>
              <w:t>t/a</w:t>
            </w:r>
          </w:p>
        </w:tc>
        <w:tc>
          <w:tcPr>
            <w:tcW w:w="1179" w:type="dxa"/>
            <w:vAlign w:val="center"/>
          </w:tcPr>
          <w:p>
            <w:pPr>
              <w:widowControl/>
              <w:spacing w:line="276" w:lineRule="auto"/>
              <w:jc w:val="center"/>
              <w:textAlignment w:val="center"/>
              <w:rPr>
                <w:rFonts w:cs="Times New Roman"/>
                <w:kern w:val="0"/>
                <w:lang w:bidi="ar"/>
              </w:rPr>
            </w:pPr>
            <w:r>
              <w:rPr>
                <w:rFonts w:cs="Times New Roman"/>
                <w:kern w:val="0"/>
                <w:lang w:bidi="ar"/>
              </w:rPr>
              <w:t>+0.058</w:t>
            </w:r>
            <w:r>
              <w:rPr>
                <w:rFonts w:cs="Times New Roma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pStyle w:val="36"/>
              <w:jc w:val="center"/>
              <w:rPr>
                <w:rFonts w:ascii="Times New Roman" w:cs="Times New Roman"/>
                <w:color w:val="auto"/>
              </w:rPr>
            </w:pPr>
            <w:r>
              <w:rPr>
                <w:rFonts w:ascii="Times New Roman" w:cs="Times New Roman"/>
                <w:color w:val="auto"/>
              </w:rPr>
              <w:t>二氧化硫</w:t>
            </w:r>
          </w:p>
        </w:tc>
        <w:tc>
          <w:tcPr>
            <w:tcW w:w="1597" w:type="dxa"/>
            <w:vAlign w:val="center"/>
          </w:tcPr>
          <w:p>
            <w:pPr>
              <w:pStyle w:val="36"/>
              <w:jc w:val="center"/>
              <w:rPr>
                <w:rFonts w:ascii="Times New Roman" w:cs="Times New Roman"/>
                <w:color w:val="auto"/>
                <w:kern w:val="2"/>
              </w:rPr>
            </w:pPr>
            <w:r>
              <w:rPr>
                <w:rFonts w:ascii="Times New Roman" w:cs="Times New Roman"/>
                <w:color w:val="auto"/>
                <w:kern w:val="2"/>
              </w:rPr>
              <w:t>0.05t/a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kern w:val="2"/>
              </w:rPr>
            </w:pPr>
          </w:p>
        </w:tc>
        <w:tc>
          <w:tcPr>
            <w:tcW w:w="1400" w:type="dxa"/>
            <w:vAlign w:val="center"/>
          </w:tcPr>
          <w:p>
            <w:pPr>
              <w:widowControl/>
              <w:spacing w:line="240" w:lineRule="auto"/>
              <w:jc w:val="center"/>
              <w:textAlignment w:val="center"/>
              <w:rPr>
                <w:rFonts w:cs="Times New Roman"/>
                <w:kern w:val="0"/>
                <w:lang w:bidi="ar"/>
              </w:rPr>
            </w:pPr>
            <w:r>
              <w:rPr>
                <w:rFonts w:cs="Times New Roman"/>
                <w:kern w:val="0"/>
                <w:lang w:bidi="ar"/>
              </w:rPr>
              <w:t>0</w:t>
            </w:r>
          </w:p>
        </w:tc>
        <w:tc>
          <w:tcPr>
            <w:tcW w:w="1417" w:type="dxa"/>
            <w:vAlign w:val="center"/>
          </w:tcPr>
          <w:p>
            <w:pPr>
              <w:pStyle w:val="36"/>
              <w:jc w:val="center"/>
              <w:rPr>
                <w:rFonts w:ascii="Times New Roman" w:cs="Times New Roman"/>
                <w:color w:val="auto"/>
                <w:kern w:val="2"/>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0.05</w:t>
            </w:r>
            <w:r>
              <w:rPr>
                <w:rFonts w:cs="Times New Roman"/>
              </w:rPr>
              <w:t>t/a</w:t>
            </w:r>
          </w:p>
        </w:tc>
        <w:tc>
          <w:tcPr>
            <w:tcW w:w="1179" w:type="dxa"/>
            <w:vAlign w:val="center"/>
          </w:tcPr>
          <w:p>
            <w:pPr>
              <w:widowControl/>
              <w:spacing w:line="276" w:lineRule="auto"/>
              <w:jc w:val="center"/>
              <w:textAlignment w:val="center"/>
              <w:rPr>
                <w:rFonts w:cs="Times New Roman"/>
                <w:kern w:val="0"/>
                <w:lang w:bidi="ar"/>
              </w:rPr>
            </w:pPr>
            <w:r>
              <w:rPr>
                <w:rFonts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pStyle w:val="36"/>
              <w:jc w:val="center"/>
              <w:rPr>
                <w:rFonts w:ascii="Times New Roman" w:cs="Times New Roman"/>
                <w:color w:val="auto"/>
              </w:rPr>
            </w:pPr>
            <w:r>
              <w:rPr>
                <w:rFonts w:ascii="Times New Roman" w:cs="Times New Roman"/>
                <w:color w:val="auto"/>
              </w:rPr>
              <w:t>氮氧化物</w:t>
            </w:r>
          </w:p>
        </w:tc>
        <w:tc>
          <w:tcPr>
            <w:tcW w:w="1597" w:type="dxa"/>
            <w:vAlign w:val="center"/>
          </w:tcPr>
          <w:p>
            <w:pPr>
              <w:pStyle w:val="36"/>
              <w:jc w:val="center"/>
              <w:rPr>
                <w:rFonts w:ascii="Times New Roman" w:cs="Times New Roman"/>
                <w:color w:val="auto"/>
                <w:kern w:val="2"/>
              </w:rPr>
            </w:pPr>
            <w:r>
              <w:rPr>
                <w:rFonts w:ascii="Times New Roman" w:cs="Times New Roman"/>
                <w:color w:val="auto"/>
                <w:kern w:val="2"/>
              </w:rPr>
              <w:t>1.64t/a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kern w:val="2"/>
              </w:rPr>
            </w:pPr>
          </w:p>
        </w:tc>
        <w:tc>
          <w:tcPr>
            <w:tcW w:w="1400" w:type="dxa"/>
            <w:vAlign w:val="center"/>
          </w:tcPr>
          <w:p>
            <w:pPr>
              <w:widowControl/>
              <w:spacing w:line="240" w:lineRule="auto"/>
              <w:jc w:val="center"/>
              <w:textAlignment w:val="center"/>
              <w:rPr>
                <w:rFonts w:cs="Times New Roman"/>
                <w:kern w:val="0"/>
                <w:lang w:bidi="ar"/>
              </w:rPr>
            </w:pPr>
            <w:r>
              <w:rPr>
                <w:rFonts w:cs="Times New Roman"/>
                <w:kern w:val="0"/>
                <w:lang w:bidi="ar"/>
              </w:rPr>
              <w:t>0</w:t>
            </w:r>
          </w:p>
        </w:tc>
        <w:tc>
          <w:tcPr>
            <w:tcW w:w="1417" w:type="dxa"/>
            <w:vAlign w:val="center"/>
          </w:tcPr>
          <w:p>
            <w:pPr>
              <w:pStyle w:val="36"/>
              <w:jc w:val="center"/>
              <w:rPr>
                <w:rFonts w:ascii="Times New Roman" w:cs="Times New Roman"/>
                <w:color w:val="auto"/>
                <w:kern w:val="2"/>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1.64</w:t>
            </w:r>
            <w:r>
              <w:rPr>
                <w:rFonts w:cs="Times New Roman"/>
              </w:rPr>
              <w:t>t/a</w:t>
            </w:r>
          </w:p>
        </w:tc>
        <w:tc>
          <w:tcPr>
            <w:tcW w:w="1179" w:type="dxa"/>
            <w:vAlign w:val="center"/>
          </w:tcPr>
          <w:p>
            <w:pPr>
              <w:widowControl/>
              <w:spacing w:line="276" w:lineRule="auto"/>
              <w:jc w:val="center"/>
              <w:textAlignment w:val="center"/>
              <w:rPr>
                <w:rFonts w:cs="Times New Roman"/>
                <w:kern w:val="0"/>
                <w:lang w:bidi="ar"/>
              </w:rPr>
            </w:pPr>
            <w:r>
              <w:rPr>
                <w:rFonts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spacing w:line="240" w:lineRule="auto"/>
              <w:jc w:val="center"/>
              <w:rPr>
                <w:rFonts w:cs="Times New Roman"/>
              </w:rPr>
            </w:pPr>
            <w:r>
              <w:rPr>
                <w:rFonts w:cs="Times New Roman"/>
              </w:rPr>
              <w:t>沥青烟</w:t>
            </w:r>
          </w:p>
        </w:tc>
        <w:tc>
          <w:tcPr>
            <w:tcW w:w="1597" w:type="dxa"/>
            <w:vAlign w:val="center"/>
          </w:tcPr>
          <w:p>
            <w:pPr>
              <w:spacing w:line="240" w:lineRule="auto"/>
              <w:jc w:val="center"/>
              <w:rPr>
                <w:rFonts w:cs="Times New Roman"/>
              </w:rPr>
            </w:pPr>
            <w:r>
              <w:rPr>
                <w:rFonts w:cs="Times New Roman"/>
              </w:rPr>
              <w:t>0.107t/a</w:t>
            </w:r>
          </w:p>
        </w:tc>
        <w:tc>
          <w:tcPr>
            <w:tcW w:w="1167" w:type="dxa"/>
            <w:vAlign w:val="center"/>
          </w:tcPr>
          <w:p>
            <w:pPr>
              <w:spacing w:line="240" w:lineRule="auto"/>
              <w:jc w:val="center"/>
              <w:rPr>
                <w:rFonts w:cs="Times New Roman"/>
              </w:rPr>
            </w:pPr>
          </w:p>
        </w:tc>
        <w:tc>
          <w:tcPr>
            <w:tcW w:w="1459" w:type="dxa"/>
            <w:vAlign w:val="center"/>
          </w:tcPr>
          <w:p>
            <w:pPr>
              <w:spacing w:line="240" w:lineRule="auto"/>
              <w:jc w:val="center"/>
              <w:rPr>
                <w:rFonts w:cs="Times New Roman"/>
              </w:rPr>
            </w:pPr>
          </w:p>
        </w:tc>
        <w:tc>
          <w:tcPr>
            <w:tcW w:w="1400" w:type="dxa"/>
            <w:vAlign w:val="center"/>
          </w:tcPr>
          <w:p>
            <w:pPr>
              <w:spacing w:line="240" w:lineRule="auto"/>
              <w:jc w:val="center"/>
              <w:rPr>
                <w:rFonts w:cs="Times New Roman"/>
                <w:kern w:val="0"/>
                <w:lang w:bidi="ar"/>
              </w:rPr>
            </w:pPr>
            <w:r>
              <w:rPr>
                <w:rFonts w:cs="Times New Roman"/>
                <w:kern w:val="0"/>
                <w:lang w:bidi="ar"/>
              </w:rPr>
              <w:t>0.0092</w:t>
            </w:r>
            <w:r>
              <w:rPr>
                <w:rFonts w:cs="Times New Roman"/>
              </w:rPr>
              <w:t>t/a</w:t>
            </w:r>
          </w:p>
        </w:tc>
        <w:tc>
          <w:tcPr>
            <w:tcW w:w="1417" w:type="dxa"/>
            <w:vAlign w:val="center"/>
          </w:tcPr>
          <w:p>
            <w:pPr>
              <w:spacing w:line="240" w:lineRule="auto"/>
              <w:jc w:val="center"/>
              <w:rPr>
                <w:rFonts w:cs="Times New Roman"/>
                <w:kern w:val="0"/>
                <w:lang w:bidi="ar"/>
              </w:rPr>
            </w:pPr>
            <w:r>
              <w:rPr>
                <w:rFonts w:cs="Times New Roman"/>
                <w:kern w:val="0"/>
                <w:lang w:bidi="ar"/>
              </w:rPr>
              <w:t>0.0092</w:t>
            </w:r>
            <w:r>
              <w:rPr>
                <w:rFonts w:cs="Times New Roman"/>
              </w:rPr>
              <w:t xml:space="preserve"> t/a</w:t>
            </w:r>
          </w:p>
        </w:tc>
        <w:tc>
          <w:tcPr>
            <w:tcW w:w="1575" w:type="dxa"/>
            <w:vAlign w:val="center"/>
          </w:tcPr>
          <w:p>
            <w:pPr>
              <w:spacing w:line="240" w:lineRule="auto"/>
              <w:jc w:val="center"/>
              <w:rPr>
                <w:rFonts w:cs="Times New Roman"/>
                <w:szCs w:val="24"/>
              </w:rPr>
            </w:pPr>
            <w:r>
              <w:rPr>
                <w:rFonts w:cs="Times New Roman"/>
                <w:szCs w:val="24"/>
              </w:rPr>
              <w:t>0.107</w:t>
            </w:r>
            <w:r>
              <w:rPr>
                <w:rFonts w:cs="Times New Roman"/>
              </w:rPr>
              <w:t>t/a</w:t>
            </w:r>
          </w:p>
        </w:tc>
        <w:tc>
          <w:tcPr>
            <w:tcW w:w="1179" w:type="dxa"/>
            <w:vAlign w:val="center"/>
          </w:tcPr>
          <w:p>
            <w:pPr>
              <w:spacing w:line="276" w:lineRule="auto"/>
              <w:jc w:val="center"/>
              <w:rPr>
                <w:rFonts w:cs="Times New Roman"/>
                <w:kern w:val="0"/>
                <w:lang w:bidi="ar"/>
              </w:rPr>
            </w:pPr>
            <w:r>
              <w:rPr>
                <w:rFonts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spacing w:line="240" w:lineRule="auto"/>
              <w:jc w:val="center"/>
              <w:rPr>
                <w:rFonts w:cs="Times New Roman"/>
              </w:rPr>
            </w:pPr>
            <w:r>
              <w:rPr>
                <w:rFonts w:cs="Times New Roman"/>
              </w:rPr>
              <w:t>苯并[a]芘</w:t>
            </w:r>
          </w:p>
        </w:tc>
        <w:tc>
          <w:tcPr>
            <w:tcW w:w="1597" w:type="dxa"/>
            <w:vAlign w:val="center"/>
          </w:tcPr>
          <w:p>
            <w:pPr>
              <w:spacing w:line="240" w:lineRule="auto"/>
              <w:jc w:val="center"/>
              <w:rPr>
                <w:rFonts w:cs="Times New Roman"/>
              </w:rPr>
            </w:pPr>
            <w:r>
              <w:rPr>
                <w:rFonts w:cs="Times New Roman"/>
                <w:szCs w:val="24"/>
              </w:rPr>
              <w:t>1.81×10</w:t>
            </w:r>
            <w:r>
              <w:rPr>
                <w:rFonts w:cs="Times New Roman"/>
                <w:szCs w:val="24"/>
                <w:vertAlign w:val="superscript"/>
              </w:rPr>
              <w:t>-6</w:t>
            </w:r>
            <w:r>
              <w:rPr>
                <w:rFonts w:cs="Times New Roman"/>
                <w:szCs w:val="24"/>
              </w:rPr>
              <w:t>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spacing w:line="240" w:lineRule="auto"/>
              <w:jc w:val="center"/>
              <w:rPr>
                <w:rFonts w:cs="Times New Roman"/>
              </w:rPr>
            </w:pPr>
            <w:r>
              <w:rPr>
                <w:rFonts w:cs="Times New Roman"/>
                <w:szCs w:val="24"/>
              </w:rPr>
              <w:t>1.17×10</w:t>
            </w:r>
            <w:r>
              <w:rPr>
                <w:rFonts w:cs="Times New Roman"/>
                <w:szCs w:val="24"/>
                <w:vertAlign w:val="superscript"/>
              </w:rPr>
              <w:t>-7</w:t>
            </w:r>
            <w:r>
              <w:rPr>
                <w:rFonts w:cs="Times New Roman"/>
              </w:rPr>
              <w:t>t/a</w:t>
            </w:r>
          </w:p>
        </w:tc>
        <w:tc>
          <w:tcPr>
            <w:tcW w:w="1417" w:type="dxa"/>
            <w:vAlign w:val="center"/>
          </w:tcPr>
          <w:p>
            <w:pPr>
              <w:spacing w:line="240" w:lineRule="auto"/>
              <w:rPr>
                <w:rFonts w:cs="Times New Roman"/>
              </w:rPr>
            </w:pPr>
            <w:r>
              <w:rPr>
                <w:rFonts w:cs="Times New Roman"/>
                <w:szCs w:val="24"/>
              </w:rPr>
              <w:t>1.17×10</w:t>
            </w:r>
            <w:r>
              <w:rPr>
                <w:rFonts w:cs="Times New Roman"/>
                <w:szCs w:val="24"/>
                <w:vertAlign w:val="superscript"/>
              </w:rPr>
              <w:t>-7</w:t>
            </w:r>
            <w:r>
              <w:rPr>
                <w:rFonts w:cs="Times New Roman"/>
              </w:rPr>
              <w:t>t/a</w:t>
            </w:r>
          </w:p>
        </w:tc>
        <w:tc>
          <w:tcPr>
            <w:tcW w:w="1575" w:type="dxa"/>
            <w:vAlign w:val="center"/>
          </w:tcPr>
          <w:p>
            <w:pPr>
              <w:widowControl/>
              <w:spacing w:line="240" w:lineRule="auto"/>
              <w:jc w:val="center"/>
              <w:rPr>
                <w:rFonts w:cs="Times New Roman"/>
                <w:szCs w:val="24"/>
              </w:rPr>
            </w:pPr>
            <w:r>
              <w:rPr>
                <w:rFonts w:cs="Times New Roman"/>
                <w:szCs w:val="24"/>
              </w:rPr>
              <w:t>1.81×10</w:t>
            </w:r>
            <w:r>
              <w:rPr>
                <w:rFonts w:cs="Times New Roman"/>
                <w:szCs w:val="24"/>
                <w:vertAlign w:val="superscript"/>
              </w:rPr>
              <w:t>-6</w:t>
            </w:r>
            <w:r>
              <w:rPr>
                <w:rFonts w:cs="Times New Roman"/>
                <w:szCs w:val="24"/>
              </w:rPr>
              <w:t>t/a</w:t>
            </w:r>
          </w:p>
        </w:tc>
        <w:tc>
          <w:tcPr>
            <w:tcW w:w="1179" w:type="dxa"/>
            <w:vAlign w:val="center"/>
          </w:tcPr>
          <w:p>
            <w:pPr>
              <w:spacing w:line="276" w:lineRule="auto"/>
              <w:jc w:val="center"/>
              <w:rPr>
                <w:rFonts w:cs="Times New Roman"/>
              </w:rPr>
            </w:pPr>
            <w:r>
              <w:rPr>
                <w:rFonts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restart"/>
            <w:vAlign w:val="center"/>
          </w:tcPr>
          <w:p>
            <w:pPr>
              <w:pStyle w:val="44"/>
              <w:spacing w:beforeLines="0" w:afterLines="0" w:line="240" w:lineRule="auto"/>
              <w:rPr>
                <w:rFonts w:ascii="Times New Roman" w:cs="Times New Roman"/>
                <w:b/>
                <w:bCs/>
                <w:snapToGrid w:val="0"/>
                <w:kern w:val="21"/>
                <w:sz w:val="22"/>
                <w:szCs w:val="22"/>
              </w:rPr>
            </w:pPr>
            <w:r>
              <w:rPr>
                <w:rFonts w:ascii="Times New Roman" w:cs="Times New Roman"/>
                <w:b/>
                <w:bCs/>
                <w:snapToGrid w:val="0"/>
                <w:kern w:val="21"/>
                <w:sz w:val="22"/>
                <w:szCs w:val="22"/>
              </w:rPr>
              <w:t>废水</w:t>
            </w:r>
          </w:p>
        </w:tc>
        <w:tc>
          <w:tcPr>
            <w:tcW w:w="3475" w:type="dxa"/>
            <w:vAlign w:val="center"/>
          </w:tcPr>
          <w:p>
            <w:pPr>
              <w:pStyle w:val="36"/>
              <w:jc w:val="center"/>
              <w:rPr>
                <w:rFonts w:ascii="Times New Roman" w:cs="Times New Roman"/>
                <w:color w:val="auto"/>
              </w:rPr>
            </w:pPr>
            <w:r>
              <w:rPr>
                <w:rFonts w:ascii="Times New Roman" w:cs="Times New Roman"/>
                <w:color w:val="auto"/>
              </w:rPr>
              <w:t>生活污水</w:t>
            </w:r>
          </w:p>
        </w:tc>
        <w:tc>
          <w:tcPr>
            <w:tcW w:w="1597" w:type="dxa"/>
            <w:vAlign w:val="center"/>
          </w:tcPr>
          <w:p>
            <w:pPr>
              <w:pStyle w:val="36"/>
              <w:jc w:val="center"/>
              <w:rPr>
                <w:rFonts w:ascii="Times New Roman" w:cs="Times New Roman"/>
                <w:color w:val="auto"/>
              </w:rPr>
            </w:pPr>
            <w:r>
              <w:rPr>
                <w:rFonts w:ascii="Times New Roman" w:cs="Times New Roman"/>
                <w:color w:val="auto"/>
              </w:rPr>
              <w:t>0</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0</w:t>
            </w:r>
            <w:r>
              <w:rPr>
                <w:rFonts w:ascii="Times New Roman" w:cs="Times New Roman"/>
                <w:color w:val="auto"/>
                <w:kern w:val="2"/>
              </w:rPr>
              <w:t xml:space="preserve"> </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0</w:t>
            </w:r>
          </w:p>
        </w:tc>
        <w:tc>
          <w:tcPr>
            <w:tcW w:w="1179" w:type="dxa"/>
            <w:vAlign w:val="center"/>
          </w:tcPr>
          <w:p>
            <w:pPr>
              <w:pStyle w:val="36"/>
              <w:spacing w:line="276" w:lineRule="auto"/>
              <w:jc w:val="center"/>
              <w:rPr>
                <w:rFonts w:ascii="Times New Roman" w:cs="Times New Roman"/>
                <w:color w:val="auto"/>
              </w:rPr>
            </w:pPr>
            <w:r>
              <w:rPr>
                <w:rFonts w:ascii="Times New Roman" w:cs="Times New Roman"/>
                <w:color w:val="auto"/>
                <w:kern w:val="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pStyle w:val="36"/>
              <w:jc w:val="center"/>
              <w:rPr>
                <w:rFonts w:ascii="Times New Roman" w:cs="Times New Roman"/>
                <w:color w:val="auto"/>
              </w:rPr>
            </w:pPr>
            <w:r>
              <w:rPr>
                <w:rFonts w:ascii="Times New Roman" w:cs="Times New Roman"/>
                <w:color w:val="auto"/>
              </w:rPr>
              <w:t>SS（车辆冲洗废水）</w:t>
            </w:r>
          </w:p>
        </w:tc>
        <w:tc>
          <w:tcPr>
            <w:tcW w:w="1597" w:type="dxa"/>
            <w:vAlign w:val="center"/>
          </w:tcPr>
          <w:p>
            <w:pPr>
              <w:pStyle w:val="36"/>
              <w:jc w:val="center"/>
              <w:rPr>
                <w:rFonts w:ascii="Times New Roman" w:cs="Times New Roman"/>
                <w:color w:val="auto"/>
              </w:rPr>
            </w:pPr>
            <w:r>
              <w:rPr>
                <w:rFonts w:ascii="Times New Roman" w:cs="Times New Roman"/>
                <w:color w:val="auto"/>
              </w:rPr>
              <w:t>0</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0</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0</w:t>
            </w:r>
          </w:p>
        </w:tc>
        <w:tc>
          <w:tcPr>
            <w:tcW w:w="1179" w:type="dxa"/>
            <w:vAlign w:val="center"/>
          </w:tcPr>
          <w:p>
            <w:pPr>
              <w:pStyle w:val="36"/>
              <w:spacing w:line="276" w:lineRule="auto"/>
              <w:jc w:val="center"/>
              <w:rPr>
                <w:rFonts w:ascii="Times New Roman" w:cs="Times New Roman"/>
                <w:color w:val="auto"/>
              </w:rPr>
            </w:pPr>
            <w:r>
              <w:rPr>
                <w:rFonts w:ascii="Times New Roman" w:cs="Times New Roman"/>
                <w:color w:val="auto"/>
                <w:kern w:val="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Align w:val="center"/>
          </w:tcPr>
          <w:p>
            <w:pPr>
              <w:pStyle w:val="44"/>
              <w:spacing w:beforeLines="0" w:afterLines="0" w:line="240" w:lineRule="auto"/>
              <w:rPr>
                <w:rFonts w:ascii="Times New Roman" w:cs="Times New Roman"/>
                <w:b/>
                <w:bCs/>
                <w:snapToGrid w:val="0"/>
                <w:kern w:val="21"/>
                <w:sz w:val="22"/>
                <w:szCs w:val="22"/>
              </w:rPr>
            </w:pPr>
            <w:r>
              <w:rPr>
                <w:rFonts w:ascii="Times New Roman" w:cs="Times New Roman"/>
                <w:b/>
                <w:bCs/>
                <w:snapToGrid w:val="0"/>
                <w:kern w:val="21"/>
                <w:sz w:val="22"/>
                <w:szCs w:val="22"/>
              </w:rPr>
              <w:t>生活垃圾</w:t>
            </w:r>
          </w:p>
        </w:tc>
        <w:tc>
          <w:tcPr>
            <w:tcW w:w="3475" w:type="dxa"/>
            <w:vAlign w:val="center"/>
          </w:tcPr>
          <w:p>
            <w:pPr>
              <w:pStyle w:val="36"/>
              <w:jc w:val="center"/>
              <w:rPr>
                <w:rFonts w:ascii="Times New Roman" w:cs="Times New Roman"/>
                <w:color w:val="auto"/>
              </w:rPr>
            </w:pPr>
            <w:r>
              <w:rPr>
                <w:rFonts w:ascii="Times New Roman" w:cs="Times New Roman"/>
                <w:color w:val="auto"/>
              </w:rPr>
              <w:t>生活垃圾</w:t>
            </w:r>
          </w:p>
        </w:tc>
        <w:tc>
          <w:tcPr>
            <w:tcW w:w="1597" w:type="dxa"/>
            <w:vAlign w:val="center"/>
          </w:tcPr>
          <w:p>
            <w:pPr>
              <w:pStyle w:val="36"/>
              <w:jc w:val="center"/>
              <w:rPr>
                <w:rFonts w:ascii="Times New Roman" w:cs="Times New Roman"/>
                <w:color w:val="auto"/>
              </w:rPr>
            </w:pPr>
            <w:r>
              <w:rPr>
                <w:rFonts w:ascii="Times New Roman" w:cs="Times New Roman"/>
                <w:color w:val="auto"/>
              </w:rPr>
              <w:t>1.6t/a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0</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1.6</w:t>
            </w:r>
            <w:r>
              <w:rPr>
                <w:rFonts w:cs="Times New Roman"/>
              </w:rPr>
              <w:t>t/a</w:t>
            </w:r>
          </w:p>
        </w:tc>
        <w:tc>
          <w:tcPr>
            <w:tcW w:w="1179" w:type="dxa"/>
            <w:vAlign w:val="center"/>
          </w:tcPr>
          <w:p>
            <w:pPr>
              <w:pStyle w:val="36"/>
              <w:spacing w:line="276" w:lineRule="auto"/>
              <w:jc w:val="center"/>
              <w:rPr>
                <w:rFonts w:ascii="Times New Roman" w:cs="Times New Roman"/>
                <w:color w:val="auto"/>
              </w:rPr>
            </w:pPr>
            <w:r>
              <w:rPr>
                <w:rFonts w:ascii="Times New Roman" w:cs="Times New Roman"/>
                <w:color w:val="auto"/>
                <w:kern w:val="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restart"/>
            <w:vAlign w:val="center"/>
          </w:tcPr>
          <w:p>
            <w:pPr>
              <w:pStyle w:val="44"/>
              <w:spacing w:beforeLines="0" w:afterLines="0" w:line="240" w:lineRule="auto"/>
              <w:rPr>
                <w:rFonts w:ascii="Times New Roman" w:cs="Times New Roman"/>
                <w:b/>
                <w:bCs/>
                <w:snapToGrid w:val="0"/>
                <w:kern w:val="21"/>
                <w:sz w:val="22"/>
                <w:szCs w:val="22"/>
              </w:rPr>
            </w:pPr>
            <w:r>
              <w:rPr>
                <w:rFonts w:ascii="Times New Roman" w:cs="Times New Roman"/>
                <w:b/>
                <w:bCs/>
                <w:snapToGrid w:val="0"/>
                <w:kern w:val="21"/>
                <w:sz w:val="22"/>
                <w:szCs w:val="22"/>
              </w:rPr>
              <w:t>一般工业</w:t>
            </w:r>
          </w:p>
          <w:p>
            <w:pPr>
              <w:pStyle w:val="44"/>
              <w:spacing w:beforeLines="0" w:afterLines="0" w:line="240" w:lineRule="auto"/>
              <w:rPr>
                <w:rFonts w:ascii="Times New Roman" w:cs="Times New Roman"/>
                <w:b/>
                <w:bCs/>
                <w:snapToGrid w:val="0"/>
                <w:kern w:val="21"/>
                <w:sz w:val="22"/>
                <w:szCs w:val="22"/>
              </w:rPr>
            </w:pPr>
            <w:r>
              <w:rPr>
                <w:rFonts w:ascii="Times New Roman" w:cs="Times New Roman"/>
                <w:b/>
                <w:bCs/>
                <w:snapToGrid w:val="0"/>
                <w:kern w:val="21"/>
                <w:sz w:val="22"/>
                <w:szCs w:val="22"/>
              </w:rPr>
              <w:t>固体废物</w:t>
            </w:r>
          </w:p>
        </w:tc>
        <w:tc>
          <w:tcPr>
            <w:tcW w:w="3475" w:type="dxa"/>
            <w:vAlign w:val="center"/>
          </w:tcPr>
          <w:p>
            <w:pPr>
              <w:spacing w:line="240" w:lineRule="auto"/>
              <w:jc w:val="center"/>
              <w:rPr>
                <w:rFonts w:cs="Times New Roman"/>
              </w:rPr>
            </w:pPr>
            <w:r>
              <w:rPr>
                <w:rFonts w:cs="Times New Roman"/>
              </w:rPr>
              <w:t>废石料</w:t>
            </w:r>
          </w:p>
        </w:tc>
        <w:tc>
          <w:tcPr>
            <w:tcW w:w="1597" w:type="dxa"/>
            <w:vAlign w:val="center"/>
          </w:tcPr>
          <w:p>
            <w:pPr>
              <w:pStyle w:val="36"/>
              <w:jc w:val="center"/>
              <w:rPr>
                <w:rFonts w:ascii="Times New Roman" w:cs="Times New Roman"/>
                <w:color w:val="auto"/>
              </w:rPr>
            </w:pPr>
            <w:r>
              <w:rPr>
                <w:rFonts w:ascii="Times New Roman" w:cs="Times New Roman"/>
                <w:color w:val="auto"/>
              </w:rPr>
              <w:t>120t/a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0</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widowControl/>
              <w:spacing w:line="240" w:lineRule="auto"/>
              <w:jc w:val="center"/>
              <w:rPr>
                <w:rFonts w:cs="Times New Roman"/>
                <w:szCs w:val="24"/>
              </w:rPr>
            </w:pPr>
            <w:r>
              <w:rPr>
                <w:rFonts w:cs="Times New Roman"/>
                <w:szCs w:val="24"/>
              </w:rPr>
              <w:t>120</w:t>
            </w:r>
            <w:r>
              <w:rPr>
                <w:rFonts w:cs="Times New Roman"/>
              </w:rPr>
              <w:t>t/a</w:t>
            </w:r>
          </w:p>
        </w:tc>
        <w:tc>
          <w:tcPr>
            <w:tcW w:w="1179" w:type="dxa"/>
            <w:vAlign w:val="center"/>
          </w:tcPr>
          <w:p>
            <w:pPr>
              <w:pStyle w:val="37"/>
              <w:kinsoku w:val="0"/>
              <w:overflowPunct w:val="0"/>
              <w:spacing w:line="276" w:lineRule="auto"/>
              <w:contextualSpacing/>
              <w:rPr>
                <w:rFonts w:ascii="Times New Roman" w:hAnsi="Times New Roman" w:cs="Times New Roman"/>
                <w:spacing w:val="-1"/>
                <w:szCs w:val="24"/>
              </w:rPr>
            </w:pPr>
            <w:r>
              <w:rPr>
                <w:rFonts w:ascii="Times New Roman" w:hAnsi="Times New Roman"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spacing w:line="240" w:lineRule="auto"/>
              <w:jc w:val="center"/>
              <w:rPr>
                <w:rFonts w:cs="Times New Roman"/>
              </w:rPr>
            </w:pPr>
            <w:r>
              <w:rPr>
                <w:rFonts w:cs="Times New Roman"/>
              </w:rPr>
              <w:t>废沥青</w:t>
            </w:r>
          </w:p>
        </w:tc>
        <w:tc>
          <w:tcPr>
            <w:tcW w:w="1597" w:type="dxa"/>
            <w:vAlign w:val="center"/>
          </w:tcPr>
          <w:p>
            <w:pPr>
              <w:pStyle w:val="36"/>
              <w:jc w:val="center"/>
              <w:rPr>
                <w:rFonts w:ascii="Times New Roman" w:cs="Times New Roman"/>
                <w:color w:val="auto"/>
              </w:rPr>
            </w:pPr>
            <w:r>
              <w:rPr>
                <w:rFonts w:ascii="Times New Roman" w:cs="Times New Roman"/>
                <w:color w:val="auto"/>
              </w:rPr>
              <w:t>0.6t/a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0</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0.6</w:t>
            </w:r>
            <w:r>
              <w:rPr>
                <w:rFonts w:cs="Times New Roman"/>
              </w:rPr>
              <w:t>t/a</w:t>
            </w:r>
          </w:p>
        </w:tc>
        <w:tc>
          <w:tcPr>
            <w:tcW w:w="1179" w:type="dxa"/>
            <w:vAlign w:val="center"/>
          </w:tcPr>
          <w:p>
            <w:pPr>
              <w:pStyle w:val="37"/>
              <w:kinsoku w:val="0"/>
              <w:overflowPunct w:val="0"/>
              <w:spacing w:line="276" w:lineRule="auto"/>
              <w:contextualSpacing/>
              <w:rPr>
                <w:rFonts w:ascii="Times New Roman" w:hAnsi="Times New Roman" w:cs="Times New Roman"/>
                <w:spacing w:val="-1"/>
                <w:szCs w:val="24"/>
              </w:rPr>
            </w:pPr>
            <w:r>
              <w:rPr>
                <w:rFonts w:ascii="Times New Roman" w:hAnsi="Times New Roman"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spacing w:line="240" w:lineRule="auto"/>
              <w:jc w:val="center"/>
              <w:rPr>
                <w:rFonts w:cs="Times New Roman"/>
              </w:rPr>
            </w:pPr>
            <w:r>
              <w:rPr>
                <w:rFonts w:cs="Times New Roman"/>
              </w:rPr>
              <w:t>除尘装置收集的粉尘</w:t>
            </w:r>
          </w:p>
        </w:tc>
        <w:tc>
          <w:tcPr>
            <w:tcW w:w="1597" w:type="dxa"/>
            <w:vAlign w:val="center"/>
          </w:tcPr>
          <w:p>
            <w:pPr>
              <w:pStyle w:val="36"/>
              <w:jc w:val="center"/>
              <w:rPr>
                <w:rFonts w:ascii="Times New Roman" w:cs="Times New Roman"/>
                <w:color w:val="auto"/>
              </w:rPr>
            </w:pPr>
            <w:r>
              <w:rPr>
                <w:rFonts w:ascii="Times New Roman" w:cs="Times New Roman"/>
                <w:color w:val="auto"/>
              </w:rPr>
              <w:t>95t/a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98.3</w:t>
            </w:r>
            <w:r>
              <w:rPr>
                <w:rFonts w:ascii="Times New Roman" w:cs="Times New Roman"/>
                <w:color w:val="auto"/>
                <w:kern w:val="2"/>
              </w:rPr>
              <w:t xml:space="preserve"> t/a</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193.3</w:t>
            </w:r>
            <w:r>
              <w:rPr>
                <w:rFonts w:cs="Times New Roman"/>
              </w:rPr>
              <w:t>t/a</w:t>
            </w:r>
          </w:p>
        </w:tc>
        <w:tc>
          <w:tcPr>
            <w:tcW w:w="1179" w:type="dxa"/>
            <w:vAlign w:val="center"/>
          </w:tcPr>
          <w:p>
            <w:pPr>
              <w:pStyle w:val="37"/>
              <w:kinsoku w:val="0"/>
              <w:overflowPunct w:val="0"/>
              <w:spacing w:line="276" w:lineRule="auto"/>
              <w:contextualSpacing/>
              <w:rPr>
                <w:rFonts w:ascii="Times New Roman" w:hAnsi="Times New Roman" w:cs="Times New Roman"/>
                <w:spacing w:val="-1"/>
                <w:szCs w:val="24"/>
              </w:rPr>
            </w:pPr>
            <w:r>
              <w:rPr>
                <w:rFonts w:ascii="Times New Roman" w:hAnsi="Times New Roman" w:cs="Times New Roman"/>
              </w:rPr>
              <w:t>+98.3t/a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b/>
                <w:bCs/>
                <w:snapToGrid w:val="0"/>
                <w:kern w:val="21"/>
                <w:sz w:val="22"/>
                <w:szCs w:val="22"/>
              </w:rPr>
            </w:pPr>
          </w:p>
        </w:tc>
        <w:tc>
          <w:tcPr>
            <w:tcW w:w="3475" w:type="dxa"/>
            <w:vAlign w:val="center"/>
          </w:tcPr>
          <w:p>
            <w:pPr>
              <w:spacing w:line="240" w:lineRule="auto"/>
              <w:jc w:val="center"/>
              <w:rPr>
                <w:rFonts w:cs="Times New Roman"/>
              </w:rPr>
            </w:pPr>
            <w:r>
              <w:rPr>
                <w:rFonts w:cs="Times New Roman"/>
              </w:rPr>
              <w:t>沉淀池沉渣</w:t>
            </w:r>
          </w:p>
        </w:tc>
        <w:tc>
          <w:tcPr>
            <w:tcW w:w="1597" w:type="dxa"/>
            <w:vAlign w:val="center"/>
          </w:tcPr>
          <w:p>
            <w:pPr>
              <w:pStyle w:val="36"/>
              <w:jc w:val="center"/>
              <w:rPr>
                <w:rFonts w:ascii="Times New Roman" w:cs="Times New Roman"/>
                <w:color w:val="auto"/>
              </w:rPr>
            </w:pPr>
            <w:r>
              <w:rPr>
                <w:rFonts w:ascii="Times New Roman" w:cs="Times New Roman"/>
                <w:color w:val="auto"/>
              </w:rPr>
              <w:t>1.2t/a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1.0</w:t>
            </w:r>
            <w:r>
              <w:rPr>
                <w:rFonts w:ascii="Times New Roman" w:cs="Times New Roman"/>
                <w:color w:val="auto"/>
                <w:kern w:val="2"/>
              </w:rPr>
              <w:t xml:space="preserve"> t/a</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spacing w:line="240" w:lineRule="auto"/>
              <w:jc w:val="center"/>
              <w:rPr>
                <w:rFonts w:cs="Times New Roman"/>
                <w:szCs w:val="24"/>
              </w:rPr>
            </w:pPr>
            <w:r>
              <w:rPr>
                <w:rFonts w:cs="Times New Roman"/>
                <w:szCs w:val="24"/>
              </w:rPr>
              <w:t>2.2</w:t>
            </w:r>
            <w:r>
              <w:rPr>
                <w:rFonts w:cs="Times New Roman"/>
              </w:rPr>
              <w:t>t/a</w:t>
            </w:r>
          </w:p>
        </w:tc>
        <w:tc>
          <w:tcPr>
            <w:tcW w:w="1179" w:type="dxa"/>
            <w:vAlign w:val="center"/>
          </w:tcPr>
          <w:p>
            <w:pPr>
              <w:pStyle w:val="37"/>
              <w:kinsoku w:val="0"/>
              <w:overflowPunct w:val="0"/>
              <w:spacing w:line="276" w:lineRule="auto"/>
              <w:contextualSpacing/>
              <w:rPr>
                <w:rFonts w:ascii="Times New Roman" w:hAnsi="Times New Roman" w:cs="Times New Roman"/>
                <w:spacing w:val="-1"/>
                <w:szCs w:val="24"/>
              </w:rPr>
            </w:pPr>
            <w:r>
              <w:rPr>
                <w:rFonts w:ascii="Times New Roman" w:hAnsi="Times New Roman" w:cs="Times New Roman"/>
              </w:rPr>
              <w:t>+1.0t/a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restart"/>
            <w:vAlign w:val="center"/>
          </w:tcPr>
          <w:p>
            <w:pPr>
              <w:pStyle w:val="44"/>
              <w:spacing w:beforeLines="0" w:afterLines="0" w:line="240" w:lineRule="auto"/>
              <w:rPr>
                <w:rFonts w:ascii="Times New Roman" w:cs="Times New Roman"/>
                <w:b/>
                <w:bCs/>
                <w:snapToGrid w:val="0"/>
                <w:kern w:val="21"/>
                <w:sz w:val="22"/>
                <w:szCs w:val="22"/>
              </w:rPr>
            </w:pPr>
            <w:r>
              <w:rPr>
                <w:rFonts w:ascii="Times New Roman" w:cs="Times New Roman"/>
                <w:b/>
                <w:bCs/>
                <w:snapToGrid w:val="0"/>
                <w:kern w:val="21"/>
                <w:sz w:val="22"/>
                <w:szCs w:val="22"/>
              </w:rPr>
              <w:t>危险废物</w:t>
            </w:r>
          </w:p>
        </w:tc>
        <w:tc>
          <w:tcPr>
            <w:tcW w:w="3475" w:type="dxa"/>
            <w:vAlign w:val="center"/>
          </w:tcPr>
          <w:p>
            <w:pPr>
              <w:pStyle w:val="37"/>
              <w:kinsoku w:val="0"/>
              <w:overflowPunct w:val="0"/>
              <w:spacing w:line="240" w:lineRule="auto"/>
              <w:contextualSpacing/>
              <w:rPr>
                <w:rFonts w:ascii="Times New Roman" w:hAnsi="Times New Roman" w:cs="Times New Roman"/>
                <w:szCs w:val="24"/>
              </w:rPr>
            </w:pPr>
            <w:r>
              <w:rPr>
                <w:rFonts w:ascii="Times New Roman" w:hAnsi="Times New Roman" w:cs="Times New Roman"/>
                <w:spacing w:val="-1"/>
                <w:szCs w:val="24"/>
              </w:rPr>
              <w:t>废活性炭（HW49 900-039-49）</w:t>
            </w:r>
          </w:p>
        </w:tc>
        <w:tc>
          <w:tcPr>
            <w:tcW w:w="1597" w:type="dxa"/>
            <w:vAlign w:val="center"/>
          </w:tcPr>
          <w:p>
            <w:pPr>
              <w:pStyle w:val="36"/>
              <w:jc w:val="center"/>
              <w:rPr>
                <w:rFonts w:ascii="Times New Roman" w:cs="Times New Roman"/>
                <w:color w:val="auto"/>
              </w:rPr>
            </w:pPr>
            <w:r>
              <w:rPr>
                <w:rFonts w:ascii="Times New Roman" w:cs="Times New Roman"/>
                <w:color w:val="auto"/>
              </w:rPr>
              <w:t>0.9t/a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kern w:val="2"/>
              </w:rPr>
              <w:t>0</w:t>
            </w:r>
          </w:p>
        </w:tc>
        <w:tc>
          <w:tcPr>
            <w:tcW w:w="1417" w:type="dxa"/>
            <w:vAlign w:val="center"/>
          </w:tcPr>
          <w:p>
            <w:pPr>
              <w:pStyle w:val="36"/>
              <w:jc w:val="center"/>
              <w:rPr>
                <w:rFonts w:ascii="Times New Roman" w:cs="Times New Roman"/>
                <w:color w:val="auto"/>
              </w:rPr>
            </w:pPr>
            <w:r>
              <w:rPr>
                <w:rFonts w:ascii="Times New Roman" w:cs="Times New Roman"/>
                <w:color w:val="auto"/>
                <w:kern w:val="2"/>
              </w:rPr>
              <w:t>0</w:t>
            </w:r>
          </w:p>
        </w:tc>
        <w:tc>
          <w:tcPr>
            <w:tcW w:w="1575" w:type="dxa"/>
            <w:vAlign w:val="center"/>
          </w:tcPr>
          <w:p>
            <w:pPr>
              <w:widowControl/>
              <w:spacing w:line="240" w:lineRule="auto"/>
              <w:jc w:val="center"/>
              <w:rPr>
                <w:rFonts w:cs="Times New Roman"/>
                <w:szCs w:val="24"/>
              </w:rPr>
            </w:pPr>
            <w:r>
              <w:rPr>
                <w:rFonts w:cs="Times New Roman"/>
                <w:szCs w:val="24"/>
              </w:rPr>
              <w:t>0.9</w:t>
            </w:r>
            <w:r>
              <w:rPr>
                <w:rFonts w:cs="Times New Roman"/>
              </w:rPr>
              <w:t>t/a</w:t>
            </w:r>
          </w:p>
        </w:tc>
        <w:tc>
          <w:tcPr>
            <w:tcW w:w="1179" w:type="dxa"/>
            <w:vAlign w:val="center"/>
          </w:tcPr>
          <w:p>
            <w:pPr>
              <w:pStyle w:val="37"/>
              <w:kinsoku w:val="0"/>
              <w:overflowPunct w:val="0"/>
              <w:spacing w:line="276" w:lineRule="auto"/>
              <w:contextualSpacing/>
              <w:rPr>
                <w:rFonts w:ascii="Times New Roman" w:hAnsi="Times New Roman" w:cs="Times New Roman"/>
                <w:spacing w:val="-1"/>
                <w:szCs w:val="24"/>
              </w:rPr>
            </w:pPr>
            <w:r>
              <w:rPr>
                <w:rFonts w:ascii="Times New Roman" w:hAnsi="Times New Roman" w:cs="Times New Roman"/>
                <w:spacing w:val="-1"/>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snapToGrid w:val="0"/>
                <w:kern w:val="21"/>
                <w:sz w:val="22"/>
                <w:szCs w:val="22"/>
              </w:rPr>
            </w:pPr>
          </w:p>
        </w:tc>
        <w:tc>
          <w:tcPr>
            <w:tcW w:w="3475" w:type="dxa"/>
            <w:vAlign w:val="center"/>
          </w:tcPr>
          <w:p>
            <w:pPr>
              <w:pStyle w:val="37"/>
              <w:kinsoku w:val="0"/>
              <w:overflowPunct w:val="0"/>
              <w:spacing w:line="240" w:lineRule="auto"/>
              <w:contextualSpacing/>
              <w:rPr>
                <w:rFonts w:ascii="Times New Roman" w:hAnsi="Times New Roman" w:cs="Times New Roman"/>
                <w:szCs w:val="24"/>
              </w:rPr>
            </w:pPr>
            <w:r>
              <w:rPr>
                <w:rFonts w:ascii="Times New Roman" w:hAnsi="Times New Roman" w:cs="Times New Roman"/>
                <w:spacing w:val="-1"/>
                <w:szCs w:val="24"/>
              </w:rPr>
              <w:t>废机油（HW08 900-214-08）</w:t>
            </w:r>
          </w:p>
        </w:tc>
        <w:tc>
          <w:tcPr>
            <w:tcW w:w="1597" w:type="dxa"/>
            <w:vAlign w:val="center"/>
          </w:tcPr>
          <w:p>
            <w:pPr>
              <w:pStyle w:val="36"/>
              <w:jc w:val="center"/>
              <w:rPr>
                <w:rFonts w:ascii="Times New Roman" w:cs="Times New Roman"/>
                <w:color w:val="auto"/>
              </w:rPr>
            </w:pPr>
            <w:r>
              <w:rPr>
                <w:rFonts w:ascii="Times New Roman" w:cs="Times New Roman"/>
                <w:color w:val="auto"/>
              </w:rPr>
              <w:t>0.8t/a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6"/>
              <w:jc w:val="center"/>
              <w:rPr>
                <w:rFonts w:ascii="Times New Roman" w:cs="Times New Roman"/>
                <w:color w:val="auto"/>
              </w:rPr>
            </w:pPr>
            <w:r>
              <w:rPr>
                <w:rFonts w:ascii="Times New Roman" w:cs="Times New Roman"/>
                <w:color w:val="auto"/>
              </w:rPr>
              <w:t>0.36</w:t>
            </w:r>
            <w:r>
              <w:rPr>
                <w:rFonts w:ascii="Times New Roman" w:cs="Times New Roman"/>
                <w:color w:val="auto"/>
                <w:kern w:val="2"/>
              </w:rPr>
              <w:t xml:space="preserve"> t/a</w:t>
            </w:r>
          </w:p>
        </w:tc>
        <w:tc>
          <w:tcPr>
            <w:tcW w:w="1417" w:type="dxa"/>
            <w:vAlign w:val="center"/>
          </w:tcPr>
          <w:p>
            <w:pPr>
              <w:pStyle w:val="36"/>
              <w:jc w:val="center"/>
              <w:rPr>
                <w:rFonts w:ascii="Times New Roman" w:cs="Times New Roman"/>
                <w:color w:val="auto"/>
              </w:rPr>
            </w:pPr>
            <w:r>
              <w:rPr>
                <w:rFonts w:ascii="Times New Roman" w:cs="Times New Roman"/>
                <w:color w:val="auto"/>
              </w:rPr>
              <w:t>0</w:t>
            </w:r>
          </w:p>
        </w:tc>
        <w:tc>
          <w:tcPr>
            <w:tcW w:w="1575" w:type="dxa"/>
            <w:vAlign w:val="center"/>
          </w:tcPr>
          <w:p>
            <w:pPr>
              <w:spacing w:line="240" w:lineRule="auto"/>
              <w:jc w:val="center"/>
              <w:rPr>
                <w:rFonts w:cs="Times New Roman"/>
                <w:szCs w:val="24"/>
              </w:rPr>
            </w:pPr>
            <w:r>
              <w:rPr>
                <w:rFonts w:cs="Times New Roman"/>
                <w:szCs w:val="24"/>
              </w:rPr>
              <w:t>1.16</w:t>
            </w:r>
            <w:r>
              <w:rPr>
                <w:rFonts w:cs="Times New Roman"/>
              </w:rPr>
              <w:t>t/a</w:t>
            </w:r>
          </w:p>
        </w:tc>
        <w:tc>
          <w:tcPr>
            <w:tcW w:w="1179" w:type="dxa"/>
            <w:vAlign w:val="center"/>
          </w:tcPr>
          <w:p>
            <w:pPr>
              <w:pStyle w:val="37"/>
              <w:kinsoku w:val="0"/>
              <w:overflowPunct w:val="0"/>
              <w:spacing w:line="276" w:lineRule="auto"/>
              <w:contextualSpacing/>
              <w:rPr>
                <w:rFonts w:ascii="Times New Roman" w:hAnsi="Times New Roman" w:cs="Times New Roman"/>
                <w:spacing w:val="-1"/>
                <w:szCs w:val="24"/>
              </w:rPr>
            </w:pPr>
            <w:r>
              <w:rPr>
                <w:rFonts w:ascii="Times New Roman" w:hAnsi="Times New Roman" w:cs="Times New Roman"/>
              </w:rPr>
              <w:t>+0.36t/a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9" w:type="dxa"/>
            <w:vMerge w:val="continue"/>
            <w:vAlign w:val="center"/>
          </w:tcPr>
          <w:p>
            <w:pPr>
              <w:pStyle w:val="44"/>
              <w:spacing w:beforeLines="0" w:afterLines="0" w:line="240" w:lineRule="auto"/>
              <w:rPr>
                <w:rFonts w:ascii="Times New Roman" w:cs="Times New Roman"/>
                <w:snapToGrid w:val="0"/>
                <w:kern w:val="21"/>
                <w:sz w:val="22"/>
                <w:szCs w:val="22"/>
              </w:rPr>
            </w:pPr>
          </w:p>
        </w:tc>
        <w:tc>
          <w:tcPr>
            <w:tcW w:w="3475" w:type="dxa"/>
            <w:vAlign w:val="center"/>
          </w:tcPr>
          <w:p>
            <w:pPr>
              <w:pStyle w:val="37"/>
              <w:kinsoku w:val="0"/>
              <w:overflowPunct w:val="0"/>
              <w:spacing w:line="240" w:lineRule="auto"/>
              <w:contextualSpacing/>
              <w:rPr>
                <w:rFonts w:ascii="Times New Roman" w:hAnsi="Times New Roman" w:cs="Times New Roman"/>
                <w:szCs w:val="24"/>
              </w:rPr>
            </w:pPr>
            <w:r>
              <w:rPr>
                <w:rFonts w:ascii="Times New Roman" w:hAnsi="Times New Roman" w:cs="Times New Roman"/>
                <w:spacing w:val="-1"/>
                <w:szCs w:val="24"/>
              </w:rPr>
              <w:t>废油桶（HW49 900-041-49）</w:t>
            </w:r>
          </w:p>
        </w:tc>
        <w:tc>
          <w:tcPr>
            <w:tcW w:w="1597" w:type="dxa"/>
            <w:vAlign w:val="center"/>
          </w:tcPr>
          <w:p>
            <w:pPr>
              <w:pStyle w:val="36"/>
              <w:jc w:val="center"/>
              <w:rPr>
                <w:rFonts w:ascii="Times New Roman" w:cs="Times New Roman"/>
                <w:color w:val="auto"/>
              </w:rPr>
            </w:pPr>
            <w:r>
              <w:rPr>
                <w:rFonts w:ascii="Times New Roman" w:cs="Times New Roman"/>
                <w:color w:val="auto"/>
              </w:rPr>
              <w:t>0.04t/a</w:t>
            </w:r>
          </w:p>
        </w:tc>
        <w:tc>
          <w:tcPr>
            <w:tcW w:w="1167" w:type="dxa"/>
            <w:vAlign w:val="center"/>
          </w:tcPr>
          <w:p>
            <w:pPr>
              <w:pStyle w:val="36"/>
              <w:jc w:val="center"/>
              <w:rPr>
                <w:rFonts w:ascii="Times New Roman" w:cs="Times New Roman"/>
                <w:color w:val="auto"/>
              </w:rPr>
            </w:pPr>
          </w:p>
        </w:tc>
        <w:tc>
          <w:tcPr>
            <w:tcW w:w="1459" w:type="dxa"/>
            <w:vAlign w:val="center"/>
          </w:tcPr>
          <w:p>
            <w:pPr>
              <w:pStyle w:val="36"/>
              <w:jc w:val="center"/>
              <w:rPr>
                <w:rFonts w:ascii="Times New Roman" w:cs="Times New Roman"/>
                <w:color w:val="auto"/>
              </w:rPr>
            </w:pPr>
          </w:p>
        </w:tc>
        <w:tc>
          <w:tcPr>
            <w:tcW w:w="1400" w:type="dxa"/>
            <w:vAlign w:val="center"/>
          </w:tcPr>
          <w:p>
            <w:pPr>
              <w:pStyle w:val="37"/>
              <w:kinsoku w:val="0"/>
              <w:overflowPunct w:val="0"/>
              <w:spacing w:line="240" w:lineRule="auto"/>
              <w:contextualSpacing/>
              <w:rPr>
                <w:rFonts w:ascii="Times New Roman" w:hAnsi="Times New Roman" w:cs="Times New Roman"/>
                <w:spacing w:val="-1"/>
                <w:szCs w:val="24"/>
              </w:rPr>
            </w:pPr>
            <w:r>
              <w:rPr>
                <w:rFonts w:ascii="Times New Roman" w:hAnsi="Times New Roman" w:cs="Times New Roman"/>
              </w:rPr>
              <w:t>0.02 t/a</w:t>
            </w:r>
          </w:p>
        </w:tc>
        <w:tc>
          <w:tcPr>
            <w:tcW w:w="1417" w:type="dxa"/>
            <w:vAlign w:val="center"/>
          </w:tcPr>
          <w:p>
            <w:pPr>
              <w:pStyle w:val="36"/>
              <w:jc w:val="center"/>
              <w:rPr>
                <w:rFonts w:ascii="Times New Roman" w:cs="Times New Roman"/>
                <w:color w:val="auto"/>
              </w:rPr>
            </w:pPr>
            <w:r>
              <w:rPr>
                <w:rFonts w:ascii="Times New Roman" w:cs="Times New Roman"/>
                <w:color w:val="auto"/>
              </w:rPr>
              <w:t>0</w:t>
            </w:r>
          </w:p>
        </w:tc>
        <w:tc>
          <w:tcPr>
            <w:tcW w:w="1575" w:type="dxa"/>
            <w:vAlign w:val="center"/>
          </w:tcPr>
          <w:p>
            <w:pPr>
              <w:spacing w:line="240" w:lineRule="auto"/>
              <w:jc w:val="center"/>
              <w:rPr>
                <w:rFonts w:cs="Times New Roman"/>
                <w:szCs w:val="24"/>
              </w:rPr>
            </w:pPr>
            <w:r>
              <w:rPr>
                <w:rFonts w:cs="Times New Roman"/>
                <w:szCs w:val="24"/>
              </w:rPr>
              <w:t>0.06</w:t>
            </w:r>
            <w:r>
              <w:rPr>
                <w:rFonts w:cs="Times New Roman"/>
              </w:rPr>
              <w:t>t/a</w:t>
            </w:r>
          </w:p>
        </w:tc>
        <w:tc>
          <w:tcPr>
            <w:tcW w:w="1179" w:type="dxa"/>
            <w:vAlign w:val="center"/>
          </w:tcPr>
          <w:p>
            <w:pPr>
              <w:pStyle w:val="37"/>
              <w:kinsoku w:val="0"/>
              <w:overflowPunct w:val="0"/>
              <w:spacing w:line="276" w:lineRule="auto"/>
              <w:contextualSpacing/>
              <w:rPr>
                <w:rFonts w:ascii="Times New Roman" w:hAnsi="Times New Roman" w:cs="Times New Roman"/>
                <w:spacing w:val="-1"/>
                <w:szCs w:val="24"/>
              </w:rPr>
            </w:pPr>
            <w:r>
              <w:rPr>
                <w:rFonts w:ascii="Times New Roman" w:hAnsi="Times New Roman" w:cs="Times New Roman"/>
              </w:rPr>
              <w:t>+0.02t/a</w:t>
            </w:r>
          </w:p>
        </w:tc>
      </w:tr>
    </w:tbl>
    <w:p>
      <w:pPr>
        <w:pStyle w:val="44"/>
        <w:spacing w:beforeLines="0" w:afterLines="0" w:line="240" w:lineRule="auto"/>
        <w:jc w:val="left"/>
        <w:rPr>
          <w:rFonts w:ascii="Times New Roman" w:cs="Times New Roman"/>
        </w:rPr>
      </w:pPr>
      <w:r>
        <w:rPr>
          <w:rFonts w:ascii="Times New Roman" w:cs="Times New Roman"/>
          <w:snapToGrid w:val="0"/>
          <w:kern w:val="21"/>
          <w:szCs w:val="21"/>
        </w:rPr>
        <w:t>注：</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6 \* GB3 \* MERGEFORMAT </w:instrText>
      </w:r>
      <w:r>
        <w:rPr>
          <w:rFonts w:ascii="Times New Roman" w:cs="Times New Roman"/>
          <w:snapToGrid w:val="0"/>
          <w:spacing w:val="-16"/>
          <w:kern w:val="21"/>
          <w:szCs w:val="21"/>
        </w:rPr>
        <w:fldChar w:fldCharType="separate"/>
      </w:r>
      <w:r>
        <w:rPr>
          <w:rFonts w:hint="eastAsia" w:hAnsi="宋体" w:eastAsia="宋体" w:cs="宋体"/>
          <w:szCs w:val="21"/>
        </w:rPr>
        <w:t>⑥</w:t>
      </w:r>
      <w:r>
        <w:rPr>
          <w:rFonts w:ascii="Times New Roman" w:cs="Times New Roman"/>
          <w:snapToGrid w:val="0"/>
          <w:spacing w:val="-16"/>
          <w:kern w:val="21"/>
          <w:szCs w:val="21"/>
        </w:rPr>
        <w:fldChar w:fldCharType="end"/>
      </w:r>
      <w:r>
        <w:rPr>
          <w:rFonts w:ascii="Times New Roman" w:cs="Times New Roman"/>
          <w:snapToGrid w:val="0"/>
          <w:spacing w:val="-1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1 \* GB3 \* MERGEFORMAT </w:instrText>
      </w:r>
      <w:r>
        <w:rPr>
          <w:rFonts w:ascii="Times New Roman" w:cs="Times New Roman"/>
          <w:snapToGrid w:val="0"/>
          <w:spacing w:val="-6"/>
          <w:kern w:val="21"/>
          <w:szCs w:val="21"/>
        </w:rPr>
        <w:fldChar w:fldCharType="separate"/>
      </w:r>
      <w:r>
        <w:rPr>
          <w:rFonts w:hint="eastAsia" w:hAnsi="宋体" w:eastAsia="宋体" w:cs="宋体"/>
          <w:szCs w:val="21"/>
        </w:rPr>
        <w:t>①</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3 \* GB3 \* MERGEFORMAT </w:instrText>
      </w:r>
      <w:r>
        <w:rPr>
          <w:rFonts w:ascii="Times New Roman" w:cs="Times New Roman"/>
          <w:snapToGrid w:val="0"/>
          <w:spacing w:val="-6"/>
          <w:kern w:val="21"/>
          <w:szCs w:val="21"/>
        </w:rPr>
        <w:fldChar w:fldCharType="separate"/>
      </w:r>
      <w:r>
        <w:rPr>
          <w:rFonts w:hint="eastAsia" w:hAnsi="宋体" w:eastAsia="宋体" w:cs="宋体"/>
          <w:szCs w:val="21"/>
        </w:rPr>
        <w:t>③</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4 \* GB3 \* MERGEFORMAT </w:instrText>
      </w:r>
      <w:r>
        <w:rPr>
          <w:rFonts w:ascii="Times New Roman" w:cs="Times New Roman"/>
          <w:snapToGrid w:val="0"/>
          <w:spacing w:val="-6"/>
          <w:kern w:val="21"/>
          <w:szCs w:val="21"/>
        </w:rPr>
        <w:fldChar w:fldCharType="separate"/>
      </w:r>
      <w:r>
        <w:rPr>
          <w:rFonts w:hint="eastAsia" w:hAnsi="宋体" w:eastAsia="宋体" w:cs="宋体"/>
          <w:szCs w:val="21"/>
        </w:rPr>
        <w:t>④</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5 \* GB3 \* MERGEFORMAT </w:instrText>
      </w:r>
      <w:r>
        <w:rPr>
          <w:rFonts w:ascii="Times New Roman" w:cs="Times New Roman"/>
          <w:snapToGrid w:val="0"/>
          <w:spacing w:val="-16"/>
          <w:kern w:val="21"/>
          <w:szCs w:val="21"/>
        </w:rPr>
        <w:fldChar w:fldCharType="separate"/>
      </w:r>
      <w:r>
        <w:rPr>
          <w:rFonts w:hint="eastAsia" w:hAnsi="宋体" w:eastAsia="宋体" w:cs="宋体"/>
          <w:szCs w:val="21"/>
        </w:rPr>
        <w:t>⑤</w:t>
      </w:r>
      <w:r>
        <w:rPr>
          <w:rFonts w:ascii="Times New Roman" w:cs="Times New Roman"/>
          <w:snapToGrid w:val="0"/>
          <w:spacing w:val="-16"/>
          <w:kern w:val="21"/>
          <w:szCs w:val="21"/>
        </w:rPr>
        <w:fldChar w:fldCharType="end"/>
      </w:r>
      <w:r>
        <w:rPr>
          <w:rFonts w:ascii="Times New Roman" w:cs="Times New Roman"/>
          <w:snapToGrid w:val="0"/>
          <w:spacing w:val="-1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7 \* GB3 \* MERGEFORMAT </w:instrText>
      </w:r>
      <w:r>
        <w:rPr>
          <w:rFonts w:ascii="Times New Roman" w:cs="Times New Roman"/>
          <w:snapToGrid w:val="0"/>
          <w:spacing w:val="-6"/>
          <w:kern w:val="21"/>
          <w:szCs w:val="21"/>
        </w:rPr>
        <w:fldChar w:fldCharType="separate"/>
      </w:r>
      <w:r>
        <w:rPr>
          <w:rFonts w:hint="eastAsia" w:hAnsi="宋体" w:eastAsia="宋体" w:cs="宋体"/>
          <w:szCs w:val="21"/>
        </w:rPr>
        <w:t>⑦</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6 \* GB3 \* MERGEFORMAT </w:instrText>
      </w:r>
      <w:r>
        <w:rPr>
          <w:rFonts w:ascii="Times New Roman" w:cs="Times New Roman"/>
          <w:snapToGrid w:val="0"/>
          <w:spacing w:val="-16"/>
          <w:kern w:val="21"/>
          <w:szCs w:val="21"/>
        </w:rPr>
        <w:fldChar w:fldCharType="separate"/>
      </w:r>
      <w:r>
        <w:rPr>
          <w:rFonts w:hint="eastAsia" w:hAnsi="宋体" w:eastAsia="宋体" w:cs="宋体"/>
          <w:szCs w:val="21"/>
        </w:rPr>
        <w:t>⑥</w:t>
      </w:r>
      <w:r>
        <w:rPr>
          <w:rFonts w:ascii="Times New Roman" w:cs="Times New Roman"/>
          <w:snapToGrid w:val="0"/>
          <w:spacing w:val="-16"/>
          <w:kern w:val="21"/>
          <w:szCs w:val="21"/>
        </w:rPr>
        <w:fldChar w:fldCharType="end"/>
      </w:r>
      <w:r>
        <w:rPr>
          <w:rFonts w:ascii="Times New Roman" w:cs="Times New Roman"/>
          <w:snapToGrid w:val="0"/>
          <w:spacing w:val="-1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1 \* GB3 \* MERGEFORMAT </w:instrText>
      </w:r>
      <w:r>
        <w:rPr>
          <w:rFonts w:ascii="Times New Roman" w:cs="Times New Roman"/>
          <w:snapToGrid w:val="0"/>
          <w:spacing w:val="-6"/>
          <w:kern w:val="21"/>
          <w:szCs w:val="21"/>
        </w:rPr>
        <w:fldChar w:fldCharType="separate"/>
      </w:r>
      <w:r>
        <w:rPr>
          <w:rFonts w:hint="eastAsia" w:hAnsi="宋体" w:eastAsia="宋体" w:cs="宋体"/>
          <w:szCs w:val="21"/>
        </w:rPr>
        <w:t>①</w:t>
      </w:r>
      <w:r>
        <w:rPr>
          <w:rFonts w:ascii="Times New Roman" w:cs="Times New Roman"/>
          <w:snapToGrid w:val="0"/>
          <w:spacing w:val="-6"/>
          <w:kern w:val="21"/>
          <w:szCs w:val="21"/>
        </w:rPr>
        <w:fldChar w:fldCharType="end"/>
      </w:r>
    </w:p>
    <w:sectPr>
      <w:pgSz w:w="16838" w:h="11906" w:orient="landscape"/>
      <w:pgMar w:top="1080" w:right="1440" w:bottom="1080" w:left="1440" w:header="851" w:footer="992" w:gutter="0"/>
      <w:pgNumType w:fmt="numberInDash"/>
      <w:cols w:space="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宋体_x0008_....">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070760"/>
      <w:docPartObj>
        <w:docPartGallery w:val="AutoText"/>
      </w:docPartObj>
    </w:sdtPr>
    <w:sdtEndPr>
      <w:rPr>
        <w:sz w:val="21"/>
        <w:szCs w:val="22"/>
      </w:rPr>
    </w:sdtEndPr>
    <w:sdtContent>
      <w:p>
        <w:pPr>
          <w:pStyle w:val="14"/>
          <w:rPr>
            <w:sz w:val="21"/>
            <w:szCs w:val="22"/>
          </w:rPr>
        </w:pPr>
        <w:r>
          <w:rPr>
            <w:sz w:val="21"/>
            <w:szCs w:val="22"/>
          </w:rPr>
          <w:fldChar w:fldCharType="begin"/>
        </w:r>
        <w:r>
          <w:rPr>
            <w:sz w:val="21"/>
            <w:szCs w:val="22"/>
          </w:rPr>
          <w:instrText xml:space="preserve">PAGE   \* MERGEFORMAT</w:instrText>
        </w:r>
        <w:r>
          <w:rPr>
            <w:sz w:val="21"/>
            <w:szCs w:val="22"/>
          </w:rPr>
          <w:fldChar w:fldCharType="separate"/>
        </w:r>
        <w:r>
          <w:rPr>
            <w:sz w:val="21"/>
            <w:szCs w:val="22"/>
            <w:lang w:val="zh-CN"/>
          </w:rPr>
          <w:t>2</w:t>
        </w:r>
        <w:r>
          <w:rPr>
            <w:sz w:val="21"/>
            <w:szCs w:val="22"/>
          </w:rP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280797"/>
      <w:docPartObj>
        <w:docPartGallery w:val="AutoText"/>
      </w:docPartObj>
    </w:sdtPr>
    <w:sdtEndPr>
      <w:rPr>
        <w:sz w:val="21"/>
        <w:szCs w:val="22"/>
      </w:rPr>
    </w:sdtEndPr>
    <w:sdtContent>
      <w:p>
        <w:pPr>
          <w:pStyle w:val="14"/>
          <w:jc w:val="right"/>
          <w:rPr>
            <w:sz w:val="21"/>
            <w:szCs w:val="22"/>
          </w:rPr>
        </w:pPr>
        <w:r>
          <w:rPr>
            <w:sz w:val="21"/>
            <w:szCs w:val="22"/>
          </w:rPr>
          <w:fldChar w:fldCharType="begin"/>
        </w:r>
        <w:r>
          <w:rPr>
            <w:sz w:val="21"/>
            <w:szCs w:val="22"/>
          </w:rPr>
          <w:instrText xml:space="preserve">PAGE   \* MERGEFORMAT</w:instrText>
        </w:r>
        <w:r>
          <w:rPr>
            <w:sz w:val="21"/>
            <w:szCs w:val="22"/>
          </w:rPr>
          <w:fldChar w:fldCharType="separate"/>
        </w:r>
        <w:r>
          <w:rPr>
            <w:sz w:val="21"/>
            <w:szCs w:val="22"/>
            <w:lang w:val="zh-CN"/>
          </w:rPr>
          <w:t>2</w:t>
        </w:r>
        <w:r>
          <w:rPr>
            <w:sz w:val="21"/>
            <w:szCs w:val="22"/>
          </w:rP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4D6C5"/>
    <w:multiLevelType w:val="singleLevel"/>
    <w:tmpl w:val="2E34D6C5"/>
    <w:lvl w:ilvl="0" w:tentative="0">
      <w:start w:val="1"/>
      <w:numFmt w:val="decimal"/>
      <w:suff w:val="nothing"/>
      <w:lvlText w:val="（%1）"/>
      <w:lvlJc w:val="left"/>
    </w:lvl>
  </w:abstractNum>
  <w:abstractNum w:abstractNumId="1">
    <w:nsid w:val="40B2AB69"/>
    <w:multiLevelType w:val="singleLevel"/>
    <w:tmpl w:val="40B2AB69"/>
    <w:lvl w:ilvl="0" w:tentative="0">
      <w:start w:val="1"/>
      <w:numFmt w:val="decimal"/>
      <w:suff w:val="nothing"/>
      <w:lvlText w:val="（%1）"/>
      <w:lvlJc w:val="left"/>
    </w:lvl>
  </w:abstractNum>
  <w:abstractNum w:abstractNumId="2">
    <w:nsid w:val="42F5635B"/>
    <w:multiLevelType w:val="singleLevel"/>
    <w:tmpl w:val="42F5635B"/>
    <w:lvl w:ilvl="0" w:tentative="0">
      <w:start w:val="1"/>
      <w:numFmt w:val="decimal"/>
      <w:suff w:val="nothing"/>
      <w:lvlText w:val="%1、"/>
      <w:lvlJc w:val="left"/>
    </w:lvl>
  </w:abstractNum>
  <w:abstractNum w:abstractNumId="3">
    <w:nsid w:val="585E3264"/>
    <w:multiLevelType w:val="singleLevel"/>
    <w:tmpl w:val="585E3264"/>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20"/>
  <w:drawingGridVerticalSpacing w:val="16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4MWEzOTc1N2U2NmM3NDZiM2ZjNzIxZDdjZjAzMDYifQ=="/>
  </w:docVars>
  <w:rsids>
    <w:rsidRoot w:val="00680534"/>
    <w:rsid w:val="000042B6"/>
    <w:rsid w:val="00005816"/>
    <w:rsid w:val="00033F43"/>
    <w:rsid w:val="00056475"/>
    <w:rsid w:val="0006658F"/>
    <w:rsid w:val="00077B46"/>
    <w:rsid w:val="00087A05"/>
    <w:rsid w:val="000934CF"/>
    <w:rsid w:val="000A1547"/>
    <w:rsid w:val="000A2BC2"/>
    <w:rsid w:val="000C1B5C"/>
    <w:rsid w:val="000D193B"/>
    <w:rsid w:val="000F56E8"/>
    <w:rsid w:val="0011045D"/>
    <w:rsid w:val="0011048A"/>
    <w:rsid w:val="00126C8C"/>
    <w:rsid w:val="00133BD8"/>
    <w:rsid w:val="00136969"/>
    <w:rsid w:val="00146414"/>
    <w:rsid w:val="00151452"/>
    <w:rsid w:val="0016611C"/>
    <w:rsid w:val="00167CB6"/>
    <w:rsid w:val="00176BFE"/>
    <w:rsid w:val="0018469B"/>
    <w:rsid w:val="001A6BED"/>
    <w:rsid w:val="001B1AC9"/>
    <w:rsid w:val="001C1113"/>
    <w:rsid w:val="001C3AB5"/>
    <w:rsid w:val="001C6CE5"/>
    <w:rsid w:val="001E5579"/>
    <w:rsid w:val="001E68B6"/>
    <w:rsid w:val="001E74FF"/>
    <w:rsid w:val="001F71D0"/>
    <w:rsid w:val="00202427"/>
    <w:rsid w:val="00205E19"/>
    <w:rsid w:val="00236E3C"/>
    <w:rsid w:val="00252B22"/>
    <w:rsid w:val="00256E68"/>
    <w:rsid w:val="00260D5A"/>
    <w:rsid w:val="00271A7F"/>
    <w:rsid w:val="00286C62"/>
    <w:rsid w:val="002950E6"/>
    <w:rsid w:val="002A5005"/>
    <w:rsid w:val="002B0FE7"/>
    <w:rsid w:val="002E477B"/>
    <w:rsid w:val="00301878"/>
    <w:rsid w:val="003120EB"/>
    <w:rsid w:val="00344A27"/>
    <w:rsid w:val="00366038"/>
    <w:rsid w:val="00376B39"/>
    <w:rsid w:val="00384BB9"/>
    <w:rsid w:val="003A6EB6"/>
    <w:rsid w:val="003B3681"/>
    <w:rsid w:val="003B6662"/>
    <w:rsid w:val="003B78A0"/>
    <w:rsid w:val="003C0CEA"/>
    <w:rsid w:val="003D535E"/>
    <w:rsid w:val="003D6CC9"/>
    <w:rsid w:val="003E1627"/>
    <w:rsid w:val="003E78E5"/>
    <w:rsid w:val="003F1878"/>
    <w:rsid w:val="003F24BC"/>
    <w:rsid w:val="003F25F4"/>
    <w:rsid w:val="003F2967"/>
    <w:rsid w:val="003F43F8"/>
    <w:rsid w:val="003F6A86"/>
    <w:rsid w:val="0040668E"/>
    <w:rsid w:val="0041740E"/>
    <w:rsid w:val="00456A73"/>
    <w:rsid w:val="00466E1B"/>
    <w:rsid w:val="00481C5F"/>
    <w:rsid w:val="0049240F"/>
    <w:rsid w:val="004A5CA1"/>
    <w:rsid w:val="004B6817"/>
    <w:rsid w:val="004D05AE"/>
    <w:rsid w:val="004D61EF"/>
    <w:rsid w:val="004F4224"/>
    <w:rsid w:val="004F6385"/>
    <w:rsid w:val="005144DF"/>
    <w:rsid w:val="00525AA1"/>
    <w:rsid w:val="005268C6"/>
    <w:rsid w:val="00532A26"/>
    <w:rsid w:val="00545450"/>
    <w:rsid w:val="00555FB5"/>
    <w:rsid w:val="0056381A"/>
    <w:rsid w:val="005701E2"/>
    <w:rsid w:val="00595076"/>
    <w:rsid w:val="005D3F5F"/>
    <w:rsid w:val="006121E7"/>
    <w:rsid w:val="00620299"/>
    <w:rsid w:val="00620DB4"/>
    <w:rsid w:val="00646994"/>
    <w:rsid w:val="0065747D"/>
    <w:rsid w:val="00664B02"/>
    <w:rsid w:val="00666D17"/>
    <w:rsid w:val="00666D82"/>
    <w:rsid w:val="00674F37"/>
    <w:rsid w:val="00680534"/>
    <w:rsid w:val="006864A8"/>
    <w:rsid w:val="00686F22"/>
    <w:rsid w:val="006A2FCC"/>
    <w:rsid w:val="006D1B86"/>
    <w:rsid w:val="006D4A5F"/>
    <w:rsid w:val="00701182"/>
    <w:rsid w:val="007042D6"/>
    <w:rsid w:val="0071339F"/>
    <w:rsid w:val="007212A9"/>
    <w:rsid w:val="00726AC2"/>
    <w:rsid w:val="0073040C"/>
    <w:rsid w:val="0073508B"/>
    <w:rsid w:val="0073525D"/>
    <w:rsid w:val="00740200"/>
    <w:rsid w:val="0074053E"/>
    <w:rsid w:val="00744E9A"/>
    <w:rsid w:val="00753DBA"/>
    <w:rsid w:val="00757EB8"/>
    <w:rsid w:val="0076612B"/>
    <w:rsid w:val="00766751"/>
    <w:rsid w:val="00767834"/>
    <w:rsid w:val="00770FC7"/>
    <w:rsid w:val="007755C9"/>
    <w:rsid w:val="007762E5"/>
    <w:rsid w:val="00781D1D"/>
    <w:rsid w:val="007C7832"/>
    <w:rsid w:val="007E6FF4"/>
    <w:rsid w:val="007E7D4A"/>
    <w:rsid w:val="007F40C6"/>
    <w:rsid w:val="00830893"/>
    <w:rsid w:val="00834AEF"/>
    <w:rsid w:val="00840ACD"/>
    <w:rsid w:val="0085442C"/>
    <w:rsid w:val="008568F9"/>
    <w:rsid w:val="00856BA6"/>
    <w:rsid w:val="00863E31"/>
    <w:rsid w:val="00864E77"/>
    <w:rsid w:val="008744C5"/>
    <w:rsid w:val="00890D68"/>
    <w:rsid w:val="0089477F"/>
    <w:rsid w:val="008960DA"/>
    <w:rsid w:val="008A517F"/>
    <w:rsid w:val="008B0166"/>
    <w:rsid w:val="008C2360"/>
    <w:rsid w:val="008E1A8D"/>
    <w:rsid w:val="008E1DA9"/>
    <w:rsid w:val="008E459E"/>
    <w:rsid w:val="008E6EE8"/>
    <w:rsid w:val="008F03E9"/>
    <w:rsid w:val="008F1EAC"/>
    <w:rsid w:val="00900A62"/>
    <w:rsid w:val="009010F0"/>
    <w:rsid w:val="00910AD8"/>
    <w:rsid w:val="00921434"/>
    <w:rsid w:val="00926FB5"/>
    <w:rsid w:val="0093333A"/>
    <w:rsid w:val="00935F3E"/>
    <w:rsid w:val="009751EE"/>
    <w:rsid w:val="00983C73"/>
    <w:rsid w:val="009A4C2F"/>
    <w:rsid w:val="009A6502"/>
    <w:rsid w:val="009C1F20"/>
    <w:rsid w:val="009D0EEC"/>
    <w:rsid w:val="009E2C7B"/>
    <w:rsid w:val="009E7750"/>
    <w:rsid w:val="009F19DA"/>
    <w:rsid w:val="00A02B7B"/>
    <w:rsid w:val="00A0470B"/>
    <w:rsid w:val="00A06640"/>
    <w:rsid w:val="00A125E5"/>
    <w:rsid w:val="00A14FB2"/>
    <w:rsid w:val="00A15F6F"/>
    <w:rsid w:val="00A211F5"/>
    <w:rsid w:val="00A333F9"/>
    <w:rsid w:val="00A345F5"/>
    <w:rsid w:val="00A351AA"/>
    <w:rsid w:val="00A37EA0"/>
    <w:rsid w:val="00A456ED"/>
    <w:rsid w:val="00A50F37"/>
    <w:rsid w:val="00A53941"/>
    <w:rsid w:val="00A62177"/>
    <w:rsid w:val="00A63A24"/>
    <w:rsid w:val="00A640EB"/>
    <w:rsid w:val="00A74512"/>
    <w:rsid w:val="00A92D6C"/>
    <w:rsid w:val="00AB6176"/>
    <w:rsid w:val="00AC74F1"/>
    <w:rsid w:val="00AD4B24"/>
    <w:rsid w:val="00AD4C52"/>
    <w:rsid w:val="00AE0CBC"/>
    <w:rsid w:val="00AF04AA"/>
    <w:rsid w:val="00AF7995"/>
    <w:rsid w:val="00B22E02"/>
    <w:rsid w:val="00B238D2"/>
    <w:rsid w:val="00B26A32"/>
    <w:rsid w:val="00B307B8"/>
    <w:rsid w:val="00B30DEF"/>
    <w:rsid w:val="00B42455"/>
    <w:rsid w:val="00B44357"/>
    <w:rsid w:val="00BA1AA6"/>
    <w:rsid w:val="00BC0989"/>
    <w:rsid w:val="00BC5804"/>
    <w:rsid w:val="00BD057E"/>
    <w:rsid w:val="00BD155A"/>
    <w:rsid w:val="00BD340A"/>
    <w:rsid w:val="00BE26D3"/>
    <w:rsid w:val="00BE37FC"/>
    <w:rsid w:val="00BE53AD"/>
    <w:rsid w:val="00C06ADA"/>
    <w:rsid w:val="00C06EF4"/>
    <w:rsid w:val="00C10C61"/>
    <w:rsid w:val="00C20A39"/>
    <w:rsid w:val="00C25CEC"/>
    <w:rsid w:val="00C279B5"/>
    <w:rsid w:val="00C33532"/>
    <w:rsid w:val="00C33F59"/>
    <w:rsid w:val="00C37707"/>
    <w:rsid w:val="00C47863"/>
    <w:rsid w:val="00C81D7F"/>
    <w:rsid w:val="00C92CF2"/>
    <w:rsid w:val="00C95B18"/>
    <w:rsid w:val="00CB772E"/>
    <w:rsid w:val="00CB7BAC"/>
    <w:rsid w:val="00CE71F0"/>
    <w:rsid w:val="00CF1A16"/>
    <w:rsid w:val="00D27462"/>
    <w:rsid w:val="00D44D6D"/>
    <w:rsid w:val="00D55AA3"/>
    <w:rsid w:val="00D62DD2"/>
    <w:rsid w:val="00D700C4"/>
    <w:rsid w:val="00D744D0"/>
    <w:rsid w:val="00D911F0"/>
    <w:rsid w:val="00DA65A4"/>
    <w:rsid w:val="00DB3E57"/>
    <w:rsid w:val="00DC132B"/>
    <w:rsid w:val="00DE6593"/>
    <w:rsid w:val="00DF2221"/>
    <w:rsid w:val="00DF2851"/>
    <w:rsid w:val="00DF3D23"/>
    <w:rsid w:val="00DF600F"/>
    <w:rsid w:val="00DF73DF"/>
    <w:rsid w:val="00E45F66"/>
    <w:rsid w:val="00E60A53"/>
    <w:rsid w:val="00E658C8"/>
    <w:rsid w:val="00E65D66"/>
    <w:rsid w:val="00E65DB4"/>
    <w:rsid w:val="00E95E4D"/>
    <w:rsid w:val="00EA0724"/>
    <w:rsid w:val="00EF1990"/>
    <w:rsid w:val="00F009BA"/>
    <w:rsid w:val="00F012B8"/>
    <w:rsid w:val="00F12DED"/>
    <w:rsid w:val="00F139D6"/>
    <w:rsid w:val="00F14220"/>
    <w:rsid w:val="00F15F84"/>
    <w:rsid w:val="00F17A5B"/>
    <w:rsid w:val="00F26F7E"/>
    <w:rsid w:val="00F404DA"/>
    <w:rsid w:val="00F40632"/>
    <w:rsid w:val="00F434C1"/>
    <w:rsid w:val="00F44973"/>
    <w:rsid w:val="00F552A1"/>
    <w:rsid w:val="00F61F7E"/>
    <w:rsid w:val="00F63EEA"/>
    <w:rsid w:val="00F77425"/>
    <w:rsid w:val="00F90419"/>
    <w:rsid w:val="00F94AC7"/>
    <w:rsid w:val="00FA31F0"/>
    <w:rsid w:val="00FB2981"/>
    <w:rsid w:val="00FC2623"/>
    <w:rsid w:val="00FD1EA8"/>
    <w:rsid w:val="00FD358A"/>
    <w:rsid w:val="00FE5F76"/>
    <w:rsid w:val="00FF6B0A"/>
    <w:rsid w:val="00FF7599"/>
    <w:rsid w:val="1CC83DF4"/>
    <w:rsid w:val="2D3D4536"/>
    <w:rsid w:val="5E7F4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Theme="minorEastAsia" w:cstheme="minorBidi"/>
      <w:kern w:val="2"/>
      <w:sz w:val="24"/>
      <w:szCs w:val="22"/>
      <w:lang w:val="en-US" w:eastAsia="zh-CN" w:bidi="ar-SA"/>
    </w:rPr>
  </w:style>
  <w:style w:type="paragraph" w:styleId="2">
    <w:name w:val="heading 1"/>
    <w:basedOn w:val="1"/>
    <w:next w:val="1"/>
    <w:link w:val="29"/>
    <w:autoRedefine/>
    <w:qFormat/>
    <w:uiPriority w:val="9"/>
    <w:pPr>
      <w:keepNext/>
      <w:keepLines/>
      <w:kinsoku w:val="0"/>
      <w:overflowPunct w:val="0"/>
      <w:autoSpaceDE w:val="0"/>
      <w:autoSpaceDN w:val="0"/>
      <w:contextualSpacing/>
      <w:jc w:val="both"/>
      <w:outlineLvl w:val="0"/>
    </w:pPr>
    <w:rPr>
      <w:rFonts w:eastAsia="仿宋" w:cs="Times New Roman"/>
      <w:b/>
      <w:bCs/>
      <w:kern w:val="44"/>
      <w:sz w:val="28"/>
      <w:szCs w:val="44"/>
    </w:rPr>
  </w:style>
  <w:style w:type="paragraph" w:styleId="3">
    <w:name w:val="heading 2"/>
    <w:basedOn w:val="1"/>
    <w:next w:val="1"/>
    <w:link w:val="25"/>
    <w:autoRedefine/>
    <w:unhideWhenUsed/>
    <w:qFormat/>
    <w:uiPriority w:val="9"/>
    <w:pPr>
      <w:keepNext/>
      <w:keepLines/>
      <w:outlineLvl w:val="1"/>
    </w:pPr>
    <w:rPr>
      <w:rFonts w:asciiTheme="majorHAnsi" w:hAnsiTheme="majorHAnsi" w:eastAsiaTheme="majorEastAsia" w:cstheme="majorBidi"/>
      <w:b/>
      <w:bCs/>
      <w:szCs w:val="32"/>
    </w:rPr>
  </w:style>
  <w:style w:type="paragraph" w:styleId="4">
    <w:name w:val="heading 3"/>
    <w:basedOn w:val="1"/>
    <w:next w:val="1"/>
    <w:link w:val="26"/>
    <w:autoRedefine/>
    <w:unhideWhenUsed/>
    <w:qFormat/>
    <w:uiPriority w:val="9"/>
    <w:pPr>
      <w:keepNext/>
      <w:keepLines/>
      <w:ind w:firstLine="200" w:firstLineChars="200"/>
      <w:outlineLvl w:val="2"/>
    </w:pPr>
    <w:rPr>
      <w:b/>
      <w:bCs/>
      <w:szCs w:val="32"/>
    </w:rPr>
  </w:style>
  <w:style w:type="character" w:default="1" w:styleId="20">
    <w:name w:val="Default Paragraph Font"/>
    <w:autoRedefine/>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Normal Indent"/>
    <w:basedOn w:val="1"/>
    <w:autoRedefine/>
    <w:qFormat/>
    <w:uiPriority w:val="0"/>
    <w:pPr>
      <w:spacing w:line="460" w:lineRule="atLeast"/>
      <w:ind w:firstLine="420"/>
    </w:pPr>
    <w:rPr>
      <w:szCs w:val="20"/>
    </w:rPr>
  </w:style>
  <w:style w:type="paragraph" w:styleId="6">
    <w:name w:val="annotation text"/>
    <w:basedOn w:val="1"/>
    <w:link w:val="49"/>
    <w:semiHidden/>
    <w:unhideWhenUsed/>
    <w:uiPriority w:val="99"/>
  </w:style>
  <w:style w:type="paragraph" w:styleId="7">
    <w:name w:val="Body Text"/>
    <w:basedOn w:val="1"/>
    <w:next w:val="8"/>
    <w:link w:val="27"/>
    <w:autoRedefine/>
    <w:semiHidden/>
    <w:unhideWhenUsed/>
    <w:qFormat/>
    <w:uiPriority w:val="99"/>
    <w:pPr>
      <w:spacing w:after="120"/>
    </w:pPr>
  </w:style>
  <w:style w:type="paragraph" w:styleId="8">
    <w:name w:val="List Bullet 5"/>
    <w:basedOn w:val="1"/>
    <w:semiHidden/>
    <w:unhideWhenUsed/>
    <w:uiPriority w:val="99"/>
    <w:pPr>
      <w:numPr>
        <w:ilvl w:val="0"/>
        <w:numId w:val="1"/>
      </w:numPr>
    </w:pPr>
  </w:style>
  <w:style w:type="paragraph" w:styleId="9">
    <w:name w:val="Body Text Indent"/>
    <w:basedOn w:val="1"/>
    <w:next w:val="10"/>
    <w:link w:val="30"/>
    <w:autoRedefine/>
    <w:semiHidden/>
    <w:unhideWhenUsed/>
    <w:qFormat/>
    <w:uiPriority w:val="99"/>
    <w:pPr>
      <w:spacing w:after="120"/>
      <w:ind w:left="420" w:leftChars="200"/>
    </w:pPr>
  </w:style>
  <w:style w:type="paragraph" w:styleId="10">
    <w:name w:val="Body Text First Indent"/>
    <w:basedOn w:val="7"/>
    <w:next w:val="1"/>
    <w:autoRedefine/>
    <w:unhideWhenUsed/>
    <w:qFormat/>
    <w:uiPriority w:val="0"/>
    <w:pPr>
      <w:ind w:firstLine="420" w:firstLineChars="100"/>
    </w:pPr>
    <w:rPr>
      <w:sz w:val="21"/>
    </w:rPr>
  </w:style>
  <w:style w:type="paragraph" w:styleId="11">
    <w:name w:val="Plain Text"/>
    <w:basedOn w:val="1"/>
    <w:autoRedefine/>
    <w:unhideWhenUsed/>
    <w:qFormat/>
    <w:uiPriority w:val="99"/>
    <w:rPr>
      <w:rFonts w:ascii="宋体" w:hAnsi="Courier New" w:cs="Courier New"/>
      <w:szCs w:val="21"/>
    </w:r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48"/>
    <w:semiHidden/>
    <w:unhideWhenUsed/>
    <w:uiPriority w:val="99"/>
    <w:pPr>
      <w:spacing w:line="240" w:lineRule="auto"/>
    </w:pPr>
    <w:rPr>
      <w:sz w:val="18"/>
      <w:szCs w:val="18"/>
    </w:rPr>
  </w:style>
  <w:style w:type="paragraph" w:styleId="14">
    <w:name w:val="footer"/>
    <w:basedOn w:val="1"/>
    <w:link w:val="47"/>
    <w:uiPriority w:val="99"/>
    <w:pPr>
      <w:tabs>
        <w:tab w:val="center" w:pos="4153"/>
        <w:tab w:val="right" w:pos="8306"/>
      </w:tabs>
      <w:snapToGrid w:val="0"/>
    </w:pPr>
    <w:rPr>
      <w:kern w:val="0"/>
      <w:sz w:val="18"/>
      <w:szCs w:val="20"/>
    </w:rPr>
  </w:style>
  <w:style w:type="paragraph" w:styleId="15">
    <w:name w:val="header"/>
    <w:basedOn w:val="1"/>
    <w:link w:val="46"/>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Normal (Web)"/>
    <w:basedOn w:val="1"/>
    <w:autoRedefine/>
    <w:qFormat/>
    <w:uiPriority w:val="0"/>
    <w:pPr>
      <w:widowControl/>
      <w:spacing w:before="100" w:beforeAutospacing="1" w:after="100" w:afterAutospacing="1"/>
    </w:pPr>
    <w:rPr>
      <w:rFonts w:ascii="宋体" w:hAnsi="宋体"/>
      <w:kern w:val="0"/>
      <w:szCs w:val="20"/>
    </w:rPr>
  </w:style>
  <w:style w:type="paragraph" w:styleId="17">
    <w:name w:val="Body Text First Indent 2"/>
    <w:basedOn w:val="12"/>
    <w:link w:val="31"/>
    <w:autoRedefine/>
    <w:semiHidden/>
    <w:unhideWhenUsed/>
    <w:qFormat/>
    <w:uiPriority w:val="0"/>
    <w:pPr>
      <w:spacing w:line="240" w:lineRule="auto"/>
      <w:ind w:firstLine="420" w:firstLineChars="200"/>
      <w:jc w:val="both"/>
    </w:pPr>
    <w:rPr>
      <w:rFonts w:eastAsia="宋体" w:cs="Times New Roman"/>
      <w:kern w:val="0"/>
      <w:szCs w:val="20"/>
    </w:rPr>
  </w:style>
  <w:style w:type="table" w:styleId="19">
    <w:name w:val="Table Grid"/>
    <w:basedOn w:val="1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uiPriority w:val="0"/>
  </w:style>
  <w:style w:type="character" w:styleId="22">
    <w:name w:val="annotation reference"/>
    <w:basedOn w:val="20"/>
    <w:semiHidden/>
    <w:unhideWhenUsed/>
    <w:uiPriority w:val="99"/>
    <w:rPr>
      <w:sz w:val="21"/>
      <w:szCs w:val="21"/>
    </w:rPr>
  </w:style>
  <w:style w:type="paragraph" w:styleId="23">
    <w:name w:val="No Spacing"/>
    <w:basedOn w:val="7"/>
    <w:link w:val="28"/>
    <w:autoRedefine/>
    <w:qFormat/>
    <w:uiPriority w:val="1"/>
    <w:pPr>
      <w:adjustRightInd w:val="0"/>
      <w:snapToGrid w:val="0"/>
      <w:spacing w:after="0" w:line="240" w:lineRule="auto"/>
      <w:jc w:val="center"/>
    </w:pPr>
    <w:rPr>
      <w:rFonts w:eastAsia="宋体" w:cs="Times New Roman"/>
      <w:color w:val="000000" w:themeColor="text1"/>
      <w:sz w:val="21"/>
      <w:szCs w:val="21"/>
    </w:rPr>
  </w:style>
  <w:style w:type="paragraph" w:customStyle="1" w:styleId="24">
    <w:name w:val="表头-图名"/>
    <w:autoRedefine/>
    <w:qFormat/>
    <w:uiPriority w:val="1"/>
    <w:pPr>
      <w:autoSpaceDE w:val="0"/>
      <w:autoSpaceDN w:val="0"/>
      <w:jc w:val="center"/>
    </w:pPr>
    <w:rPr>
      <w:rFonts w:ascii="Times New Roman" w:hAnsi="Times New Roman" w:eastAsia="宋体" w:cs="宋体"/>
      <w:b/>
      <w:sz w:val="21"/>
      <w:szCs w:val="22"/>
      <w:lang w:val="zh-CN" w:eastAsia="zh-CN" w:bidi="zh-CN"/>
    </w:rPr>
  </w:style>
  <w:style w:type="character" w:customStyle="1" w:styleId="25">
    <w:name w:val="标题 2 字符"/>
    <w:basedOn w:val="20"/>
    <w:link w:val="3"/>
    <w:autoRedefine/>
    <w:uiPriority w:val="9"/>
    <w:rPr>
      <w:rFonts w:asciiTheme="majorHAnsi" w:hAnsiTheme="majorHAnsi" w:eastAsiaTheme="majorEastAsia" w:cstheme="majorBidi"/>
      <w:b/>
      <w:bCs/>
      <w:sz w:val="24"/>
      <w:szCs w:val="32"/>
    </w:rPr>
  </w:style>
  <w:style w:type="character" w:customStyle="1" w:styleId="26">
    <w:name w:val="标题 3 字符"/>
    <w:basedOn w:val="20"/>
    <w:link w:val="4"/>
    <w:autoRedefine/>
    <w:uiPriority w:val="9"/>
    <w:rPr>
      <w:rFonts w:ascii="Times New Roman" w:hAnsi="Times New Roman"/>
      <w:b/>
      <w:bCs/>
      <w:sz w:val="24"/>
      <w:szCs w:val="32"/>
    </w:rPr>
  </w:style>
  <w:style w:type="character" w:customStyle="1" w:styleId="27">
    <w:name w:val="正文文本 字符"/>
    <w:basedOn w:val="20"/>
    <w:link w:val="7"/>
    <w:autoRedefine/>
    <w:semiHidden/>
    <w:uiPriority w:val="99"/>
    <w:rPr>
      <w:rFonts w:ascii="Times New Roman" w:hAnsi="Times New Roman"/>
      <w:sz w:val="24"/>
    </w:rPr>
  </w:style>
  <w:style w:type="character" w:customStyle="1" w:styleId="28">
    <w:name w:val="无间隔 字符"/>
    <w:link w:val="23"/>
    <w:autoRedefine/>
    <w:qFormat/>
    <w:uiPriority w:val="1"/>
    <w:rPr>
      <w:color w:val="000000" w:themeColor="text1"/>
      <w:kern w:val="2"/>
      <w:sz w:val="21"/>
      <w:szCs w:val="21"/>
    </w:rPr>
  </w:style>
  <w:style w:type="character" w:customStyle="1" w:styleId="29">
    <w:name w:val="标题 1 字符"/>
    <w:basedOn w:val="20"/>
    <w:link w:val="2"/>
    <w:autoRedefine/>
    <w:uiPriority w:val="9"/>
    <w:rPr>
      <w:rFonts w:ascii="Times New Roman" w:hAnsi="Times New Roman" w:eastAsia="仿宋" w:cs="Times New Roman"/>
      <w:b/>
      <w:bCs/>
      <w:kern w:val="44"/>
      <w:sz w:val="28"/>
      <w:szCs w:val="44"/>
    </w:rPr>
  </w:style>
  <w:style w:type="character" w:customStyle="1" w:styleId="30">
    <w:name w:val="正文文本缩进 字符"/>
    <w:basedOn w:val="20"/>
    <w:link w:val="9"/>
    <w:autoRedefine/>
    <w:semiHidden/>
    <w:uiPriority w:val="99"/>
    <w:rPr>
      <w:rFonts w:ascii="Times New Roman" w:hAnsi="Times New Roman"/>
      <w:sz w:val="24"/>
    </w:rPr>
  </w:style>
  <w:style w:type="character" w:customStyle="1" w:styleId="31">
    <w:name w:val="正文文本首行缩进 2 字符"/>
    <w:basedOn w:val="30"/>
    <w:link w:val="17"/>
    <w:autoRedefine/>
    <w:semiHidden/>
    <w:uiPriority w:val="0"/>
    <w:rPr>
      <w:rFonts w:ascii="Times New Roman" w:hAnsi="Times New Roman" w:eastAsia="宋体" w:cs="Times New Roman"/>
      <w:kern w:val="0"/>
      <w:sz w:val="24"/>
      <w:szCs w:val="20"/>
    </w:rPr>
  </w:style>
  <w:style w:type="character" w:customStyle="1" w:styleId="32">
    <w:name w:val="font61"/>
    <w:basedOn w:val="20"/>
    <w:autoRedefine/>
    <w:uiPriority w:val="0"/>
    <w:rPr>
      <w:rFonts w:hint="default" w:ascii="Times New Roman" w:hAnsi="Times New Roman" w:cs="Times New Roman"/>
      <w:b/>
      <w:bCs/>
      <w:color w:val="000000"/>
      <w:sz w:val="20"/>
      <w:szCs w:val="20"/>
      <w:u w:val="none"/>
    </w:rPr>
  </w:style>
  <w:style w:type="character" w:customStyle="1" w:styleId="33">
    <w:name w:val="font01"/>
    <w:basedOn w:val="20"/>
    <w:autoRedefine/>
    <w:uiPriority w:val="0"/>
    <w:rPr>
      <w:rFonts w:hint="default" w:ascii="Times New Roman" w:hAnsi="Times New Roman" w:cs="Times New Roman"/>
      <w:color w:val="000000"/>
      <w:sz w:val="20"/>
      <w:szCs w:val="20"/>
      <w:u w:val="none"/>
    </w:rPr>
  </w:style>
  <w:style w:type="character" w:customStyle="1" w:styleId="34">
    <w:name w:val="font71"/>
    <w:basedOn w:val="20"/>
    <w:autoRedefine/>
    <w:uiPriority w:val="0"/>
    <w:rPr>
      <w:rFonts w:hint="default" w:ascii="Times New Roman" w:hAnsi="Times New Roman" w:cs="Times New Roman"/>
      <w:color w:val="000000"/>
      <w:sz w:val="20"/>
      <w:szCs w:val="20"/>
      <w:u w:val="none"/>
      <w:vertAlign w:val="superscript"/>
    </w:rPr>
  </w:style>
  <w:style w:type="character" w:customStyle="1" w:styleId="35">
    <w:name w:val="font51"/>
    <w:basedOn w:val="20"/>
    <w:autoRedefine/>
    <w:qFormat/>
    <w:uiPriority w:val="0"/>
    <w:rPr>
      <w:rFonts w:hint="default" w:ascii="Times New Roman" w:hAnsi="Times New Roman" w:cs="Times New Roman"/>
      <w:color w:val="000000"/>
      <w:sz w:val="20"/>
      <w:szCs w:val="20"/>
      <w:u w:val="none"/>
    </w:rPr>
  </w:style>
  <w:style w:type="paragraph" w:customStyle="1" w:styleId="36">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Table Paragraph"/>
    <w:basedOn w:val="1"/>
    <w:autoRedefine/>
    <w:qFormat/>
    <w:uiPriority w:val="1"/>
    <w:pPr>
      <w:spacing w:before="22" w:line="214" w:lineRule="exact"/>
      <w:jc w:val="center"/>
    </w:pPr>
    <w:rPr>
      <w:rFonts w:ascii="宋体" w:hAnsi="宋体" w:cs="宋体"/>
      <w:lang w:val="zh-CN" w:bidi="zh-CN"/>
    </w:rPr>
  </w:style>
  <w:style w:type="paragraph" w:customStyle="1" w:styleId="38">
    <w:name w:val="我正文"/>
    <w:basedOn w:val="1"/>
    <w:autoRedefine/>
    <w:qFormat/>
    <w:uiPriority w:val="0"/>
    <w:pPr>
      <w:ind w:firstLine="480" w:firstLineChars="200"/>
    </w:pPr>
    <w:rPr>
      <w:szCs w:val="20"/>
    </w:rPr>
  </w:style>
  <w:style w:type="paragraph" w:customStyle="1" w:styleId="39">
    <w:name w:val="样式1"/>
    <w:basedOn w:val="1"/>
    <w:autoRedefine/>
    <w:qFormat/>
    <w:uiPriority w:val="0"/>
    <w:pPr>
      <w:snapToGrid w:val="0"/>
      <w:jc w:val="center"/>
    </w:pPr>
    <w:rPr>
      <w:rFonts w:ascii="宋体"/>
      <w:szCs w:val="20"/>
    </w:rPr>
  </w:style>
  <w:style w:type="paragraph" w:customStyle="1" w:styleId="40">
    <w:name w:val="0正文表内"/>
    <w:basedOn w:val="1"/>
    <w:next w:val="1"/>
    <w:autoRedefine/>
    <w:qFormat/>
    <w:uiPriority w:val="0"/>
    <w:pPr>
      <w:spacing w:line="360" w:lineRule="exact"/>
    </w:pPr>
  </w:style>
  <w:style w:type="paragraph" w:customStyle="1" w:styleId="41">
    <w:name w:val="Default"/>
    <w:autoRedefine/>
    <w:qFormat/>
    <w:uiPriority w:val="0"/>
    <w:pPr>
      <w:widowControl w:val="0"/>
      <w:autoSpaceDE w:val="0"/>
      <w:autoSpaceDN w:val="0"/>
      <w:adjustRightInd w:val="0"/>
    </w:pPr>
    <w:rPr>
      <w:rFonts w:ascii="宋体_x0008_...." w:hAnsi="Times New Roman" w:eastAsia="宋体_x0008_...." w:cs="宋体_x0008_...."/>
      <w:color w:val="000000"/>
      <w:sz w:val="24"/>
      <w:szCs w:val="24"/>
      <w:lang w:val="en-US" w:eastAsia="zh-CN" w:bidi="ar-SA"/>
    </w:rPr>
  </w:style>
  <w:style w:type="paragraph" w:customStyle="1" w:styleId="42">
    <w:name w:val="标准段落"/>
    <w:basedOn w:val="1"/>
    <w:next w:val="1"/>
    <w:autoRedefine/>
    <w:qFormat/>
    <w:uiPriority w:val="0"/>
    <w:pPr>
      <w:ind w:firstLine="504" w:firstLineChars="200"/>
    </w:pPr>
    <w:rPr>
      <w:rFonts w:ascii="宋体" w:hAnsi="宋体"/>
      <w:color w:val="000000"/>
      <w:spacing w:val="6"/>
      <w:kern w:val="0"/>
    </w:rPr>
  </w:style>
  <w:style w:type="paragraph" w:customStyle="1" w:styleId="43">
    <w:name w:val="表头"/>
    <w:basedOn w:val="7"/>
    <w:next w:val="1"/>
    <w:qFormat/>
    <w:uiPriority w:val="0"/>
    <w:pPr>
      <w:spacing w:after="0" w:line="240" w:lineRule="auto"/>
      <w:jc w:val="center"/>
    </w:pPr>
    <w:rPr>
      <w:b/>
      <w:sz w:val="21"/>
    </w:rPr>
  </w:style>
  <w:style w:type="paragraph" w:customStyle="1" w:styleId="44">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45">
    <w:name w:val="文"/>
    <w:qFormat/>
    <w:uiPriority w:val="0"/>
    <w:pPr>
      <w:spacing w:before="30" w:beforeLines="30" w:after="20" w:afterLines="20" w:line="420" w:lineRule="atLeast"/>
      <w:ind w:firstLine="200" w:firstLineChars="200"/>
      <w:jc w:val="both"/>
    </w:pPr>
    <w:rPr>
      <w:rFonts w:ascii="Times New Roman" w:hAnsi="Times New Roman" w:eastAsia="宋体" w:cs="Times New Roman"/>
      <w:bCs/>
      <w:sz w:val="24"/>
      <w:szCs w:val="28"/>
      <w:lang w:val="en-US" w:eastAsia="zh-CN" w:bidi="ar-SA"/>
    </w:rPr>
  </w:style>
  <w:style w:type="character" w:customStyle="1" w:styleId="46">
    <w:name w:val="页眉 字符"/>
    <w:basedOn w:val="20"/>
    <w:link w:val="15"/>
    <w:uiPriority w:val="99"/>
    <w:rPr>
      <w:rFonts w:eastAsiaTheme="minorEastAsia" w:cstheme="minorBidi"/>
      <w:kern w:val="2"/>
      <w:sz w:val="18"/>
      <w:szCs w:val="18"/>
    </w:rPr>
  </w:style>
  <w:style w:type="character" w:customStyle="1" w:styleId="47">
    <w:name w:val="页脚 字符"/>
    <w:basedOn w:val="20"/>
    <w:link w:val="14"/>
    <w:uiPriority w:val="99"/>
    <w:rPr>
      <w:rFonts w:eastAsiaTheme="minorEastAsia" w:cstheme="minorBidi"/>
      <w:sz w:val="18"/>
    </w:rPr>
  </w:style>
  <w:style w:type="character" w:customStyle="1" w:styleId="48">
    <w:name w:val="批注框文本 字符"/>
    <w:basedOn w:val="20"/>
    <w:link w:val="13"/>
    <w:semiHidden/>
    <w:uiPriority w:val="99"/>
    <w:rPr>
      <w:rFonts w:eastAsiaTheme="minorEastAsia" w:cstheme="minorBidi"/>
      <w:kern w:val="2"/>
      <w:sz w:val="18"/>
      <w:szCs w:val="18"/>
    </w:rPr>
  </w:style>
  <w:style w:type="character" w:customStyle="1" w:styleId="49">
    <w:name w:val="批注文字 字符"/>
    <w:basedOn w:val="20"/>
    <w:link w:val="6"/>
    <w:semiHidden/>
    <w:uiPriority w:val="99"/>
    <w:rPr>
      <w:rFonts w:eastAsiaTheme="minorEastAsia" w:cstheme="minorBidi"/>
      <w:kern w:val="2"/>
      <w:sz w:val="24"/>
      <w:szCs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1.wmf"/><Relationship Id="rId97" Type="http://schemas.openxmlformats.org/officeDocument/2006/relationships/oleObject" Target="embeddings/oleObject47.bin"/><Relationship Id="rId96" Type="http://schemas.openxmlformats.org/officeDocument/2006/relationships/image" Target="media/image40.wmf"/><Relationship Id="rId95" Type="http://schemas.openxmlformats.org/officeDocument/2006/relationships/oleObject" Target="embeddings/oleObject46.bin"/><Relationship Id="rId94" Type="http://schemas.openxmlformats.org/officeDocument/2006/relationships/image" Target="media/image39.wmf"/><Relationship Id="rId93" Type="http://schemas.openxmlformats.org/officeDocument/2006/relationships/oleObject" Target="embeddings/oleObject45.bin"/><Relationship Id="rId92" Type="http://schemas.openxmlformats.org/officeDocument/2006/relationships/image" Target="media/image38.wmf"/><Relationship Id="rId91" Type="http://schemas.openxmlformats.org/officeDocument/2006/relationships/oleObject" Target="embeddings/oleObject44.bin"/><Relationship Id="rId90" Type="http://schemas.openxmlformats.org/officeDocument/2006/relationships/image" Target="media/image37.wmf"/><Relationship Id="rId9" Type="http://schemas.openxmlformats.org/officeDocument/2006/relationships/image" Target="media/image1.png"/><Relationship Id="rId89" Type="http://schemas.openxmlformats.org/officeDocument/2006/relationships/oleObject" Target="embeddings/oleObject43.bin"/><Relationship Id="rId88" Type="http://schemas.openxmlformats.org/officeDocument/2006/relationships/oleObject" Target="embeddings/oleObject42.bin"/><Relationship Id="rId87" Type="http://schemas.openxmlformats.org/officeDocument/2006/relationships/oleObject" Target="embeddings/oleObject41.bin"/><Relationship Id="rId86" Type="http://schemas.openxmlformats.org/officeDocument/2006/relationships/image" Target="media/image36.wmf"/><Relationship Id="rId85" Type="http://schemas.openxmlformats.org/officeDocument/2006/relationships/oleObject" Target="embeddings/oleObject40.bin"/><Relationship Id="rId84" Type="http://schemas.openxmlformats.org/officeDocument/2006/relationships/oleObject" Target="embeddings/oleObject39.bin"/><Relationship Id="rId83" Type="http://schemas.openxmlformats.org/officeDocument/2006/relationships/image" Target="media/image35.wmf"/><Relationship Id="rId82" Type="http://schemas.openxmlformats.org/officeDocument/2006/relationships/oleObject" Target="embeddings/oleObject38.bin"/><Relationship Id="rId81" Type="http://schemas.openxmlformats.org/officeDocument/2006/relationships/image" Target="media/image34.wmf"/><Relationship Id="rId80" Type="http://schemas.openxmlformats.org/officeDocument/2006/relationships/oleObject" Target="embeddings/oleObject37.bin"/><Relationship Id="rId8" Type="http://schemas.openxmlformats.org/officeDocument/2006/relationships/theme" Target="theme/theme1.xml"/><Relationship Id="rId79" Type="http://schemas.openxmlformats.org/officeDocument/2006/relationships/image" Target="media/image33.wmf"/><Relationship Id="rId78" Type="http://schemas.openxmlformats.org/officeDocument/2006/relationships/oleObject" Target="embeddings/oleObject36.bin"/><Relationship Id="rId77" Type="http://schemas.openxmlformats.org/officeDocument/2006/relationships/oleObject" Target="embeddings/oleObject35.bin"/><Relationship Id="rId76" Type="http://schemas.openxmlformats.org/officeDocument/2006/relationships/image" Target="media/image32.wmf"/><Relationship Id="rId75" Type="http://schemas.openxmlformats.org/officeDocument/2006/relationships/oleObject" Target="embeddings/oleObject34.bin"/><Relationship Id="rId74" Type="http://schemas.openxmlformats.org/officeDocument/2006/relationships/oleObject" Target="embeddings/oleObject33.bin"/><Relationship Id="rId73" Type="http://schemas.openxmlformats.org/officeDocument/2006/relationships/oleObject" Target="embeddings/oleObject32.bin"/><Relationship Id="rId72" Type="http://schemas.openxmlformats.org/officeDocument/2006/relationships/image" Target="media/image31.wmf"/><Relationship Id="rId71" Type="http://schemas.openxmlformats.org/officeDocument/2006/relationships/oleObject" Target="embeddings/oleObject31.bin"/><Relationship Id="rId70" Type="http://schemas.openxmlformats.org/officeDocument/2006/relationships/oleObject" Target="embeddings/oleObject30.bin"/><Relationship Id="rId7" Type="http://schemas.openxmlformats.org/officeDocument/2006/relationships/footer" Target="footer3.xml"/><Relationship Id="rId69" Type="http://schemas.openxmlformats.org/officeDocument/2006/relationships/oleObject" Target="embeddings/oleObject29.bin"/><Relationship Id="rId68" Type="http://schemas.openxmlformats.org/officeDocument/2006/relationships/image" Target="media/image30.wmf"/><Relationship Id="rId67" Type="http://schemas.openxmlformats.org/officeDocument/2006/relationships/oleObject" Target="embeddings/oleObject28.bin"/><Relationship Id="rId66" Type="http://schemas.openxmlformats.org/officeDocument/2006/relationships/image" Target="media/image29.wmf"/><Relationship Id="rId65" Type="http://schemas.openxmlformats.org/officeDocument/2006/relationships/oleObject" Target="embeddings/oleObject27.bin"/><Relationship Id="rId64" Type="http://schemas.openxmlformats.org/officeDocument/2006/relationships/oleObject" Target="embeddings/oleObject26.bin"/><Relationship Id="rId63" Type="http://schemas.openxmlformats.org/officeDocument/2006/relationships/oleObject" Target="embeddings/oleObject25.bin"/><Relationship Id="rId62" Type="http://schemas.openxmlformats.org/officeDocument/2006/relationships/image" Target="media/image28.wmf"/><Relationship Id="rId61" Type="http://schemas.openxmlformats.org/officeDocument/2006/relationships/oleObject" Target="embeddings/oleObject24.bin"/><Relationship Id="rId60" Type="http://schemas.openxmlformats.org/officeDocument/2006/relationships/image" Target="media/image27.wmf"/><Relationship Id="rId6" Type="http://schemas.openxmlformats.org/officeDocument/2006/relationships/footer" Target="footer2.xml"/><Relationship Id="rId59" Type="http://schemas.openxmlformats.org/officeDocument/2006/relationships/oleObject" Target="embeddings/oleObject23.bin"/><Relationship Id="rId58" Type="http://schemas.openxmlformats.org/officeDocument/2006/relationships/oleObject" Target="embeddings/oleObject22.bin"/><Relationship Id="rId57" Type="http://schemas.openxmlformats.org/officeDocument/2006/relationships/image" Target="media/image26.wmf"/><Relationship Id="rId56" Type="http://schemas.openxmlformats.org/officeDocument/2006/relationships/oleObject" Target="embeddings/oleObject21.bin"/><Relationship Id="rId55" Type="http://schemas.openxmlformats.org/officeDocument/2006/relationships/image" Target="media/image25.wmf"/><Relationship Id="rId54" Type="http://schemas.openxmlformats.org/officeDocument/2006/relationships/oleObject" Target="embeddings/oleObject20.bin"/><Relationship Id="rId53" Type="http://schemas.openxmlformats.org/officeDocument/2006/relationships/image" Target="media/image24.wmf"/><Relationship Id="rId52" Type="http://schemas.openxmlformats.org/officeDocument/2006/relationships/oleObject" Target="embeddings/oleObject19.bin"/><Relationship Id="rId51" Type="http://schemas.openxmlformats.org/officeDocument/2006/relationships/image" Target="media/image23.wmf"/><Relationship Id="rId50" Type="http://schemas.openxmlformats.org/officeDocument/2006/relationships/oleObject" Target="embeddings/oleObject18.bin"/><Relationship Id="rId5" Type="http://schemas.openxmlformats.org/officeDocument/2006/relationships/footer" Target="footer1.xml"/><Relationship Id="rId49" Type="http://schemas.openxmlformats.org/officeDocument/2006/relationships/image" Target="media/image22.wmf"/><Relationship Id="rId48" Type="http://schemas.openxmlformats.org/officeDocument/2006/relationships/oleObject" Target="embeddings/oleObject17.bin"/><Relationship Id="rId47" Type="http://schemas.openxmlformats.org/officeDocument/2006/relationships/image" Target="media/image21.wmf"/><Relationship Id="rId46" Type="http://schemas.openxmlformats.org/officeDocument/2006/relationships/oleObject" Target="embeddings/oleObject16.bin"/><Relationship Id="rId45" Type="http://schemas.openxmlformats.org/officeDocument/2006/relationships/image" Target="media/image20.wmf"/><Relationship Id="rId44" Type="http://schemas.openxmlformats.org/officeDocument/2006/relationships/oleObject" Target="embeddings/oleObject15.bin"/><Relationship Id="rId43" Type="http://schemas.openxmlformats.org/officeDocument/2006/relationships/image" Target="media/image19.wmf"/><Relationship Id="rId42" Type="http://schemas.openxmlformats.org/officeDocument/2006/relationships/oleObject" Target="embeddings/oleObject14.bin"/><Relationship Id="rId41" Type="http://schemas.openxmlformats.org/officeDocument/2006/relationships/image" Target="media/image18.wmf"/><Relationship Id="rId40" Type="http://schemas.openxmlformats.org/officeDocument/2006/relationships/oleObject" Target="embeddings/oleObject13.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2.bin"/><Relationship Id="rId37" Type="http://schemas.openxmlformats.org/officeDocument/2006/relationships/image" Target="media/image16.wmf"/><Relationship Id="rId36" Type="http://schemas.openxmlformats.org/officeDocument/2006/relationships/oleObject" Target="embeddings/oleObject11.bin"/><Relationship Id="rId35" Type="http://schemas.openxmlformats.org/officeDocument/2006/relationships/image" Target="media/image15.wmf"/><Relationship Id="rId34" Type="http://schemas.openxmlformats.org/officeDocument/2006/relationships/oleObject" Target="embeddings/oleObject10.bin"/><Relationship Id="rId33" Type="http://schemas.openxmlformats.org/officeDocument/2006/relationships/image" Target="media/image14.wmf"/><Relationship Id="rId32" Type="http://schemas.openxmlformats.org/officeDocument/2006/relationships/oleObject" Target="embeddings/oleObject9.bin"/><Relationship Id="rId31" Type="http://schemas.openxmlformats.org/officeDocument/2006/relationships/image" Target="media/image13.wmf"/><Relationship Id="rId30" Type="http://schemas.openxmlformats.org/officeDocument/2006/relationships/oleObject" Target="embeddings/oleObject8.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7.bin"/><Relationship Id="rId27" Type="http://schemas.openxmlformats.org/officeDocument/2006/relationships/image" Target="media/image11.wmf"/><Relationship Id="rId26" Type="http://schemas.openxmlformats.org/officeDocument/2006/relationships/oleObject" Target="embeddings/oleObject6.bin"/><Relationship Id="rId25" Type="http://schemas.openxmlformats.org/officeDocument/2006/relationships/oleObject" Target="embeddings/oleObject5.bin"/><Relationship Id="rId24" Type="http://schemas.openxmlformats.org/officeDocument/2006/relationships/image" Target="media/image10.wmf"/><Relationship Id="rId23" Type="http://schemas.openxmlformats.org/officeDocument/2006/relationships/oleObject" Target="embeddings/oleObject4.bin"/><Relationship Id="rId22" Type="http://schemas.openxmlformats.org/officeDocument/2006/relationships/image" Target="media/image9.wmf"/><Relationship Id="rId21" Type="http://schemas.openxmlformats.org/officeDocument/2006/relationships/oleObject" Target="embeddings/oleObject3.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7.wmf"/><Relationship Id="rId17" Type="http://schemas.openxmlformats.org/officeDocument/2006/relationships/oleObject" Target="embeddings/oleObject1.bin"/><Relationship Id="rId16" Type="http://schemas.openxmlformats.org/officeDocument/2006/relationships/image" Target="media/image6.emf"/><Relationship Id="rId15" Type="http://schemas.openxmlformats.org/officeDocument/2006/relationships/oleObject" Target="embeddings/Microsoft_Visio_2003-2010___2.vsd"/><Relationship Id="rId14" Type="http://schemas.openxmlformats.org/officeDocument/2006/relationships/image" Target="media/image5.emf"/><Relationship Id="rId13" Type="http://schemas.openxmlformats.org/officeDocument/2006/relationships/oleObject" Target="embeddings/Microsoft_Visio_2003-2010___1.vsd"/><Relationship Id="rId12" Type="http://schemas.openxmlformats.org/officeDocument/2006/relationships/image" Target="media/image4.png"/><Relationship Id="rId11" Type="http://schemas.openxmlformats.org/officeDocument/2006/relationships/image" Target="media/image3.png"/><Relationship Id="rId104" Type="http://schemas.openxmlformats.org/officeDocument/2006/relationships/fontTable" Target="fontTable.xml"/><Relationship Id="rId103" Type="http://schemas.openxmlformats.org/officeDocument/2006/relationships/numbering" Target="numbering.xml"/><Relationship Id="rId102" Type="http://schemas.openxmlformats.org/officeDocument/2006/relationships/image" Target="media/image43.wmf"/><Relationship Id="rId101" Type="http://schemas.openxmlformats.org/officeDocument/2006/relationships/oleObject" Target="embeddings/oleObject49.bin"/><Relationship Id="rId100" Type="http://schemas.openxmlformats.org/officeDocument/2006/relationships/image" Target="media/image42.wmf"/><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6946</Words>
  <Characters>39594</Characters>
  <Lines>329</Lines>
  <Paragraphs>92</Paragraphs>
  <TotalTime>5737</TotalTime>
  <ScaleCrop>false</ScaleCrop>
  <LinksUpToDate>false</LinksUpToDate>
  <CharactersWithSpaces>46448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2023-12-05T01:05:00Z</dcterms:created>
  <dc:creator> </dc:creator>
  <cp:lastModifiedBy>zhouzhi</cp:lastModifiedBy>
  <cp:lastPrinted>2024-02-02T11:03:00Z</cp:lastPrinted>
  <dcterms:modified xsi:type="dcterms:W3CDTF">2024-02-06T02:50:29Z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08173C31A45D45D983B3DE118F104CB6_12</vt:lpwstr>
  </property>
</Properties>
</file>