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p>
    <w:p>
      <w:pPr>
        <w:rPr>
          <w:sz w:val="36"/>
          <w:szCs w:val="36"/>
        </w:rPr>
      </w:pPr>
    </w:p>
    <w:p>
      <w:pPr>
        <w:rPr>
          <w:sz w:val="36"/>
          <w:szCs w:val="36"/>
        </w:rPr>
      </w:pPr>
    </w:p>
    <w:p>
      <w:pPr>
        <w:rPr>
          <w:sz w:val="36"/>
          <w:szCs w:val="36"/>
        </w:rPr>
      </w:pPr>
    </w:p>
    <w:p>
      <w:pPr>
        <w:rPr>
          <w:sz w:val="36"/>
          <w:szCs w:val="36"/>
        </w:rPr>
      </w:pPr>
    </w:p>
    <w:p>
      <w:pPr>
        <w:adjustRightInd w:val="0"/>
        <w:snapToGrid w:val="0"/>
        <w:jc w:val="center"/>
        <w:outlineLvl w:val="0"/>
        <w:rPr>
          <w:bCs/>
          <w:sz w:val="72"/>
          <w:szCs w:val="72"/>
        </w:rPr>
      </w:pPr>
      <w:r>
        <w:rPr>
          <w:bCs/>
          <w:sz w:val="72"/>
          <w:szCs w:val="72"/>
        </w:rPr>
        <w:t>建设项目环境影响报告表</w:t>
      </w:r>
    </w:p>
    <w:p>
      <w:pPr>
        <w:adjustRightInd w:val="0"/>
        <w:snapToGrid w:val="0"/>
        <w:spacing w:beforeLines="80"/>
        <w:jc w:val="center"/>
        <w:rPr>
          <w:bCs/>
          <w:sz w:val="48"/>
          <w:szCs w:val="48"/>
        </w:rPr>
      </w:pPr>
      <w:r>
        <w:rPr>
          <w:bCs/>
          <w:sz w:val="48"/>
          <w:szCs w:val="48"/>
        </w:rPr>
        <w:t>（污染影响类）</w:t>
      </w:r>
    </w:p>
    <w:p>
      <w:pPr>
        <w:adjustRightInd w:val="0"/>
        <w:jc w:val="center"/>
        <w:rPr>
          <w:kern w:val="44"/>
          <w:sz w:val="44"/>
          <w:szCs w:val="44"/>
        </w:rPr>
      </w:pPr>
    </w:p>
    <w:p>
      <w:pPr>
        <w:adjustRightInd w:val="0"/>
        <w:jc w:val="center"/>
        <w:rPr>
          <w:sz w:val="52"/>
          <w:szCs w:val="52"/>
        </w:rPr>
      </w:pPr>
    </w:p>
    <w:p>
      <w:pPr>
        <w:adjustRightInd w:val="0"/>
        <w:snapToGrid w:val="0"/>
        <w:ind w:firstLine="1040"/>
        <w:rPr>
          <w:sz w:val="44"/>
          <w:szCs w:val="44"/>
        </w:rPr>
      </w:pPr>
    </w:p>
    <w:p>
      <w:pPr>
        <w:adjustRightInd w:val="0"/>
        <w:snapToGrid w:val="0"/>
        <w:ind w:firstLine="1040"/>
        <w:rPr>
          <w:sz w:val="44"/>
          <w:szCs w:val="44"/>
        </w:rPr>
      </w:pPr>
    </w:p>
    <w:p>
      <w:pPr>
        <w:adjustRightInd w:val="0"/>
        <w:snapToGrid w:val="0"/>
        <w:ind w:firstLine="1038"/>
        <w:rPr>
          <w:sz w:val="44"/>
          <w:szCs w:val="44"/>
        </w:rPr>
      </w:pPr>
    </w:p>
    <w:p>
      <w:pPr>
        <w:adjustRightInd w:val="0"/>
        <w:snapToGrid w:val="0"/>
        <w:ind w:firstLine="1038"/>
        <w:rPr>
          <w:sz w:val="44"/>
          <w:szCs w:val="44"/>
        </w:rPr>
      </w:pPr>
    </w:p>
    <w:p>
      <w:pPr>
        <w:adjustRightInd w:val="0"/>
        <w:snapToGrid w:val="0"/>
        <w:ind w:firstLine="1040"/>
        <w:rPr>
          <w:sz w:val="44"/>
          <w:szCs w:val="44"/>
        </w:rPr>
      </w:pPr>
    </w:p>
    <w:p>
      <w:pPr>
        <w:adjustRightInd w:val="0"/>
        <w:snapToGrid w:val="0"/>
        <w:spacing w:line="288" w:lineRule="auto"/>
        <w:ind w:firstLine="1440" w:firstLineChars="400"/>
        <w:rPr>
          <w:sz w:val="36"/>
          <w:szCs w:val="36"/>
          <w:u w:val="single"/>
        </w:rPr>
      </w:pPr>
      <w:r>
        <w:rPr>
          <w:sz w:val="36"/>
          <w:szCs w:val="36"/>
        </w:rPr>
        <w:t>项目名称：</w:t>
      </w:r>
      <w:r>
        <w:rPr>
          <w:sz w:val="36"/>
          <w:szCs w:val="36"/>
          <w:u w:val="single"/>
        </w:rPr>
        <w:t>周至县殡仪馆建设项目</w:t>
      </w:r>
    </w:p>
    <w:p>
      <w:pPr>
        <w:adjustRightInd w:val="0"/>
        <w:snapToGrid w:val="0"/>
        <w:spacing w:line="288" w:lineRule="auto"/>
        <w:ind w:firstLine="1440" w:firstLineChars="400"/>
        <w:rPr>
          <w:sz w:val="36"/>
          <w:szCs w:val="36"/>
          <w:u w:val="single"/>
        </w:rPr>
      </w:pPr>
      <w:r>
        <w:rPr>
          <w:sz w:val="36"/>
          <w:szCs w:val="36"/>
        </w:rPr>
        <w:t>建设单位（盖章）：</w:t>
      </w:r>
      <w:r>
        <w:rPr>
          <w:sz w:val="36"/>
          <w:szCs w:val="36"/>
          <w:u w:val="single"/>
        </w:rPr>
        <w:t>周至县民政局</w:t>
      </w:r>
    </w:p>
    <w:p>
      <w:pPr>
        <w:adjustRightInd w:val="0"/>
        <w:snapToGrid w:val="0"/>
        <w:spacing w:line="288" w:lineRule="auto"/>
        <w:ind w:firstLine="1440" w:firstLineChars="400"/>
        <w:rPr>
          <w:sz w:val="36"/>
          <w:szCs w:val="36"/>
          <w:u w:val="single"/>
        </w:rPr>
      </w:pPr>
      <w:r>
        <w:rPr>
          <w:sz w:val="36"/>
          <w:szCs w:val="36"/>
        </w:rPr>
        <w:t>编制日期：</w:t>
      </w:r>
      <w:r>
        <w:rPr>
          <w:sz w:val="36"/>
          <w:szCs w:val="36"/>
          <w:u w:val="single"/>
        </w:rPr>
        <w:t xml:space="preserve">   2024年1月</w:t>
      </w:r>
    </w:p>
    <w:p>
      <w:pPr>
        <w:adjustRightInd w:val="0"/>
        <w:snapToGrid w:val="0"/>
        <w:spacing w:line="288" w:lineRule="auto"/>
        <w:ind w:firstLine="1040"/>
        <w:rPr>
          <w:sz w:val="36"/>
          <w:szCs w:val="36"/>
          <w:u w:val="single"/>
        </w:rPr>
      </w:pPr>
      <w:bookmarkStart w:id="0" w:name="_Hlk57884087"/>
    </w:p>
    <w:p>
      <w:pPr>
        <w:adjustRightInd w:val="0"/>
        <w:snapToGrid w:val="0"/>
        <w:spacing w:line="288" w:lineRule="auto"/>
        <w:ind w:firstLine="1040"/>
        <w:rPr>
          <w:sz w:val="36"/>
          <w:szCs w:val="36"/>
        </w:rPr>
      </w:pPr>
    </w:p>
    <w:p>
      <w:pPr>
        <w:adjustRightInd w:val="0"/>
        <w:snapToGrid w:val="0"/>
        <w:spacing w:line="288" w:lineRule="auto"/>
        <w:ind w:firstLine="1040"/>
        <w:rPr>
          <w:sz w:val="36"/>
          <w:szCs w:val="36"/>
        </w:rPr>
      </w:pPr>
    </w:p>
    <w:p>
      <w:pPr>
        <w:adjustRightInd w:val="0"/>
        <w:snapToGrid w:val="0"/>
        <w:spacing w:line="288" w:lineRule="auto"/>
        <w:ind w:firstLine="1040"/>
        <w:rPr>
          <w:sz w:val="36"/>
          <w:szCs w:val="36"/>
        </w:rPr>
      </w:pPr>
    </w:p>
    <w:p>
      <w:pPr>
        <w:adjustRightInd w:val="0"/>
        <w:snapToGrid w:val="0"/>
        <w:spacing w:line="288" w:lineRule="auto"/>
        <w:ind w:firstLine="1040"/>
        <w:rPr>
          <w:sz w:val="36"/>
          <w:szCs w:val="36"/>
        </w:rPr>
      </w:pPr>
    </w:p>
    <w:bookmarkEnd w:id="0"/>
    <w:p>
      <w:pPr>
        <w:adjustRightInd w:val="0"/>
        <w:snapToGrid w:val="0"/>
        <w:spacing w:line="288" w:lineRule="auto"/>
        <w:jc w:val="center"/>
        <w:rPr>
          <w:sz w:val="36"/>
          <w:szCs w:val="36"/>
        </w:rPr>
      </w:pPr>
      <w:r>
        <w:rPr>
          <w:sz w:val="36"/>
          <w:szCs w:val="36"/>
        </w:rPr>
        <w:t>中华人民共和国生态环境部制</w:t>
      </w:r>
    </w:p>
    <w:p>
      <w:pPr>
        <w:widowControl/>
        <w:jc w:val="left"/>
        <w:rPr>
          <w:sz w:val="36"/>
          <w:szCs w:val="36"/>
        </w:rPr>
      </w:pPr>
      <w:r>
        <w:rPr>
          <w:sz w:val="36"/>
          <w:szCs w:val="36"/>
        </w:rPr>
        <w:br w:type="page"/>
      </w:r>
    </w:p>
    <w:p>
      <w:pPr>
        <w:adjustRightInd w:val="0"/>
        <w:snapToGrid w:val="0"/>
        <w:spacing w:line="288" w:lineRule="auto"/>
        <w:jc w:val="center"/>
        <w:rPr>
          <w:sz w:val="36"/>
          <w:szCs w:val="36"/>
        </w:rPr>
      </w:pPr>
    </w:p>
    <w:p>
      <w:pPr>
        <w:adjustRightInd w:val="0"/>
        <w:snapToGrid w:val="0"/>
        <w:spacing w:line="288" w:lineRule="auto"/>
        <w:ind w:firstLine="1040"/>
        <w:rPr>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14"/>
        <w:jc w:val="center"/>
        <w:outlineLvl w:val="0"/>
        <w:rPr>
          <w:rFonts w:ascii="Times New Roman" w:hAnsi="Times New Roman"/>
          <w:snapToGrid w:val="0"/>
          <w:sz w:val="30"/>
          <w:szCs w:val="30"/>
        </w:rPr>
      </w:pPr>
      <w:r>
        <w:rPr>
          <w:rFonts w:ascii="Times New Roman" w:hAnsi="Times New Roman"/>
          <w:snapToGrid w:val="0"/>
          <w:sz w:val="30"/>
          <w:szCs w:val="30"/>
        </w:rPr>
        <w:t>一、建设项目基本情况</w:t>
      </w:r>
    </w:p>
    <w:tbl>
      <w:tblPr>
        <w:tblStyle w:val="1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117"/>
        <w:gridCol w:w="1902"/>
        <w:gridCol w:w="1925"/>
        <w:gridCol w:w="29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7" w:type="dxa"/>
            <w:tcMar>
              <w:top w:w="16" w:type="dxa"/>
              <w:left w:w="16" w:type="dxa"/>
              <w:right w:w="16" w:type="dxa"/>
            </w:tcMar>
            <w:vAlign w:val="center"/>
          </w:tcPr>
          <w:p>
            <w:pPr>
              <w:adjustRightInd w:val="0"/>
              <w:snapToGrid w:val="0"/>
              <w:jc w:val="center"/>
              <w:rPr>
                <w:sz w:val="24"/>
              </w:rPr>
            </w:pPr>
            <w:r>
              <w:rPr>
                <w:sz w:val="24"/>
              </w:rPr>
              <w:t>建设项目名称</w:t>
            </w:r>
          </w:p>
        </w:tc>
        <w:tc>
          <w:tcPr>
            <w:tcW w:w="6753" w:type="dxa"/>
            <w:gridSpan w:val="3"/>
            <w:vAlign w:val="center"/>
          </w:tcPr>
          <w:p>
            <w:pPr>
              <w:adjustRightInd w:val="0"/>
              <w:snapToGrid w:val="0"/>
              <w:jc w:val="center"/>
              <w:rPr>
                <w:sz w:val="24"/>
              </w:rPr>
            </w:pPr>
            <w:r>
              <w:rPr>
                <w:sz w:val="24"/>
              </w:rPr>
              <w:t>周至县殡仪馆建设项目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7" w:type="dxa"/>
            <w:tcMar>
              <w:top w:w="16" w:type="dxa"/>
              <w:left w:w="16" w:type="dxa"/>
              <w:right w:w="16" w:type="dxa"/>
            </w:tcMar>
            <w:vAlign w:val="center"/>
          </w:tcPr>
          <w:p>
            <w:pPr>
              <w:adjustRightInd w:val="0"/>
              <w:snapToGrid w:val="0"/>
              <w:jc w:val="center"/>
              <w:rPr>
                <w:sz w:val="24"/>
              </w:rPr>
            </w:pPr>
            <w:r>
              <w:rPr>
                <w:sz w:val="24"/>
              </w:rPr>
              <w:t>项目代码</w:t>
            </w:r>
          </w:p>
        </w:tc>
        <w:tc>
          <w:tcPr>
            <w:tcW w:w="6753" w:type="dxa"/>
            <w:gridSpan w:val="3"/>
            <w:vAlign w:val="center"/>
          </w:tcPr>
          <w:p>
            <w:pPr>
              <w:adjustRightInd w:val="0"/>
              <w:snapToGrid w:val="0"/>
              <w:jc w:val="center"/>
              <w:rPr>
                <w:sz w:val="24"/>
              </w:rPr>
            </w:pPr>
            <w:r>
              <w:rPr>
                <w:sz w:val="24"/>
              </w:rPr>
              <w:t>2102-610124-04-05-760435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7" w:type="dxa"/>
            <w:tcMar>
              <w:top w:w="16" w:type="dxa"/>
              <w:left w:w="16" w:type="dxa"/>
              <w:right w:w="16" w:type="dxa"/>
            </w:tcMar>
            <w:vAlign w:val="center"/>
          </w:tcPr>
          <w:p>
            <w:pPr>
              <w:adjustRightInd w:val="0"/>
              <w:snapToGrid w:val="0"/>
              <w:jc w:val="center"/>
              <w:rPr>
                <w:sz w:val="24"/>
              </w:rPr>
            </w:pPr>
            <w:r>
              <w:rPr>
                <w:sz w:val="24"/>
              </w:rPr>
              <w:t>建设单位联系人</w:t>
            </w:r>
          </w:p>
        </w:tc>
        <w:tc>
          <w:tcPr>
            <w:tcW w:w="1902" w:type="dxa"/>
            <w:vAlign w:val="center"/>
          </w:tcPr>
          <w:p>
            <w:pPr>
              <w:adjustRightInd w:val="0"/>
              <w:snapToGrid w:val="0"/>
              <w:jc w:val="center"/>
              <w:rPr>
                <w:sz w:val="24"/>
              </w:rPr>
            </w:pPr>
            <w:r>
              <w:rPr>
                <w:sz w:val="24"/>
              </w:rPr>
              <w:t>王官成</w:t>
            </w:r>
          </w:p>
        </w:tc>
        <w:tc>
          <w:tcPr>
            <w:tcW w:w="1925" w:type="dxa"/>
            <w:vAlign w:val="center"/>
          </w:tcPr>
          <w:p>
            <w:pPr>
              <w:adjustRightInd w:val="0"/>
              <w:snapToGrid w:val="0"/>
              <w:jc w:val="center"/>
              <w:rPr>
                <w:sz w:val="24"/>
              </w:rPr>
            </w:pPr>
            <w:r>
              <w:rPr>
                <w:sz w:val="24"/>
              </w:rPr>
              <w:t>联系方式</w:t>
            </w:r>
          </w:p>
        </w:tc>
        <w:tc>
          <w:tcPr>
            <w:tcW w:w="2926" w:type="dxa"/>
            <w:vAlign w:val="center"/>
          </w:tcPr>
          <w:p>
            <w:pPr>
              <w:adjustRightInd w:val="0"/>
              <w:snapToGrid w:val="0"/>
              <w:jc w:val="center"/>
              <w:rPr>
                <w:sz w:val="24"/>
              </w:rPr>
            </w:pPr>
            <w:r>
              <w:rPr>
                <w:sz w:val="24"/>
              </w:rPr>
              <w:t>158</w:t>
            </w:r>
            <w:r>
              <w:rPr>
                <w:rFonts w:hint="eastAsia"/>
                <w:sz w:val="24"/>
              </w:rPr>
              <w:t>****</w:t>
            </w:r>
            <w:r>
              <w:rPr>
                <w:sz w:val="24"/>
              </w:rPr>
              <w:t>0068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7" w:type="dxa"/>
            <w:tcMar>
              <w:top w:w="16" w:type="dxa"/>
              <w:left w:w="16" w:type="dxa"/>
              <w:right w:w="16" w:type="dxa"/>
            </w:tcMar>
            <w:vAlign w:val="center"/>
          </w:tcPr>
          <w:p>
            <w:pPr>
              <w:adjustRightInd w:val="0"/>
              <w:snapToGrid w:val="0"/>
              <w:jc w:val="center"/>
              <w:rPr>
                <w:sz w:val="24"/>
              </w:rPr>
            </w:pPr>
            <w:r>
              <w:rPr>
                <w:sz w:val="24"/>
              </w:rPr>
              <w:t>建设地点</w:t>
            </w:r>
          </w:p>
        </w:tc>
        <w:tc>
          <w:tcPr>
            <w:tcW w:w="6753" w:type="dxa"/>
            <w:gridSpan w:val="3"/>
            <w:vAlign w:val="center"/>
          </w:tcPr>
          <w:p>
            <w:pPr>
              <w:adjustRightInd w:val="0"/>
              <w:snapToGrid w:val="0"/>
              <w:jc w:val="center"/>
              <w:rPr>
                <w:sz w:val="24"/>
              </w:rPr>
            </w:pPr>
            <w:r>
              <w:rPr>
                <w:sz w:val="24"/>
                <w:u w:val="single"/>
              </w:rPr>
              <w:t>陕西</w:t>
            </w:r>
            <w:r>
              <w:rPr>
                <w:sz w:val="24"/>
              </w:rPr>
              <w:t>省</w:t>
            </w:r>
            <w:r>
              <w:rPr>
                <w:sz w:val="24"/>
                <w:u w:val="single"/>
              </w:rPr>
              <w:t>西安</w:t>
            </w:r>
            <w:r>
              <w:rPr>
                <w:sz w:val="24"/>
              </w:rPr>
              <w:t>市</w:t>
            </w:r>
            <w:r>
              <w:rPr>
                <w:sz w:val="24"/>
                <w:u w:val="single"/>
              </w:rPr>
              <w:t>周至</w:t>
            </w:r>
            <w:r>
              <w:rPr>
                <w:sz w:val="24"/>
              </w:rPr>
              <w:t>县</w:t>
            </w:r>
            <w:r>
              <w:rPr>
                <w:sz w:val="24"/>
                <w:u w:val="single"/>
              </w:rPr>
              <w:t>二曲</w:t>
            </w:r>
            <w:r>
              <w:rPr>
                <w:sz w:val="24"/>
              </w:rPr>
              <w:t>街道</w:t>
            </w:r>
            <w:r>
              <w:rPr>
                <w:sz w:val="24"/>
                <w:u w:val="single"/>
              </w:rPr>
              <w:t>渭中村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7" w:type="dxa"/>
            <w:tcMar>
              <w:top w:w="16" w:type="dxa"/>
              <w:left w:w="16" w:type="dxa"/>
              <w:right w:w="16" w:type="dxa"/>
            </w:tcMar>
            <w:vAlign w:val="center"/>
          </w:tcPr>
          <w:p>
            <w:pPr>
              <w:adjustRightInd w:val="0"/>
              <w:snapToGrid w:val="0"/>
              <w:jc w:val="center"/>
              <w:rPr>
                <w:sz w:val="24"/>
              </w:rPr>
            </w:pPr>
            <w:r>
              <w:rPr>
                <w:sz w:val="24"/>
              </w:rPr>
              <w:t>地理坐标</w:t>
            </w:r>
          </w:p>
        </w:tc>
        <w:tc>
          <w:tcPr>
            <w:tcW w:w="6753" w:type="dxa"/>
            <w:gridSpan w:val="3"/>
            <w:vAlign w:val="center"/>
          </w:tcPr>
          <w:p>
            <w:pPr>
              <w:jc w:val="center"/>
              <w:rPr>
                <w:sz w:val="24"/>
              </w:rPr>
            </w:pPr>
            <w:r>
              <w:rPr>
                <w:sz w:val="24"/>
              </w:rPr>
              <w:t>（</w:t>
            </w:r>
            <w:r>
              <w:rPr>
                <w:sz w:val="24"/>
                <w:u w:val="single"/>
              </w:rPr>
              <w:t>108</w:t>
            </w:r>
            <w:r>
              <w:rPr>
                <w:sz w:val="24"/>
              </w:rPr>
              <w:t>度</w:t>
            </w:r>
            <w:r>
              <w:rPr>
                <w:sz w:val="24"/>
                <w:u w:val="single"/>
              </w:rPr>
              <w:t>14</w:t>
            </w:r>
            <w:r>
              <w:rPr>
                <w:sz w:val="24"/>
              </w:rPr>
              <w:t>分</w:t>
            </w:r>
            <w:r>
              <w:rPr>
                <w:sz w:val="24"/>
                <w:u w:val="single"/>
              </w:rPr>
              <w:t>24.275</w:t>
            </w:r>
            <w:r>
              <w:rPr>
                <w:sz w:val="24"/>
              </w:rPr>
              <w:t>秒，</w:t>
            </w:r>
            <w:r>
              <w:rPr>
                <w:sz w:val="24"/>
                <w:u w:val="single"/>
              </w:rPr>
              <w:t>34</w:t>
            </w:r>
            <w:r>
              <w:rPr>
                <w:sz w:val="24"/>
              </w:rPr>
              <w:t>度</w:t>
            </w:r>
            <w:r>
              <w:rPr>
                <w:sz w:val="24"/>
                <w:u w:val="single"/>
              </w:rPr>
              <w:t>11</w:t>
            </w:r>
            <w:r>
              <w:rPr>
                <w:sz w:val="24"/>
              </w:rPr>
              <w:t>分</w:t>
            </w:r>
            <w:r>
              <w:rPr>
                <w:sz w:val="24"/>
                <w:u w:val="single"/>
              </w:rPr>
              <w:t>45.604</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17" w:type="dxa"/>
            <w:tcMar>
              <w:top w:w="16" w:type="dxa"/>
              <w:left w:w="16" w:type="dxa"/>
              <w:right w:w="16" w:type="dxa"/>
            </w:tcMar>
            <w:vAlign w:val="center"/>
          </w:tcPr>
          <w:p>
            <w:pPr>
              <w:adjustRightInd w:val="0"/>
              <w:snapToGrid w:val="0"/>
              <w:jc w:val="center"/>
              <w:rPr>
                <w:sz w:val="24"/>
              </w:rPr>
            </w:pPr>
            <w:r>
              <w:rPr>
                <w:sz w:val="24"/>
              </w:rPr>
              <w:t>国民经济</w:t>
            </w:r>
          </w:p>
          <w:p>
            <w:pPr>
              <w:adjustRightInd w:val="0"/>
              <w:snapToGrid w:val="0"/>
              <w:jc w:val="center"/>
              <w:rPr>
                <w:sz w:val="24"/>
              </w:rPr>
            </w:pPr>
            <w:r>
              <w:rPr>
                <w:sz w:val="24"/>
              </w:rPr>
              <w:t>行业类别</w:t>
            </w:r>
          </w:p>
        </w:tc>
        <w:tc>
          <w:tcPr>
            <w:tcW w:w="1902" w:type="dxa"/>
            <w:vAlign w:val="center"/>
          </w:tcPr>
          <w:p>
            <w:pPr>
              <w:adjustRightInd w:val="0"/>
              <w:snapToGrid w:val="0"/>
              <w:jc w:val="center"/>
              <w:rPr>
                <w:sz w:val="24"/>
              </w:rPr>
            </w:pPr>
            <w:r>
              <w:rPr>
                <w:sz w:val="24"/>
              </w:rPr>
              <w:t>O8080殡葬服务</w:t>
            </w:r>
          </w:p>
        </w:tc>
        <w:tc>
          <w:tcPr>
            <w:tcW w:w="1925" w:type="dxa"/>
            <w:vAlign w:val="center"/>
          </w:tcPr>
          <w:p>
            <w:pPr>
              <w:adjustRightInd w:val="0"/>
              <w:snapToGrid w:val="0"/>
              <w:jc w:val="center"/>
              <w:rPr>
                <w:sz w:val="24"/>
              </w:rPr>
            </w:pPr>
            <w:bookmarkStart w:id="1" w:name="_Hlk49843745"/>
            <w:r>
              <w:rPr>
                <w:sz w:val="24"/>
              </w:rPr>
              <w:t>建设项目</w:t>
            </w:r>
          </w:p>
          <w:p>
            <w:pPr>
              <w:adjustRightInd w:val="0"/>
              <w:snapToGrid w:val="0"/>
              <w:jc w:val="center"/>
              <w:rPr>
                <w:sz w:val="24"/>
              </w:rPr>
            </w:pPr>
            <w:r>
              <w:rPr>
                <w:sz w:val="24"/>
              </w:rPr>
              <w:t>行业类别</w:t>
            </w:r>
            <w:bookmarkEnd w:id="1"/>
          </w:p>
        </w:tc>
        <w:tc>
          <w:tcPr>
            <w:tcW w:w="2926" w:type="dxa"/>
            <w:vAlign w:val="center"/>
          </w:tcPr>
          <w:p>
            <w:pPr>
              <w:adjustRightInd w:val="0"/>
              <w:snapToGrid w:val="0"/>
              <w:rPr>
                <w:sz w:val="24"/>
              </w:rPr>
            </w:pPr>
            <w:r>
              <w:rPr>
                <w:sz w:val="24"/>
              </w:rPr>
              <w:t>五十、社会事业与服务业 122殡仪馆、陵墓、公墓-殡仪馆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17" w:type="dxa"/>
            <w:tcMar>
              <w:top w:w="16" w:type="dxa"/>
              <w:left w:w="16" w:type="dxa"/>
              <w:right w:w="16" w:type="dxa"/>
            </w:tcMar>
            <w:vAlign w:val="center"/>
          </w:tcPr>
          <w:p>
            <w:pPr>
              <w:adjustRightInd w:val="0"/>
              <w:snapToGrid w:val="0"/>
              <w:jc w:val="center"/>
              <w:rPr>
                <w:sz w:val="24"/>
              </w:rPr>
            </w:pPr>
            <w:r>
              <w:rPr>
                <w:sz w:val="24"/>
              </w:rPr>
              <w:t>建设性质</w:t>
            </w:r>
          </w:p>
        </w:tc>
        <w:tc>
          <w:tcPr>
            <w:tcW w:w="1902" w:type="dxa"/>
            <w:vAlign w:val="center"/>
          </w:tcPr>
          <w:p>
            <w:pPr>
              <w:jc w:val="left"/>
              <w:rPr>
                <w:sz w:val="24"/>
              </w:rPr>
            </w:pPr>
            <w:r>
              <w:rPr>
                <w:kern w:val="0"/>
                <w:sz w:val="24"/>
              </w:rPr>
              <w:sym w:font="Wingdings 2" w:char="0052"/>
            </w:r>
            <w:r>
              <w:rPr>
                <w:sz w:val="24"/>
              </w:rPr>
              <w:t>新建（迁建）</w:t>
            </w:r>
          </w:p>
          <w:p>
            <w:pPr>
              <w:jc w:val="left"/>
              <w:rPr>
                <w:sz w:val="24"/>
              </w:rPr>
            </w:pPr>
            <w:r>
              <w:rPr>
                <w:sz w:val="24"/>
              </w:rPr>
              <w:sym w:font="Wingdings 2" w:char="00A3"/>
            </w:r>
            <w:r>
              <w:rPr>
                <w:sz w:val="24"/>
              </w:rPr>
              <w:t>改建</w:t>
            </w:r>
          </w:p>
          <w:p>
            <w:pPr>
              <w:jc w:val="left"/>
              <w:rPr>
                <w:sz w:val="24"/>
              </w:rPr>
            </w:pPr>
            <w:r>
              <w:rPr>
                <w:sz w:val="24"/>
              </w:rPr>
              <w:sym w:font="Wingdings 2" w:char="00A3"/>
            </w:r>
            <w:r>
              <w:rPr>
                <w:sz w:val="24"/>
              </w:rPr>
              <w:t>扩建</w:t>
            </w:r>
          </w:p>
          <w:p>
            <w:pPr>
              <w:jc w:val="left"/>
              <w:rPr>
                <w:sz w:val="24"/>
              </w:rPr>
            </w:pPr>
            <w:r>
              <w:rPr>
                <w:sz w:val="24"/>
              </w:rPr>
              <w:sym w:font="Wingdings 2" w:char="00A3"/>
            </w:r>
            <w:r>
              <w:rPr>
                <w:sz w:val="24"/>
              </w:rPr>
              <w:t>技术改造</w:t>
            </w:r>
          </w:p>
        </w:tc>
        <w:tc>
          <w:tcPr>
            <w:tcW w:w="1925" w:type="dxa"/>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2926" w:type="dxa"/>
            <w:vAlign w:val="center"/>
          </w:tcPr>
          <w:p>
            <w:pPr>
              <w:jc w:val="left"/>
              <w:rPr>
                <w:sz w:val="24"/>
              </w:rPr>
            </w:pPr>
            <w:r>
              <w:rPr>
                <w:kern w:val="0"/>
                <w:sz w:val="24"/>
              </w:rPr>
              <w:sym w:font="Wingdings 2" w:char="0052"/>
            </w:r>
            <w:r>
              <w:rPr>
                <w:sz w:val="24"/>
              </w:rPr>
              <w:t>首次申报项目</w:t>
            </w:r>
          </w:p>
          <w:p>
            <w:pPr>
              <w:jc w:val="left"/>
              <w:rPr>
                <w:sz w:val="24"/>
              </w:rPr>
            </w:pPr>
            <w:r>
              <w:rPr>
                <w:sz w:val="24"/>
              </w:rPr>
              <w:sym w:font="Wingdings 2" w:char="00A3"/>
            </w:r>
            <w:r>
              <w:rPr>
                <w:sz w:val="24"/>
              </w:rPr>
              <w:t>不予批准后再次申报项目</w:t>
            </w:r>
          </w:p>
          <w:p>
            <w:pPr>
              <w:jc w:val="left"/>
              <w:rPr>
                <w:sz w:val="24"/>
              </w:rPr>
            </w:pPr>
            <w:r>
              <w:rPr>
                <w:sz w:val="24"/>
              </w:rPr>
              <w:sym w:font="Wingdings 2" w:char="00A3"/>
            </w:r>
            <w:r>
              <w:rPr>
                <w:sz w:val="24"/>
              </w:rPr>
              <w:t>超五年重新审核项目</w:t>
            </w:r>
          </w:p>
          <w:p>
            <w:pPr>
              <w:jc w:val="left"/>
              <w:rPr>
                <w:sz w:val="24"/>
              </w:rPr>
            </w:pPr>
            <w:r>
              <w:rPr>
                <w:sz w:val="24"/>
              </w:rPr>
              <w:sym w:font="Wingdings 2" w:char="00A3"/>
            </w: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17" w:type="dxa"/>
            <w:tcMar>
              <w:top w:w="16" w:type="dxa"/>
              <w:left w:w="16" w:type="dxa"/>
              <w:right w:w="16" w:type="dxa"/>
            </w:tcMar>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备案）部门（选填）</w:t>
            </w:r>
          </w:p>
        </w:tc>
        <w:tc>
          <w:tcPr>
            <w:tcW w:w="1902" w:type="dxa"/>
            <w:vAlign w:val="center"/>
          </w:tcPr>
          <w:p>
            <w:pPr>
              <w:adjustRightInd w:val="0"/>
              <w:snapToGrid w:val="0"/>
              <w:jc w:val="center"/>
              <w:rPr>
                <w:sz w:val="24"/>
              </w:rPr>
            </w:pPr>
            <w:r>
              <w:rPr>
                <w:sz w:val="24"/>
              </w:rPr>
              <w:t>周至县发展和改革委员会</w:t>
            </w:r>
          </w:p>
        </w:tc>
        <w:tc>
          <w:tcPr>
            <w:tcW w:w="1925" w:type="dxa"/>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2926" w:type="dxa"/>
            <w:vAlign w:val="center"/>
          </w:tcPr>
          <w:p>
            <w:pPr>
              <w:adjustRightInd w:val="0"/>
              <w:snapToGrid w:val="0"/>
              <w:jc w:val="center"/>
              <w:rPr>
                <w:sz w:val="24"/>
              </w:rPr>
            </w:pPr>
            <w:r>
              <w:rPr>
                <w:sz w:val="24"/>
              </w:rPr>
              <w:t>周发改社发[2023]51号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7" w:type="dxa"/>
            <w:tcMar>
              <w:top w:w="16" w:type="dxa"/>
              <w:left w:w="16" w:type="dxa"/>
              <w:right w:w="16" w:type="dxa"/>
            </w:tcMar>
            <w:vAlign w:val="center"/>
          </w:tcPr>
          <w:p>
            <w:pPr>
              <w:adjustRightInd w:val="0"/>
              <w:snapToGrid w:val="0"/>
              <w:jc w:val="center"/>
              <w:rPr>
                <w:sz w:val="24"/>
              </w:rPr>
            </w:pPr>
            <w:r>
              <w:rPr>
                <w:sz w:val="24"/>
              </w:rPr>
              <w:t>总投资（万元）</w:t>
            </w:r>
          </w:p>
        </w:tc>
        <w:tc>
          <w:tcPr>
            <w:tcW w:w="1902" w:type="dxa"/>
            <w:vAlign w:val="center"/>
          </w:tcPr>
          <w:p>
            <w:pPr>
              <w:adjustRightInd w:val="0"/>
              <w:snapToGrid w:val="0"/>
              <w:jc w:val="center"/>
              <w:rPr>
                <w:sz w:val="24"/>
              </w:rPr>
            </w:pPr>
            <w:r>
              <w:rPr>
                <w:sz w:val="24"/>
              </w:rPr>
              <w:t>8113.33</w:t>
            </w:r>
          </w:p>
        </w:tc>
        <w:tc>
          <w:tcPr>
            <w:tcW w:w="1925" w:type="dxa"/>
            <w:tcMar>
              <w:top w:w="16" w:type="dxa"/>
              <w:left w:w="16" w:type="dxa"/>
              <w:right w:w="16" w:type="dxa"/>
            </w:tcMar>
            <w:vAlign w:val="center"/>
          </w:tcPr>
          <w:p>
            <w:pPr>
              <w:adjustRightInd w:val="0"/>
              <w:snapToGrid w:val="0"/>
              <w:jc w:val="center"/>
              <w:rPr>
                <w:sz w:val="24"/>
              </w:rPr>
            </w:pPr>
            <w:r>
              <w:rPr>
                <w:sz w:val="24"/>
              </w:rPr>
              <w:t>环保投资（万元）</w:t>
            </w:r>
          </w:p>
        </w:tc>
        <w:tc>
          <w:tcPr>
            <w:tcW w:w="2926" w:type="dxa"/>
            <w:vAlign w:val="center"/>
          </w:tcPr>
          <w:p>
            <w:pPr>
              <w:adjustRightInd w:val="0"/>
              <w:snapToGrid w:val="0"/>
              <w:jc w:val="center"/>
              <w:rPr>
                <w:sz w:val="24"/>
              </w:rPr>
            </w:pPr>
            <w:r>
              <w:rPr>
                <w:sz w:val="24"/>
              </w:rPr>
              <w:t>580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7" w:type="dxa"/>
            <w:tcMar>
              <w:top w:w="16" w:type="dxa"/>
              <w:left w:w="16" w:type="dxa"/>
              <w:right w:w="16" w:type="dxa"/>
            </w:tcMar>
            <w:vAlign w:val="center"/>
          </w:tcPr>
          <w:p>
            <w:pPr>
              <w:adjustRightInd w:val="0"/>
              <w:snapToGrid w:val="0"/>
              <w:jc w:val="center"/>
              <w:rPr>
                <w:sz w:val="24"/>
              </w:rPr>
            </w:pPr>
            <w:r>
              <w:rPr>
                <w:sz w:val="24"/>
              </w:rPr>
              <w:t>环保投资占比（%）</w:t>
            </w:r>
          </w:p>
        </w:tc>
        <w:tc>
          <w:tcPr>
            <w:tcW w:w="1902" w:type="dxa"/>
            <w:vAlign w:val="center"/>
          </w:tcPr>
          <w:p>
            <w:pPr>
              <w:adjustRightInd w:val="0"/>
              <w:snapToGrid w:val="0"/>
              <w:jc w:val="center"/>
              <w:rPr>
                <w:sz w:val="24"/>
              </w:rPr>
            </w:pPr>
            <w:r>
              <w:rPr>
                <w:sz w:val="24"/>
              </w:rPr>
              <w:t>7.15</w:t>
            </w:r>
          </w:p>
        </w:tc>
        <w:tc>
          <w:tcPr>
            <w:tcW w:w="1925" w:type="dxa"/>
            <w:tcMar>
              <w:top w:w="16" w:type="dxa"/>
              <w:left w:w="16" w:type="dxa"/>
              <w:right w:w="16" w:type="dxa"/>
            </w:tcMar>
            <w:vAlign w:val="center"/>
          </w:tcPr>
          <w:p>
            <w:pPr>
              <w:adjustRightInd w:val="0"/>
              <w:snapToGrid w:val="0"/>
              <w:jc w:val="center"/>
              <w:rPr>
                <w:sz w:val="24"/>
              </w:rPr>
            </w:pPr>
            <w:r>
              <w:rPr>
                <w:sz w:val="24"/>
              </w:rPr>
              <w:t>施工工期</w:t>
            </w:r>
          </w:p>
        </w:tc>
        <w:tc>
          <w:tcPr>
            <w:tcW w:w="2926" w:type="dxa"/>
            <w:vAlign w:val="center"/>
          </w:tcPr>
          <w:p>
            <w:pPr>
              <w:adjustRightInd w:val="0"/>
              <w:snapToGrid w:val="0"/>
              <w:jc w:val="center"/>
              <w:rPr>
                <w:sz w:val="24"/>
              </w:rPr>
            </w:pPr>
            <w:r>
              <w:rPr>
                <w:sz w:val="24"/>
              </w:rPr>
              <w:t>18个月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7" w:type="dxa"/>
            <w:tcMar>
              <w:top w:w="16" w:type="dxa"/>
              <w:left w:w="16" w:type="dxa"/>
              <w:right w:w="16" w:type="dxa"/>
            </w:tcMar>
            <w:vAlign w:val="center"/>
          </w:tcPr>
          <w:p>
            <w:pPr>
              <w:adjustRightInd w:val="0"/>
              <w:snapToGrid w:val="0"/>
              <w:jc w:val="center"/>
              <w:rPr>
                <w:sz w:val="24"/>
              </w:rPr>
            </w:pPr>
            <w:r>
              <w:rPr>
                <w:sz w:val="24"/>
              </w:rPr>
              <w:t>是否开工建设</w:t>
            </w:r>
          </w:p>
        </w:tc>
        <w:tc>
          <w:tcPr>
            <w:tcW w:w="1902" w:type="dxa"/>
            <w:vAlign w:val="center"/>
          </w:tcPr>
          <w:p>
            <w:pPr>
              <w:adjustRightInd w:val="0"/>
              <w:snapToGrid w:val="0"/>
              <w:rPr>
                <w:sz w:val="24"/>
              </w:rPr>
            </w:pPr>
            <w:r>
              <w:rPr>
                <w:kern w:val="0"/>
                <w:sz w:val="24"/>
              </w:rPr>
              <w:sym w:font="Wingdings 2" w:char="0052"/>
            </w:r>
            <w:r>
              <w:rPr>
                <w:sz w:val="24"/>
              </w:rPr>
              <w:t>否</w:t>
            </w:r>
          </w:p>
          <w:p>
            <w:pPr>
              <w:adjustRightInd w:val="0"/>
              <w:snapToGrid w:val="0"/>
              <w:rPr>
                <w:sz w:val="24"/>
              </w:rPr>
            </w:pPr>
            <w:r>
              <w:rPr>
                <w:sz w:val="24"/>
              </w:rPr>
              <w:sym w:font="Wingdings 2" w:char="00A3"/>
            </w:r>
            <w:r>
              <w:rPr>
                <w:sz w:val="24"/>
              </w:rPr>
              <w:t>是：</w:t>
            </w:r>
          </w:p>
        </w:tc>
        <w:tc>
          <w:tcPr>
            <w:tcW w:w="1925" w:type="dxa"/>
            <w:tcMar>
              <w:top w:w="16" w:type="dxa"/>
              <w:left w:w="16" w:type="dxa"/>
              <w:right w:w="16" w:type="dxa"/>
            </w:tcMar>
            <w:vAlign w:val="center"/>
          </w:tcPr>
          <w:p>
            <w:pPr>
              <w:adjustRightInd w:val="0"/>
              <w:snapToGrid w:val="0"/>
              <w:jc w:val="center"/>
              <w:rPr>
                <w:sz w:val="24"/>
              </w:rPr>
            </w:pPr>
            <w:r>
              <w:rPr>
                <w:sz w:val="24"/>
              </w:rPr>
              <w:t>用地（用海）</w:t>
            </w:r>
          </w:p>
          <w:p>
            <w:pPr>
              <w:adjustRightInd w:val="0"/>
              <w:snapToGrid w:val="0"/>
              <w:jc w:val="center"/>
              <w:rPr>
                <w:sz w:val="24"/>
              </w:rPr>
            </w:pPr>
            <w:r>
              <w:rPr>
                <w:sz w:val="24"/>
              </w:rPr>
              <w:t>面积（m</w:t>
            </w:r>
            <w:r>
              <w:rPr>
                <w:sz w:val="24"/>
                <w:vertAlign w:val="superscript"/>
              </w:rPr>
              <w:t>2</w:t>
            </w:r>
            <w:r>
              <w:rPr>
                <w:sz w:val="24"/>
              </w:rPr>
              <w:t>）</w:t>
            </w:r>
          </w:p>
        </w:tc>
        <w:tc>
          <w:tcPr>
            <w:tcW w:w="2926" w:type="dxa"/>
            <w:vAlign w:val="center"/>
          </w:tcPr>
          <w:p>
            <w:pPr>
              <w:adjustRightInd w:val="0"/>
              <w:snapToGrid w:val="0"/>
              <w:jc w:val="center"/>
              <w:rPr>
                <w:sz w:val="24"/>
              </w:rPr>
            </w:pPr>
            <w:r>
              <w:rPr>
                <w:sz w:val="24"/>
              </w:rPr>
              <w:t>39394.94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2117" w:type="dxa"/>
            <w:vAlign w:val="center"/>
          </w:tcPr>
          <w:p>
            <w:pPr>
              <w:autoSpaceDE w:val="0"/>
              <w:autoSpaceDN w:val="0"/>
              <w:adjustRightInd w:val="0"/>
              <w:snapToGrid w:val="0"/>
              <w:jc w:val="center"/>
              <w:rPr>
                <w:kern w:val="0"/>
                <w:sz w:val="24"/>
              </w:rPr>
            </w:pPr>
            <w:r>
              <w:rPr>
                <w:kern w:val="0"/>
                <w:sz w:val="24"/>
              </w:rPr>
              <w:t>专项评价设置情况</w:t>
            </w:r>
          </w:p>
        </w:tc>
        <w:tc>
          <w:tcPr>
            <w:tcW w:w="6753" w:type="dxa"/>
            <w:gridSpan w:val="3"/>
            <w:vAlign w:val="center"/>
          </w:tcPr>
          <w:p>
            <w:pPr>
              <w:jc w:val="center"/>
              <w:rPr>
                <w:b/>
                <w:sz w:val="24"/>
              </w:rPr>
            </w:pPr>
            <w:r>
              <w:rPr>
                <w:b/>
                <w:sz w:val="24"/>
              </w:rPr>
              <w:t>表1-1 专项评价设置情况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3103"/>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pct"/>
                  <w:vAlign w:val="center"/>
                </w:tcPr>
                <w:p>
                  <w:pPr>
                    <w:widowControl/>
                    <w:adjustRightInd w:val="0"/>
                    <w:snapToGrid w:val="0"/>
                    <w:jc w:val="center"/>
                    <w:rPr>
                      <w:b/>
                      <w:kern w:val="0"/>
                      <w:szCs w:val="21"/>
                    </w:rPr>
                  </w:pPr>
                  <w:r>
                    <w:rPr>
                      <w:b/>
                      <w:kern w:val="0"/>
                      <w:szCs w:val="21"/>
                    </w:rPr>
                    <w:t>专项评价的类别</w:t>
                  </w:r>
                </w:p>
              </w:tc>
              <w:tc>
                <w:tcPr>
                  <w:tcW w:w="2377" w:type="pct"/>
                  <w:vAlign w:val="center"/>
                </w:tcPr>
                <w:p>
                  <w:pPr>
                    <w:widowControl/>
                    <w:adjustRightInd w:val="0"/>
                    <w:snapToGrid w:val="0"/>
                    <w:jc w:val="center"/>
                    <w:rPr>
                      <w:b/>
                      <w:kern w:val="0"/>
                      <w:szCs w:val="21"/>
                    </w:rPr>
                  </w:pPr>
                  <w:r>
                    <w:rPr>
                      <w:b/>
                      <w:kern w:val="0"/>
                      <w:szCs w:val="21"/>
                    </w:rPr>
                    <w:t>设置原则</w:t>
                  </w:r>
                </w:p>
              </w:tc>
              <w:tc>
                <w:tcPr>
                  <w:tcW w:w="1684" w:type="pct"/>
                  <w:vAlign w:val="center"/>
                </w:tcPr>
                <w:p>
                  <w:pPr>
                    <w:widowControl/>
                    <w:adjustRightInd w:val="0"/>
                    <w:snapToGrid w:val="0"/>
                    <w:jc w:val="center"/>
                    <w:rPr>
                      <w:b/>
                      <w:kern w:val="0"/>
                      <w:szCs w:val="21"/>
                    </w:rPr>
                  </w:pPr>
                  <w:r>
                    <w:rPr>
                      <w:b/>
                      <w:kern w:val="0"/>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pct"/>
                  <w:vAlign w:val="center"/>
                </w:tcPr>
                <w:p>
                  <w:pPr>
                    <w:widowControl/>
                    <w:adjustRightInd w:val="0"/>
                    <w:snapToGrid w:val="0"/>
                    <w:jc w:val="center"/>
                    <w:rPr>
                      <w:kern w:val="0"/>
                      <w:szCs w:val="21"/>
                    </w:rPr>
                  </w:pPr>
                  <w:r>
                    <w:rPr>
                      <w:kern w:val="0"/>
                      <w:szCs w:val="21"/>
                    </w:rPr>
                    <w:t>大气</w:t>
                  </w:r>
                </w:p>
              </w:tc>
              <w:tc>
                <w:tcPr>
                  <w:tcW w:w="2377" w:type="pct"/>
                  <w:vAlign w:val="center"/>
                </w:tcPr>
                <w:p>
                  <w:pPr>
                    <w:widowControl/>
                    <w:adjustRightInd w:val="0"/>
                    <w:snapToGrid w:val="0"/>
                    <w:rPr>
                      <w:kern w:val="0"/>
                      <w:szCs w:val="21"/>
                    </w:rPr>
                  </w:pPr>
                  <w:r>
                    <w:rPr>
                      <w:kern w:val="0"/>
                      <w:szCs w:val="21"/>
                    </w:rPr>
                    <w:t>排放废气含有毒有害污染物、二噁英、苯并[a]芘、氰化物、氯气且厂界外500米范围内有环境空气保护目标的建设项目</w:t>
                  </w:r>
                </w:p>
              </w:tc>
              <w:tc>
                <w:tcPr>
                  <w:tcW w:w="1684" w:type="pct"/>
                  <w:vAlign w:val="center"/>
                </w:tcPr>
                <w:p>
                  <w:pPr>
                    <w:widowControl/>
                    <w:adjustRightInd w:val="0"/>
                    <w:snapToGrid w:val="0"/>
                    <w:rPr>
                      <w:kern w:val="0"/>
                      <w:szCs w:val="21"/>
                    </w:rPr>
                  </w:pPr>
                  <w:r>
                    <w:rPr>
                      <w:kern w:val="0"/>
                      <w:szCs w:val="21"/>
                    </w:rPr>
                    <w:t>本项目排放废气含有二噁英且厂界外500米范围内有渭中村等环境空气保护目标</w:t>
                  </w:r>
                </w:p>
              </w:tc>
            </w:tr>
          </w:tbl>
          <w:p>
            <w:pPr>
              <w:autoSpaceDE w:val="0"/>
              <w:autoSpaceDN w:val="0"/>
              <w:adjustRightInd w:val="0"/>
              <w:snapToGrid w:val="0"/>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17" w:type="dxa"/>
            <w:vAlign w:val="center"/>
          </w:tcPr>
          <w:p>
            <w:pPr>
              <w:autoSpaceDE w:val="0"/>
              <w:autoSpaceDN w:val="0"/>
              <w:adjustRightInd w:val="0"/>
              <w:snapToGrid w:val="0"/>
              <w:jc w:val="center"/>
              <w:rPr>
                <w:kern w:val="0"/>
                <w:sz w:val="24"/>
              </w:rPr>
            </w:pPr>
            <w:r>
              <w:rPr>
                <w:sz w:val="24"/>
              </w:rPr>
              <w:t>规划情况</w:t>
            </w:r>
          </w:p>
        </w:tc>
        <w:tc>
          <w:tcPr>
            <w:tcW w:w="6753" w:type="dxa"/>
            <w:gridSpan w:val="3"/>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17" w:type="dxa"/>
            <w:vAlign w:val="center"/>
          </w:tcPr>
          <w:p>
            <w:pPr>
              <w:adjustRightInd w:val="0"/>
              <w:snapToGrid w:val="0"/>
              <w:jc w:val="center"/>
              <w:rPr>
                <w:sz w:val="24"/>
              </w:rPr>
            </w:pPr>
            <w:r>
              <w:rPr>
                <w:sz w:val="24"/>
              </w:rPr>
              <w:t>规划环境影响</w:t>
            </w:r>
          </w:p>
          <w:p>
            <w:pPr>
              <w:adjustRightInd w:val="0"/>
              <w:snapToGrid w:val="0"/>
              <w:jc w:val="center"/>
              <w:rPr>
                <w:kern w:val="0"/>
                <w:sz w:val="24"/>
              </w:rPr>
            </w:pPr>
            <w:r>
              <w:rPr>
                <w:sz w:val="24"/>
              </w:rPr>
              <w:t>评价情况</w:t>
            </w:r>
          </w:p>
        </w:tc>
        <w:tc>
          <w:tcPr>
            <w:tcW w:w="6753" w:type="dxa"/>
            <w:gridSpan w:val="3"/>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17" w:type="dxa"/>
            <w:vAlign w:val="center"/>
          </w:tcPr>
          <w:p>
            <w:pPr>
              <w:autoSpaceDE w:val="0"/>
              <w:autoSpaceDN w:val="0"/>
              <w:adjustRightInd w:val="0"/>
              <w:snapToGrid w:val="0"/>
              <w:jc w:val="center"/>
              <w:rPr>
                <w:kern w:val="0"/>
                <w:sz w:val="24"/>
              </w:rPr>
            </w:pPr>
            <w:r>
              <w:rPr>
                <w:kern w:val="0"/>
                <w:sz w:val="24"/>
              </w:rPr>
              <w:t>规划及规划环境</w:t>
            </w:r>
          </w:p>
          <w:p>
            <w:pPr>
              <w:autoSpaceDE w:val="0"/>
              <w:autoSpaceDN w:val="0"/>
              <w:adjustRightInd w:val="0"/>
              <w:snapToGrid w:val="0"/>
              <w:jc w:val="center"/>
              <w:rPr>
                <w:kern w:val="0"/>
                <w:sz w:val="24"/>
              </w:rPr>
            </w:pPr>
            <w:r>
              <w:rPr>
                <w:kern w:val="0"/>
                <w:sz w:val="24"/>
              </w:rPr>
              <w:t>影响评价符合性分析</w:t>
            </w:r>
          </w:p>
        </w:tc>
        <w:tc>
          <w:tcPr>
            <w:tcW w:w="6753" w:type="dxa"/>
            <w:gridSpan w:val="3"/>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39" w:hRule="atLeast"/>
          <w:jc w:val="center"/>
        </w:trPr>
        <w:tc>
          <w:tcPr>
            <w:tcW w:w="2117" w:type="dxa"/>
            <w:vAlign w:val="center"/>
          </w:tcPr>
          <w:p>
            <w:pPr>
              <w:autoSpaceDE w:val="0"/>
              <w:autoSpaceDN w:val="0"/>
              <w:adjustRightInd w:val="0"/>
              <w:snapToGrid w:val="0"/>
              <w:jc w:val="center"/>
              <w:rPr>
                <w:kern w:val="0"/>
                <w:sz w:val="24"/>
              </w:rPr>
            </w:pPr>
            <w:r>
              <w:rPr>
                <w:kern w:val="0"/>
                <w:sz w:val="24"/>
              </w:rPr>
              <w:t>其他符合性分析</w:t>
            </w:r>
          </w:p>
        </w:tc>
        <w:tc>
          <w:tcPr>
            <w:tcW w:w="6753" w:type="dxa"/>
            <w:gridSpan w:val="3"/>
            <w:vAlign w:val="center"/>
          </w:tcPr>
          <w:p>
            <w:pPr>
              <w:adjustRightInd w:val="0"/>
              <w:snapToGrid w:val="0"/>
              <w:spacing w:line="360" w:lineRule="auto"/>
              <w:ind w:firstLine="482" w:firstLineChars="200"/>
              <w:jc w:val="left"/>
              <w:rPr>
                <w:b/>
                <w:sz w:val="24"/>
              </w:rPr>
            </w:pPr>
            <w:r>
              <w:rPr>
                <w:b/>
                <w:sz w:val="24"/>
              </w:rPr>
              <w:t>1、产业政策符合性分析</w:t>
            </w:r>
          </w:p>
          <w:p>
            <w:pPr>
              <w:adjustRightInd w:val="0"/>
              <w:snapToGrid w:val="0"/>
              <w:spacing w:line="360" w:lineRule="auto"/>
              <w:ind w:left="105" w:leftChars="50" w:firstLine="360" w:firstLineChars="150"/>
              <w:rPr>
                <w:sz w:val="24"/>
              </w:rPr>
            </w:pPr>
            <w:r>
              <w:rPr>
                <w:sz w:val="24"/>
              </w:rPr>
              <w:t>本项目属于O8080殡葬服务，《产业结构调整指导目录》（2024年</w:t>
            </w:r>
            <w:r>
              <w:rPr>
                <w:rFonts w:hint="eastAsia"/>
                <w:sz w:val="24"/>
              </w:rPr>
              <w:t>本</w:t>
            </w:r>
            <w:r>
              <w:rPr>
                <w:sz w:val="24"/>
              </w:rPr>
              <w:t>）中本项目不属于鼓励类、限制类及淘汰类项目，属于允许类。同时本项目不在《陕西省限制投资类产业指导目录》（陕发改产业[2007]97号）和《市场准入负面清单》（2022年版）。本项目于2023年3月2日取得“周至县发展和改革委员会关于变更周至县殡仪馆项目建议书批复部分内容的批复”（周发改社发〔2023〕28号）</w:t>
            </w:r>
            <w:r>
              <w:rPr>
                <w:rFonts w:hint="eastAsia"/>
                <w:sz w:val="24"/>
              </w:rPr>
              <w:t>（见</w:t>
            </w:r>
            <w:r>
              <w:rPr>
                <w:sz w:val="24"/>
              </w:rPr>
              <w:t>附件</w:t>
            </w:r>
            <w:r>
              <w:rPr>
                <w:rFonts w:hint="eastAsia"/>
                <w:sz w:val="24"/>
              </w:rPr>
              <w:t>3）</w:t>
            </w:r>
            <w:r>
              <w:rPr>
                <w:sz w:val="24"/>
              </w:rPr>
              <w:t>；2023年4月10日取得“周至县发展和改革委员会关于变更周至县殡仪馆建设项目可行性研究报告批复内容的批复”（周发改社发〔2023〕51号）</w:t>
            </w:r>
            <w:r>
              <w:rPr>
                <w:rFonts w:hint="eastAsia"/>
                <w:sz w:val="24"/>
              </w:rPr>
              <w:t>（见</w:t>
            </w:r>
            <w:r>
              <w:rPr>
                <w:sz w:val="24"/>
              </w:rPr>
              <w:t>附件</w:t>
            </w:r>
            <w:r>
              <w:rPr>
                <w:rFonts w:hint="eastAsia"/>
                <w:sz w:val="24"/>
              </w:rPr>
              <w:t>2）；2023年7月7日</w:t>
            </w:r>
            <w:r>
              <w:rPr>
                <w:sz w:val="24"/>
              </w:rPr>
              <w:t>取得</w:t>
            </w:r>
            <w:r>
              <w:rPr>
                <w:rFonts w:hint="eastAsia"/>
                <w:sz w:val="24"/>
              </w:rPr>
              <w:t>“周至县</w:t>
            </w:r>
            <w:r>
              <w:rPr>
                <w:sz w:val="24"/>
              </w:rPr>
              <w:t>发展和改革委员会</w:t>
            </w:r>
            <w:r>
              <w:rPr>
                <w:rFonts w:hint="eastAsia"/>
                <w:sz w:val="24"/>
              </w:rPr>
              <w:t>关于</w:t>
            </w:r>
            <w:r>
              <w:rPr>
                <w:sz w:val="24"/>
              </w:rPr>
              <w:t>周至县殡仪馆建设项目初步设计的批复</w:t>
            </w:r>
            <w:r>
              <w:rPr>
                <w:rFonts w:hint="eastAsia"/>
                <w:sz w:val="24"/>
              </w:rPr>
              <w:t>”（周</w:t>
            </w:r>
            <w:r>
              <w:rPr>
                <w:sz w:val="24"/>
              </w:rPr>
              <w:t>发改社发</w:t>
            </w:r>
            <w:r>
              <w:rPr>
                <w:rFonts w:hint="eastAsia" w:ascii="宋体" w:hAnsi="宋体"/>
                <w:sz w:val="24"/>
              </w:rPr>
              <w:t>〔</w:t>
            </w:r>
            <w:r>
              <w:rPr>
                <w:rFonts w:hint="eastAsia"/>
                <w:sz w:val="24"/>
              </w:rPr>
              <w:t>2023</w:t>
            </w:r>
            <w:r>
              <w:rPr>
                <w:rFonts w:hint="eastAsia" w:ascii="宋体" w:hAnsi="宋体"/>
                <w:sz w:val="24"/>
              </w:rPr>
              <w:t>〕</w:t>
            </w:r>
            <w:r>
              <w:rPr>
                <w:sz w:val="24"/>
              </w:rPr>
              <w:t>162</w:t>
            </w:r>
            <w:r>
              <w:rPr>
                <w:rFonts w:hint="eastAsia"/>
                <w:sz w:val="24"/>
              </w:rPr>
              <w:t>号）（见</w:t>
            </w:r>
            <w:r>
              <w:rPr>
                <w:sz w:val="24"/>
              </w:rPr>
              <w:t>附件</w:t>
            </w:r>
            <w:r>
              <w:rPr>
                <w:rFonts w:hint="eastAsia"/>
                <w:sz w:val="24"/>
              </w:rPr>
              <w:t>1）</w:t>
            </w:r>
            <w:r>
              <w:rPr>
                <w:sz w:val="24"/>
              </w:rPr>
              <w:t>。</w:t>
            </w:r>
          </w:p>
          <w:p>
            <w:pPr>
              <w:adjustRightInd w:val="0"/>
              <w:snapToGrid w:val="0"/>
              <w:spacing w:line="360" w:lineRule="auto"/>
              <w:ind w:firstLine="480" w:firstLineChars="200"/>
              <w:jc w:val="left"/>
              <w:rPr>
                <w:sz w:val="24"/>
              </w:rPr>
            </w:pPr>
            <w:r>
              <w:rPr>
                <w:sz w:val="24"/>
              </w:rPr>
              <w:t>因此，本项目建设符合国家及地方相关产业政策及法律法规要求。</w:t>
            </w:r>
          </w:p>
          <w:p>
            <w:pPr>
              <w:adjustRightInd w:val="0"/>
              <w:snapToGrid w:val="0"/>
              <w:spacing w:line="360" w:lineRule="auto"/>
              <w:ind w:firstLine="482" w:firstLineChars="200"/>
              <w:jc w:val="left"/>
              <w:rPr>
                <w:b/>
                <w:sz w:val="24"/>
              </w:rPr>
            </w:pPr>
            <w:r>
              <w:rPr>
                <w:b/>
                <w:sz w:val="24"/>
              </w:rPr>
              <w:t>2、“三线一单”符合性分析</w:t>
            </w:r>
          </w:p>
          <w:p>
            <w:pPr>
              <w:topLinePunct/>
              <w:adjustRightInd w:val="0"/>
              <w:snapToGrid w:val="0"/>
              <w:spacing w:line="360" w:lineRule="auto"/>
              <w:ind w:firstLine="480" w:firstLineChars="200"/>
              <w:rPr>
                <w:sz w:val="24"/>
              </w:rPr>
            </w:pPr>
            <w:r>
              <w:rPr>
                <w:sz w:val="24"/>
              </w:rPr>
              <w:t>本项目“三线一单”符合情况见表1-1。</w:t>
            </w:r>
          </w:p>
          <w:p>
            <w:pPr>
              <w:adjustRightInd w:val="0"/>
              <w:snapToGrid w:val="0"/>
              <w:jc w:val="center"/>
              <w:rPr>
                <w:b/>
                <w:kern w:val="0"/>
                <w:sz w:val="24"/>
              </w:rPr>
            </w:pPr>
            <w:r>
              <w:rPr>
                <w:b/>
                <w:kern w:val="0"/>
                <w:sz w:val="24"/>
              </w:rPr>
              <w:t>表1-1项目与“三线一单”符合性分析</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4614"/>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vAlign w:val="center"/>
                </w:tcPr>
                <w:p>
                  <w:pPr>
                    <w:jc w:val="center"/>
                    <w:rPr>
                      <w:b/>
                      <w:szCs w:val="21"/>
                    </w:rPr>
                  </w:pPr>
                  <w:r>
                    <w:rPr>
                      <w:b/>
                      <w:szCs w:val="21"/>
                    </w:rPr>
                    <w:t>三线一单</w:t>
                  </w:r>
                </w:p>
              </w:tc>
              <w:tc>
                <w:tcPr>
                  <w:tcW w:w="3535" w:type="pct"/>
                  <w:vAlign w:val="center"/>
                </w:tcPr>
                <w:p>
                  <w:pPr>
                    <w:jc w:val="center"/>
                    <w:rPr>
                      <w:b/>
                      <w:szCs w:val="21"/>
                    </w:rPr>
                  </w:pPr>
                  <w:r>
                    <w:rPr>
                      <w:b/>
                      <w:szCs w:val="21"/>
                    </w:rPr>
                    <w:t>本项目情况</w:t>
                  </w:r>
                </w:p>
              </w:tc>
              <w:tc>
                <w:tcPr>
                  <w:tcW w:w="630" w:type="pct"/>
                  <w:vAlign w:val="center"/>
                </w:tcPr>
                <w:p>
                  <w:pPr>
                    <w:jc w:val="center"/>
                    <w:rPr>
                      <w:b/>
                      <w:szCs w:val="21"/>
                    </w:rPr>
                  </w:pPr>
                  <w:r>
                    <w:rPr>
                      <w:b/>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vAlign w:val="center"/>
                </w:tcPr>
                <w:p>
                  <w:pPr>
                    <w:jc w:val="center"/>
                    <w:rPr>
                      <w:szCs w:val="21"/>
                    </w:rPr>
                  </w:pPr>
                  <w:r>
                    <w:rPr>
                      <w:szCs w:val="21"/>
                    </w:rPr>
                    <w:t>生态保护红线</w:t>
                  </w:r>
                </w:p>
              </w:tc>
              <w:tc>
                <w:tcPr>
                  <w:tcW w:w="3535" w:type="pct"/>
                  <w:vAlign w:val="center"/>
                </w:tcPr>
                <w:p>
                  <w:pPr>
                    <w:tabs>
                      <w:tab w:val="left" w:pos="0"/>
                    </w:tabs>
                    <w:rPr>
                      <w:szCs w:val="21"/>
                    </w:rPr>
                  </w:pPr>
                  <w:r>
                    <w:rPr>
                      <w:szCs w:val="21"/>
                    </w:rPr>
                    <w:t>项目位于陕西省周至县二曲街办渭中村，项目建设不涉及生态保护红线。</w:t>
                  </w:r>
                </w:p>
              </w:tc>
              <w:tc>
                <w:tcPr>
                  <w:tcW w:w="630" w:type="pct"/>
                  <w:vAlign w:val="center"/>
                </w:tcPr>
                <w:p>
                  <w:pPr>
                    <w:tabs>
                      <w:tab w:val="left" w:pos="0"/>
                    </w:tabs>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vAlign w:val="center"/>
                </w:tcPr>
                <w:p>
                  <w:pPr>
                    <w:jc w:val="center"/>
                    <w:rPr>
                      <w:szCs w:val="21"/>
                    </w:rPr>
                  </w:pPr>
                  <w:r>
                    <w:rPr>
                      <w:szCs w:val="21"/>
                    </w:rPr>
                    <w:t>环境质量底线</w:t>
                  </w:r>
                </w:p>
              </w:tc>
              <w:tc>
                <w:tcPr>
                  <w:tcW w:w="3535" w:type="pct"/>
                  <w:vAlign w:val="center"/>
                </w:tcPr>
                <w:p>
                  <w:pPr>
                    <w:rPr>
                      <w:kern w:val="0"/>
                      <w:szCs w:val="21"/>
                    </w:rPr>
                  </w:pPr>
                  <w:r>
                    <w:rPr>
                      <w:bCs/>
                      <w:szCs w:val="21"/>
                    </w:rPr>
                    <w:t>根据项目区环境质量现状调查和本项目污染物排放核算，本项目建成后污染物可达标排放，对周边的环境影响较小，不触及环境质量底线。</w:t>
                  </w:r>
                </w:p>
              </w:tc>
              <w:tc>
                <w:tcPr>
                  <w:tcW w:w="630" w:type="pct"/>
                  <w:vAlign w:val="center"/>
                </w:tcPr>
                <w:p>
                  <w:pPr>
                    <w:autoSpaceDE w:val="0"/>
                    <w:autoSpaceDN w:val="0"/>
                    <w:adjustRightIn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vAlign w:val="center"/>
                </w:tcPr>
                <w:p>
                  <w:pPr>
                    <w:jc w:val="center"/>
                    <w:rPr>
                      <w:szCs w:val="21"/>
                    </w:rPr>
                  </w:pPr>
                  <w:r>
                    <w:rPr>
                      <w:szCs w:val="21"/>
                    </w:rPr>
                    <w:t>资源利用上线</w:t>
                  </w:r>
                </w:p>
              </w:tc>
              <w:tc>
                <w:tcPr>
                  <w:tcW w:w="3535" w:type="pct"/>
                  <w:vAlign w:val="center"/>
                </w:tcPr>
                <w:p>
                  <w:pPr>
                    <w:tabs>
                      <w:tab w:val="left" w:pos="0"/>
                    </w:tabs>
                    <w:rPr>
                      <w:szCs w:val="21"/>
                    </w:rPr>
                  </w:pPr>
                  <w:r>
                    <w:rPr>
                      <w:szCs w:val="21"/>
                    </w:rPr>
                    <w:t>项目生产过程中主要消耗水、电、天然气，均由市政供给，不触及</w:t>
                  </w:r>
                  <w:r>
                    <w:rPr>
                      <w:bCs/>
                      <w:szCs w:val="21"/>
                    </w:rPr>
                    <w:t>资源利用上线。</w:t>
                  </w:r>
                </w:p>
              </w:tc>
              <w:tc>
                <w:tcPr>
                  <w:tcW w:w="630" w:type="pct"/>
                  <w:vAlign w:val="center"/>
                </w:tcPr>
                <w:p>
                  <w:pPr>
                    <w:tabs>
                      <w:tab w:val="left" w:pos="0"/>
                    </w:tabs>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vAlign w:val="center"/>
                </w:tcPr>
                <w:p>
                  <w:pPr>
                    <w:jc w:val="center"/>
                    <w:rPr>
                      <w:szCs w:val="21"/>
                    </w:rPr>
                  </w:pPr>
                  <w:r>
                    <w:rPr>
                      <w:szCs w:val="21"/>
                    </w:rPr>
                    <w:t>生态环境准入清单</w:t>
                  </w:r>
                </w:p>
              </w:tc>
              <w:tc>
                <w:tcPr>
                  <w:tcW w:w="3535" w:type="pct"/>
                  <w:vAlign w:val="center"/>
                </w:tcPr>
                <w:p>
                  <w:pPr>
                    <w:tabs>
                      <w:tab w:val="left" w:pos="0"/>
                    </w:tabs>
                    <w:rPr>
                      <w:szCs w:val="21"/>
                    </w:rPr>
                  </w:pPr>
                  <w:r>
                    <w:rPr>
                      <w:szCs w:val="21"/>
                    </w:rPr>
                    <w:t>项目不属于《陕西省国家重点生态功能区产业准入负面清单（试行）》中限制类和禁止类；符合《西安市生态环境总体准入清单》和《西安市生态环境分区管控准入清单》；不在《陕西省限制投资类产业指导目录》和《市场准入负面清单》（2022年版）中，不在《产业结构调整指导目录》（2021年修改）限制类和淘汰类。</w:t>
                  </w:r>
                </w:p>
              </w:tc>
              <w:tc>
                <w:tcPr>
                  <w:tcW w:w="630" w:type="pct"/>
                  <w:vAlign w:val="center"/>
                </w:tcPr>
                <w:p>
                  <w:pPr>
                    <w:tabs>
                      <w:tab w:val="left" w:pos="0"/>
                    </w:tabs>
                    <w:jc w:val="center"/>
                    <w:rPr>
                      <w:szCs w:val="21"/>
                    </w:rPr>
                  </w:pPr>
                  <w:r>
                    <w:rPr>
                      <w:szCs w:val="21"/>
                    </w:rPr>
                    <w:t>符合</w:t>
                  </w:r>
                </w:p>
              </w:tc>
            </w:tr>
          </w:tbl>
          <w:p>
            <w:pPr>
              <w:adjustRightInd w:val="0"/>
              <w:snapToGrid w:val="0"/>
              <w:spacing w:line="360" w:lineRule="auto"/>
              <w:ind w:firstLine="480" w:firstLineChars="200"/>
              <w:rPr>
                <w:sz w:val="24"/>
              </w:rPr>
            </w:pPr>
            <w:r>
              <w:rPr>
                <w:sz w:val="24"/>
              </w:rPr>
              <w:t>根据陕西省生态环境厅办公室关于印发《陕西省“三线一单”生态环境分区管控应用技术指南：环境影响评价（试行）》的通知（陕环办〔2022〕76号）及《西安市人民政府关于印发“三线一单”生态环境分区管控实施方案的通知》（市政发〔2021〕22号）要求，本项目与环境管控单元对照采用采取“一图一表一说明”的表达方式，本项目在陕西省“三线一单”数据应用系统平台（V1.0）对照分析报告见附件</w:t>
            </w:r>
            <w:r>
              <w:rPr>
                <w:rFonts w:hint="eastAsia"/>
                <w:sz w:val="24"/>
              </w:rPr>
              <w:t>6</w:t>
            </w:r>
            <w:r>
              <w:rPr>
                <w:sz w:val="24"/>
              </w:rPr>
              <w:t>。“一图”具体见图附图3，“一表”分析结果表具体见下表1-2。</w:t>
            </w:r>
          </w:p>
          <w:p>
            <w:pPr>
              <w:adjustRightInd w:val="0"/>
              <w:snapToGrid w:val="0"/>
              <w:jc w:val="center"/>
              <w:rPr>
                <w:b/>
                <w:sz w:val="24"/>
              </w:rPr>
            </w:pPr>
            <w:r>
              <w:rPr>
                <w:b/>
                <w:sz w:val="24"/>
              </w:rPr>
              <w:t>表1-2项目与“三线一单”符合性分析表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3"/>
              <w:gridCol w:w="372"/>
              <w:gridCol w:w="567"/>
              <w:gridCol w:w="567"/>
              <w:gridCol w:w="567"/>
              <w:gridCol w:w="2475"/>
              <w:gridCol w:w="670"/>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3" w:type="pct"/>
                  <w:vAlign w:val="center"/>
                </w:tcPr>
                <w:p>
                  <w:pPr>
                    <w:adjustRightInd w:val="0"/>
                    <w:snapToGrid w:val="0"/>
                    <w:jc w:val="center"/>
                    <w:rPr>
                      <w:b/>
                      <w:szCs w:val="21"/>
                    </w:rPr>
                  </w:pPr>
                  <w:r>
                    <w:rPr>
                      <w:b/>
                      <w:szCs w:val="21"/>
                    </w:rPr>
                    <w:t>市（区）</w:t>
                  </w:r>
                </w:p>
              </w:tc>
              <w:tc>
                <w:tcPr>
                  <w:tcW w:w="285" w:type="pct"/>
                  <w:vAlign w:val="center"/>
                </w:tcPr>
                <w:p>
                  <w:pPr>
                    <w:adjustRightInd w:val="0"/>
                    <w:snapToGrid w:val="0"/>
                    <w:jc w:val="center"/>
                    <w:rPr>
                      <w:b/>
                      <w:szCs w:val="21"/>
                    </w:rPr>
                  </w:pPr>
                  <w:r>
                    <w:rPr>
                      <w:b/>
                      <w:szCs w:val="21"/>
                    </w:rPr>
                    <w:t>区县</w:t>
                  </w:r>
                </w:p>
              </w:tc>
              <w:tc>
                <w:tcPr>
                  <w:tcW w:w="434" w:type="pct"/>
                  <w:vAlign w:val="center"/>
                </w:tcPr>
                <w:p>
                  <w:pPr>
                    <w:adjustRightInd w:val="0"/>
                    <w:snapToGrid w:val="0"/>
                    <w:jc w:val="center"/>
                    <w:rPr>
                      <w:b/>
                      <w:szCs w:val="21"/>
                    </w:rPr>
                  </w:pPr>
                  <w:r>
                    <w:rPr>
                      <w:b/>
                      <w:szCs w:val="21"/>
                    </w:rPr>
                    <w:t>环境管控单元名称</w:t>
                  </w:r>
                </w:p>
              </w:tc>
              <w:tc>
                <w:tcPr>
                  <w:tcW w:w="434" w:type="pct"/>
                  <w:vAlign w:val="center"/>
                </w:tcPr>
                <w:p>
                  <w:pPr>
                    <w:adjustRightInd w:val="0"/>
                    <w:snapToGrid w:val="0"/>
                    <w:jc w:val="center"/>
                    <w:rPr>
                      <w:b/>
                      <w:szCs w:val="21"/>
                    </w:rPr>
                  </w:pPr>
                  <w:r>
                    <w:rPr>
                      <w:b/>
                      <w:szCs w:val="21"/>
                    </w:rPr>
                    <w:t>单元要素属性</w:t>
                  </w:r>
                </w:p>
              </w:tc>
              <w:tc>
                <w:tcPr>
                  <w:tcW w:w="434" w:type="pct"/>
                  <w:vAlign w:val="center"/>
                </w:tcPr>
                <w:p>
                  <w:pPr>
                    <w:adjustRightInd w:val="0"/>
                    <w:snapToGrid w:val="0"/>
                    <w:jc w:val="center"/>
                    <w:rPr>
                      <w:b/>
                      <w:szCs w:val="21"/>
                    </w:rPr>
                  </w:pPr>
                  <w:r>
                    <w:rPr>
                      <w:b/>
                      <w:szCs w:val="21"/>
                    </w:rPr>
                    <w:t>管控要求分类</w:t>
                  </w:r>
                </w:p>
              </w:tc>
              <w:tc>
                <w:tcPr>
                  <w:tcW w:w="1896" w:type="pct"/>
                  <w:vAlign w:val="center"/>
                </w:tcPr>
                <w:p>
                  <w:pPr>
                    <w:adjustRightInd w:val="0"/>
                    <w:snapToGrid w:val="0"/>
                    <w:jc w:val="center"/>
                    <w:rPr>
                      <w:b/>
                      <w:szCs w:val="21"/>
                    </w:rPr>
                  </w:pPr>
                  <w:r>
                    <w:rPr>
                      <w:b/>
                      <w:szCs w:val="21"/>
                    </w:rPr>
                    <w:t>管控要求</w:t>
                  </w:r>
                </w:p>
              </w:tc>
              <w:tc>
                <w:tcPr>
                  <w:tcW w:w="513" w:type="pct"/>
                  <w:vAlign w:val="center"/>
                </w:tcPr>
                <w:p>
                  <w:pPr>
                    <w:adjustRightInd w:val="0"/>
                    <w:snapToGrid w:val="0"/>
                    <w:jc w:val="center"/>
                    <w:rPr>
                      <w:b/>
                      <w:szCs w:val="21"/>
                    </w:rPr>
                  </w:pPr>
                  <w:r>
                    <w:rPr>
                      <w:b/>
                      <w:szCs w:val="21"/>
                    </w:rPr>
                    <w:t>本项目情况</w:t>
                  </w:r>
                </w:p>
              </w:tc>
              <w:tc>
                <w:tcPr>
                  <w:tcW w:w="510" w:type="pct"/>
                  <w:vAlign w:val="center"/>
                </w:tcPr>
                <w:p>
                  <w:pPr>
                    <w:adjustRightInd w:val="0"/>
                    <w:snapToGrid w:val="0"/>
                    <w:jc w:val="center"/>
                    <w:rPr>
                      <w:b/>
                      <w:szCs w:val="21"/>
                    </w:rPr>
                  </w:pPr>
                  <w:r>
                    <w:rPr>
                      <w:b/>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3" w:type="pct"/>
                  <w:vMerge w:val="restart"/>
                  <w:vAlign w:val="center"/>
                </w:tcPr>
                <w:p>
                  <w:pPr>
                    <w:adjustRightInd w:val="0"/>
                    <w:snapToGrid w:val="0"/>
                    <w:jc w:val="center"/>
                    <w:rPr>
                      <w:szCs w:val="21"/>
                    </w:rPr>
                  </w:pPr>
                  <w:r>
                    <w:rPr>
                      <w:szCs w:val="21"/>
                    </w:rPr>
                    <w:t>西安市</w:t>
                  </w:r>
                </w:p>
              </w:tc>
              <w:tc>
                <w:tcPr>
                  <w:tcW w:w="285" w:type="pct"/>
                  <w:vMerge w:val="restart"/>
                  <w:vAlign w:val="center"/>
                </w:tcPr>
                <w:p>
                  <w:pPr>
                    <w:adjustRightInd w:val="0"/>
                    <w:snapToGrid w:val="0"/>
                    <w:jc w:val="center"/>
                    <w:rPr>
                      <w:szCs w:val="21"/>
                    </w:rPr>
                  </w:pPr>
                  <w:r>
                    <w:rPr>
                      <w:szCs w:val="21"/>
                    </w:rPr>
                    <w:t>周至县</w:t>
                  </w:r>
                </w:p>
              </w:tc>
              <w:tc>
                <w:tcPr>
                  <w:tcW w:w="434" w:type="pct"/>
                  <w:vMerge w:val="restart"/>
                  <w:vAlign w:val="center"/>
                </w:tcPr>
                <w:p>
                  <w:pPr>
                    <w:adjustRightInd w:val="0"/>
                    <w:snapToGrid w:val="0"/>
                    <w:jc w:val="center"/>
                    <w:rPr>
                      <w:szCs w:val="21"/>
                    </w:rPr>
                  </w:pPr>
                  <w:r>
                    <w:rPr>
                      <w:szCs w:val="21"/>
                    </w:rPr>
                    <w:t>周至重点管控单元单元2</w:t>
                  </w:r>
                </w:p>
              </w:tc>
              <w:tc>
                <w:tcPr>
                  <w:tcW w:w="434" w:type="pct"/>
                  <w:vMerge w:val="restart"/>
                  <w:vAlign w:val="center"/>
                </w:tcPr>
                <w:p>
                  <w:pPr>
                    <w:adjustRightInd w:val="0"/>
                    <w:snapToGrid w:val="0"/>
                    <w:jc w:val="center"/>
                    <w:rPr>
                      <w:szCs w:val="21"/>
                    </w:rPr>
                  </w:pPr>
                  <w:r>
                    <w:rPr>
                      <w:szCs w:val="21"/>
                    </w:rPr>
                    <w:t>水环境农业污染重点管控区</w:t>
                  </w:r>
                </w:p>
              </w:tc>
              <w:tc>
                <w:tcPr>
                  <w:tcW w:w="434" w:type="pct"/>
                  <w:vAlign w:val="center"/>
                </w:tcPr>
                <w:p>
                  <w:pPr>
                    <w:adjustRightInd w:val="0"/>
                    <w:snapToGrid w:val="0"/>
                    <w:jc w:val="center"/>
                    <w:rPr>
                      <w:szCs w:val="21"/>
                    </w:rPr>
                  </w:pPr>
                  <w:r>
                    <w:rPr>
                      <w:szCs w:val="21"/>
                    </w:rPr>
                    <w:t>空间布局约束</w:t>
                  </w:r>
                </w:p>
              </w:tc>
              <w:tc>
                <w:tcPr>
                  <w:tcW w:w="1896" w:type="pct"/>
                  <w:vAlign w:val="center"/>
                </w:tcPr>
                <w:p>
                  <w:pPr>
                    <w:adjustRightInd w:val="0"/>
                    <w:snapToGrid w:val="0"/>
                    <w:jc w:val="center"/>
                    <w:rPr>
                      <w:szCs w:val="21"/>
                    </w:rPr>
                  </w:pPr>
                  <w:r>
                    <w:rPr>
                      <w:szCs w:val="21"/>
                    </w:rPr>
                    <w:t>水环境农业污染重点管控区:</w:t>
                  </w:r>
                </w:p>
                <w:p>
                  <w:pPr>
                    <w:adjustRightInd w:val="0"/>
                    <w:snapToGrid w:val="0"/>
                    <w:jc w:val="center"/>
                    <w:rPr>
                      <w:szCs w:val="21"/>
                    </w:rPr>
                  </w:pPr>
                  <w:r>
                    <w:rPr>
                      <w:szCs w:val="21"/>
                    </w:rPr>
                    <w:t>1.加强农业面源污染综合防治。对畜禽养殖场（小区）密集，粪污资源化利用水平较低的区域，鼓励采用‘种养结合’模式；地下水易受污染地区要优先种植需肥需药量低、环境效益突出的农作物。</w:t>
                  </w:r>
                </w:p>
                <w:p>
                  <w:pPr>
                    <w:adjustRightInd w:val="0"/>
                    <w:snapToGrid w:val="0"/>
                    <w:jc w:val="center"/>
                    <w:rPr>
                      <w:szCs w:val="21"/>
                    </w:rPr>
                  </w:pPr>
                  <w:r>
                    <w:rPr>
                      <w:szCs w:val="21"/>
                    </w:rPr>
                    <w:t>2.按照分散与集中相结合的原则，优先实施农村生活污水设施及管网建设。</w:t>
                  </w:r>
                </w:p>
                <w:p>
                  <w:pPr>
                    <w:adjustRightInd w:val="0"/>
                    <w:snapToGrid w:val="0"/>
                    <w:jc w:val="center"/>
                    <w:rPr>
                      <w:szCs w:val="21"/>
                    </w:rPr>
                  </w:pPr>
                  <w:r>
                    <w:rPr>
                      <w:szCs w:val="21"/>
                    </w:rPr>
                    <w:t>3.持续加强城乡结合部村庄、乡镇污水收集管网、污水集中处理设施、垃圾清运、处理设施建设工作，不断提高农村污水和生活垃圾处理率。强化农村服务业污水和垃圾治理力度；全面开展农村黑臭水体摸排整治工作。</w:t>
                  </w:r>
                </w:p>
              </w:tc>
              <w:tc>
                <w:tcPr>
                  <w:tcW w:w="513" w:type="pct"/>
                  <w:vMerge w:val="restart"/>
                  <w:vAlign w:val="center"/>
                </w:tcPr>
                <w:p>
                  <w:pPr>
                    <w:adjustRightInd w:val="0"/>
                    <w:snapToGrid w:val="0"/>
                    <w:jc w:val="center"/>
                    <w:rPr>
                      <w:szCs w:val="21"/>
                    </w:rPr>
                  </w:pPr>
                  <w:r>
                    <w:rPr>
                      <w:szCs w:val="21"/>
                    </w:rPr>
                    <w:t>本项目为O8080殡葬服务，生产废水经预处理后与生活污水一同拉运至周至县污水处理厂处理。</w:t>
                  </w:r>
                </w:p>
              </w:tc>
              <w:tc>
                <w:tcPr>
                  <w:tcW w:w="510" w:type="pct"/>
                  <w:vMerge w:val="restar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3" w:type="pct"/>
                  <w:vMerge w:val="continue"/>
                  <w:vAlign w:val="center"/>
                </w:tcPr>
                <w:p>
                  <w:pPr>
                    <w:adjustRightInd w:val="0"/>
                    <w:snapToGrid w:val="0"/>
                    <w:jc w:val="center"/>
                    <w:rPr>
                      <w:szCs w:val="21"/>
                    </w:rPr>
                  </w:pPr>
                </w:p>
              </w:tc>
              <w:tc>
                <w:tcPr>
                  <w:tcW w:w="285" w:type="pct"/>
                  <w:vMerge w:val="continue"/>
                  <w:vAlign w:val="center"/>
                </w:tcPr>
                <w:p>
                  <w:pPr>
                    <w:adjustRightInd w:val="0"/>
                    <w:snapToGrid w:val="0"/>
                    <w:jc w:val="center"/>
                    <w:rPr>
                      <w:szCs w:val="21"/>
                    </w:rPr>
                  </w:pPr>
                </w:p>
              </w:tc>
              <w:tc>
                <w:tcPr>
                  <w:tcW w:w="434" w:type="pct"/>
                  <w:vMerge w:val="continue"/>
                  <w:vAlign w:val="center"/>
                </w:tcPr>
                <w:p>
                  <w:pPr>
                    <w:adjustRightInd w:val="0"/>
                    <w:snapToGrid w:val="0"/>
                    <w:jc w:val="center"/>
                    <w:rPr>
                      <w:szCs w:val="21"/>
                    </w:rPr>
                  </w:pPr>
                </w:p>
              </w:tc>
              <w:tc>
                <w:tcPr>
                  <w:tcW w:w="434" w:type="pct"/>
                  <w:vMerge w:val="continue"/>
                  <w:vAlign w:val="center"/>
                </w:tcPr>
                <w:p>
                  <w:pPr>
                    <w:adjustRightInd w:val="0"/>
                    <w:snapToGrid w:val="0"/>
                    <w:jc w:val="center"/>
                    <w:rPr>
                      <w:szCs w:val="21"/>
                    </w:rPr>
                  </w:pPr>
                </w:p>
              </w:tc>
              <w:tc>
                <w:tcPr>
                  <w:tcW w:w="434" w:type="pct"/>
                  <w:vAlign w:val="center"/>
                </w:tcPr>
                <w:p>
                  <w:pPr>
                    <w:adjustRightInd w:val="0"/>
                    <w:snapToGrid w:val="0"/>
                    <w:jc w:val="center"/>
                    <w:rPr>
                      <w:szCs w:val="21"/>
                    </w:rPr>
                  </w:pPr>
                  <w:r>
                    <w:rPr>
                      <w:spacing w:val="-17"/>
                      <w:szCs w:val="21"/>
                    </w:rPr>
                    <w:t>污染物排</w:t>
                  </w:r>
                  <w:r>
                    <w:rPr>
                      <w:spacing w:val="-2"/>
                      <w:szCs w:val="21"/>
                    </w:rPr>
                    <w:t>放管控</w:t>
                  </w:r>
                </w:p>
              </w:tc>
              <w:tc>
                <w:tcPr>
                  <w:tcW w:w="1896" w:type="pct"/>
                  <w:vAlign w:val="center"/>
                </w:tcPr>
                <w:p>
                  <w:pPr>
                    <w:adjustRightInd w:val="0"/>
                    <w:snapToGrid w:val="0"/>
                    <w:jc w:val="center"/>
                    <w:rPr>
                      <w:szCs w:val="21"/>
                    </w:rPr>
                  </w:pPr>
                  <w:r>
                    <w:rPr>
                      <w:szCs w:val="21"/>
                    </w:rPr>
                    <w:t>水环境农业污染重点管控区:</w:t>
                  </w:r>
                </w:p>
                <w:p>
                  <w:pPr>
                    <w:adjustRightInd w:val="0"/>
                    <w:snapToGrid w:val="0"/>
                    <w:jc w:val="center"/>
                    <w:rPr>
                      <w:szCs w:val="21"/>
                    </w:rPr>
                  </w:pPr>
                  <w:r>
                    <w:rPr>
                      <w:szCs w:val="21"/>
                    </w:rPr>
                    <w:t>1.到2025年，持续开展化肥农药减量化行动，化肥、农药使用量实现零增长，主要农作物测土配方施肥技术覆盖率达到90%以上，病虫害绿色防控覆盖率达到35%以上，专业化统防统治覆盖率40%以上。</w:t>
                  </w:r>
                </w:p>
                <w:p>
                  <w:pPr>
                    <w:adjustRightInd w:val="0"/>
                    <w:snapToGrid w:val="0"/>
                    <w:jc w:val="center"/>
                    <w:rPr>
                      <w:szCs w:val="21"/>
                    </w:rPr>
                  </w:pPr>
                  <w:r>
                    <w:rPr>
                      <w:szCs w:val="21"/>
                    </w:rPr>
                    <w:t>2.到2025年，农村新型社区基本实现污水全收集全处理。</w:t>
                  </w:r>
                </w:p>
              </w:tc>
              <w:tc>
                <w:tcPr>
                  <w:tcW w:w="513" w:type="pct"/>
                  <w:vMerge w:val="continue"/>
                  <w:vAlign w:val="center"/>
                </w:tcPr>
                <w:p>
                  <w:pPr>
                    <w:adjustRightInd w:val="0"/>
                    <w:snapToGrid w:val="0"/>
                    <w:jc w:val="center"/>
                    <w:rPr>
                      <w:szCs w:val="21"/>
                    </w:rPr>
                  </w:pPr>
                </w:p>
              </w:tc>
              <w:tc>
                <w:tcPr>
                  <w:tcW w:w="510" w:type="pct"/>
                  <w:vMerge w:val="continue"/>
                  <w:vAlign w:val="center"/>
                </w:tcPr>
                <w:p>
                  <w:pPr>
                    <w:adjustRightInd w:val="0"/>
                    <w:snapToGrid w:val="0"/>
                    <w:jc w:val="center"/>
                    <w:rPr>
                      <w:szCs w:val="21"/>
                    </w:rPr>
                  </w:pPr>
                </w:p>
              </w:tc>
            </w:tr>
          </w:tbl>
          <w:p>
            <w:pPr>
              <w:widowControl/>
              <w:spacing w:line="360" w:lineRule="auto"/>
              <w:ind w:firstLine="480" w:firstLineChars="200"/>
              <w:rPr>
                <w:sz w:val="24"/>
              </w:rPr>
            </w:pPr>
            <w:r>
              <w:rPr>
                <w:kern w:val="0"/>
                <w:sz w:val="24"/>
              </w:rPr>
              <w:t>综上所述，依据</w:t>
            </w:r>
            <w:r>
              <w:rPr>
                <w:sz w:val="24"/>
              </w:rPr>
              <w:t>《西安人民政府关于印发“三线一单”生态环境分区管控方案的通知》（市政发〔2021〕22号）相关要求</w:t>
            </w:r>
            <w:r>
              <w:rPr>
                <w:kern w:val="0"/>
                <w:sz w:val="24"/>
              </w:rPr>
              <w:t>，</w:t>
            </w:r>
            <w:r>
              <w:rPr>
                <w:sz w:val="24"/>
              </w:rPr>
              <w:t>本项目位于“重点管控单元”，本项目建设符合《西安人民政府关于印发“三线一单”生态环境分区管控方案的通知》（市政发〔2021〕22号）相关要求</w:t>
            </w:r>
            <w:r>
              <w:rPr>
                <w:kern w:val="0"/>
                <w:sz w:val="24"/>
              </w:rPr>
              <w:t>，本项目符合“三线一单”的要求</w:t>
            </w:r>
            <w:r>
              <w:rPr>
                <w:sz w:val="24"/>
              </w:rPr>
              <w:t>。</w:t>
            </w:r>
          </w:p>
          <w:p>
            <w:pPr>
              <w:adjustRightInd w:val="0"/>
              <w:snapToGrid w:val="0"/>
              <w:spacing w:line="360" w:lineRule="auto"/>
              <w:ind w:firstLine="482" w:firstLineChars="200"/>
              <w:jc w:val="left"/>
              <w:rPr>
                <w:b/>
                <w:sz w:val="24"/>
              </w:rPr>
            </w:pPr>
            <w:r>
              <w:rPr>
                <w:b/>
                <w:sz w:val="24"/>
              </w:rPr>
              <w:t>3、与其他相关政策符合性分析</w:t>
            </w:r>
          </w:p>
          <w:p>
            <w:pPr>
              <w:adjustRightInd w:val="0"/>
              <w:snapToGrid w:val="0"/>
              <w:jc w:val="center"/>
              <w:rPr>
                <w:sz w:val="24"/>
              </w:rPr>
            </w:pPr>
            <w:r>
              <w:rPr>
                <w:b/>
                <w:sz w:val="24"/>
              </w:rPr>
              <w:t>表1-2  项目分析判定相关情况结果表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2643"/>
              <w:gridCol w:w="2120"/>
              <w:gridCol w:w="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wordWrap w:val="0"/>
                    <w:topLinePunct/>
                    <w:adjustRightInd w:val="0"/>
                    <w:snapToGrid w:val="0"/>
                    <w:ind w:left="-105" w:leftChars="-50" w:right="-105" w:rightChars="-50"/>
                    <w:jc w:val="center"/>
                    <w:rPr>
                      <w:b/>
                      <w:szCs w:val="21"/>
                    </w:rPr>
                  </w:pPr>
                  <w:r>
                    <w:rPr>
                      <w:b/>
                      <w:szCs w:val="21"/>
                    </w:rPr>
                    <w:t>名称</w:t>
                  </w:r>
                </w:p>
              </w:tc>
              <w:tc>
                <w:tcPr>
                  <w:tcW w:w="2025" w:type="pct"/>
                  <w:vAlign w:val="center"/>
                </w:tcPr>
                <w:p>
                  <w:pPr>
                    <w:wordWrap w:val="0"/>
                    <w:topLinePunct/>
                    <w:adjustRightInd w:val="0"/>
                    <w:snapToGrid w:val="0"/>
                    <w:ind w:left="-105" w:leftChars="-50" w:right="-105" w:rightChars="-50"/>
                    <w:jc w:val="center"/>
                    <w:rPr>
                      <w:b/>
                      <w:szCs w:val="21"/>
                    </w:rPr>
                  </w:pPr>
                  <w:r>
                    <w:rPr>
                      <w:b/>
                      <w:szCs w:val="21"/>
                    </w:rPr>
                    <w:t>要求</w:t>
                  </w:r>
                </w:p>
              </w:tc>
              <w:tc>
                <w:tcPr>
                  <w:tcW w:w="1624" w:type="pct"/>
                  <w:vAlign w:val="center"/>
                </w:tcPr>
                <w:p>
                  <w:pPr>
                    <w:wordWrap w:val="0"/>
                    <w:topLinePunct/>
                    <w:adjustRightInd w:val="0"/>
                    <w:snapToGrid w:val="0"/>
                    <w:ind w:left="-105" w:leftChars="-50" w:right="-105" w:rightChars="-50"/>
                    <w:jc w:val="center"/>
                    <w:rPr>
                      <w:b/>
                      <w:szCs w:val="21"/>
                    </w:rPr>
                  </w:pPr>
                  <w:r>
                    <w:rPr>
                      <w:b/>
                      <w:szCs w:val="21"/>
                    </w:rPr>
                    <w:t>本项目情况</w:t>
                  </w:r>
                </w:p>
              </w:tc>
              <w:tc>
                <w:tcPr>
                  <w:tcW w:w="417" w:type="pct"/>
                  <w:vAlign w:val="center"/>
                </w:tcPr>
                <w:p>
                  <w:pPr>
                    <w:wordWrap w:val="0"/>
                    <w:topLinePunct/>
                    <w:adjustRightInd w:val="0"/>
                    <w:snapToGrid w:val="0"/>
                    <w:ind w:left="-105" w:leftChars="-50" w:right="-105" w:rightChars="-50"/>
                    <w:jc w:val="center"/>
                    <w:rPr>
                      <w:b/>
                      <w:szCs w:val="21"/>
                    </w:rPr>
                  </w:pPr>
                  <w:r>
                    <w:rPr>
                      <w:b/>
                      <w:szCs w:val="21"/>
                    </w:rPr>
                    <w:t>判定</w:t>
                  </w:r>
                </w:p>
                <w:p>
                  <w:pPr>
                    <w:wordWrap w:val="0"/>
                    <w:topLinePunct/>
                    <w:adjustRightInd w:val="0"/>
                    <w:snapToGrid w:val="0"/>
                    <w:ind w:left="-105" w:leftChars="-50" w:right="-105" w:rightChars="-50"/>
                    <w:jc w:val="center"/>
                    <w:rPr>
                      <w:b/>
                      <w:szCs w:val="21"/>
                    </w:rPr>
                  </w:pPr>
                  <w:r>
                    <w:rPr>
                      <w:b/>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vAlign w:val="center"/>
                </w:tcPr>
                <w:p>
                  <w:pPr>
                    <w:wordWrap w:val="0"/>
                    <w:topLinePunct/>
                    <w:adjustRightInd w:val="0"/>
                    <w:snapToGrid w:val="0"/>
                    <w:ind w:left="-105" w:leftChars="-50" w:right="-105" w:rightChars="-50"/>
                    <w:jc w:val="center"/>
                    <w:rPr>
                      <w:szCs w:val="21"/>
                    </w:rPr>
                  </w:pPr>
                  <w:r>
                    <w:rPr>
                      <w:rFonts w:hint="eastAsia"/>
                      <w:bCs/>
                      <w:szCs w:val="21"/>
                    </w:rPr>
                    <w:t>《重点行业二噁英污染防治技术政策》（环境</w:t>
                  </w:r>
                  <w:r>
                    <w:rPr>
                      <w:bCs/>
                      <w:szCs w:val="21"/>
                    </w:rPr>
                    <w:t>保护部</w:t>
                  </w:r>
                  <w:r>
                    <w:rPr>
                      <w:rFonts w:hint="eastAsia"/>
                      <w:bCs/>
                      <w:szCs w:val="21"/>
                    </w:rPr>
                    <w:t>公告2015年</w:t>
                  </w:r>
                  <w:r>
                    <w:rPr>
                      <w:bCs/>
                      <w:szCs w:val="21"/>
                    </w:rPr>
                    <w:t>第</w:t>
                  </w:r>
                  <w:r>
                    <w:rPr>
                      <w:rFonts w:hint="eastAsia"/>
                      <w:bCs/>
                      <w:szCs w:val="21"/>
                    </w:rPr>
                    <w:t>90号）</w:t>
                  </w:r>
                </w:p>
              </w:tc>
              <w:tc>
                <w:tcPr>
                  <w:tcW w:w="2025" w:type="pct"/>
                  <w:vAlign w:val="center"/>
                </w:tcPr>
                <w:p>
                  <w:pPr>
                    <w:wordWrap w:val="0"/>
                    <w:topLinePunct/>
                    <w:adjustRightInd w:val="0"/>
                    <w:snapToGrid w:val="0"/>
                    <w:ind w:left="-105" w:leftChars="-50" w:right="-105" w:rightChars="-50"/>
                    <w:jc w:val="center"/>
                    <w:rPr>
                      <w:szCs w:val="21"/>
                    </w:rPr>
                  </w:pPr>
                  <w:r>
                    <w:rPr>
                      <w:rFonts w:hint="eastAsia"/>
                      <w:szCs w:val="21"/>
                    </w:rPr>
                    <w:t>本技术政策所涉及的重点行业包括：铁矿石烧结、电弧炉炼钢、再生有色金属（铜、铝、铅、锌）生产、废弃物焚烧、制浆造纸、遗体火化和特定有机氯化工产品生产等。</w:t>
                  </w:r>
                </w:p>
              </w:tc>
              <w:tc>
                <w:tcPr>
                  <w:tcW w:w="1624" w:type="pct"/>
                  <w:vAlign w:val="center"/>
                </w:tcPr>
                <w:p>
                  <w:pPr>
                    <w:wordWrap w:val="0"/>
                    <w:topLinePunct/>
                    <w:adjustRightInd w:val="0"/>
                    <w:snapToGrid w:val="0"/>
                    <w:ind w:left="-105" w:leftChars="-50" w:right="-105" w:rightChars="-50"/>
                    <w:jc w:val="center"/>
                    <w:rPr>
                      <w:szCs w:val="21"/>
                    </w:rPr>
                  </w:pPr>
                  <w:r>
                    <w:rPr>
                      <w:rFonts w:hint="eastAsia"/>
                      <w:szCs w:val="21"/>
                    </w:rPr>
                    <w:t>本项目</w:t>
                  </w:r>
                  <w:r>
                    <w:rPr>
                      <w:szCs w:val="21"/>
                    </w:rPr>
                    <w:t>为</w:t>
                  </w:r>
                  <w:r>
                    <w:rPr>
                      <w:rFonts w:hint="eastAsia"/>
                      <w:szCs w:val="21"/>
                    </w:rPr>
                    <w:t>殡葬</w:t>
                  </w:r>
                  <w:r>
                    <w:rPr>
                      <w:szCs w:val="21"/>
                    </w:rPr>
                    <w:t>服务业，涉及遗体火化，属于重点行业</w:t>
                  </w:r>
                  <w:r>
                    <w:rPr>
                      <w:rFonts w:hint="eastAsia"/>
                      <w:szCs w:val="21"/>
                    </w:rPr>
                    <w:t>。</w:t>
                  </w:r>
                </w:p>
              </w:tc>
              <w:tc>
                <w:tcPr>
                  <w:tcW w:w="417" w:type="pct"/>
                  <w:vAlign w:val="center"/>
                </w:tcPr>
                <w:p>
                  <w:pPr>
                    <w:wordWrap w:val="0"/>
                    <w:topLinePunct/>
                    <w:adjustRightInd w:val="0"/>
                    <w:snapToGrid w:val="0"/>
                    <w:ind w:left="-105" w:leftChars="-50" w:right="-105" w:rightChars="-5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wordWrap w:val="0"/>
                    <w:topLinePunct/>
                    <w:adjustRightInd w:val="0"/>
                    <w:snapToGrid w:val="0"/>
                    <w:ind w:left="-105" w:leftChars="-50" w:right="-105" w:rightChars="-50"/>
                    <w:jc w:val="center"/>
                    <w:rPr>
                      <w:bCs/>
                      <w:szCs w:val="21"/>
                    </w:rPr>
                  </w:pPr>
                </w:p>
              </w:tc>
              <w:tc>
                <w:tcPr>
                  <w:tcW w:w="2025" w:type="pct"/>
                  <w:vAlign w:val="center"/>
                </w:tcPr>
                <w:p>
                  <w:pPr>
                    <w:wordWrap w:val="0"/>
                    <w:topLinePunct/>
                    <w:adjustRightInd w:val="0"/>
                    <w:snapToGrid w:val="0"/>
                    <w:ind w:left="-105" w:leftChars="-50" w:right="-105" w:rightChars="-50"/>
                    <w:jc w:val="center"/>
                    <w:rPr>
                      <w:szCs w:val="21"/>
                    </w:rPr>
                  </w:pPr>
                  <w:r>
                    <w:rPr>
                      <w:rFonts w:hint="eastAsia"/>
                      <w:szCs w:val="21"/>
                    </w:rPr>
                    <w:t>遗体火化应采用再燃式火化机；鼓励采用多级燃烧等充分燃烧技术；鼓励使用天然气、煤气、液化石油气等气体燃料；减少火化随葬品中聚氯乙烯等成分。</w:t>
                  </w:r>
                </w:p>
              </w:tc>
              <w:tc>
                <w:tcPr>
                  <w:tcW w:w="1624" w:type="pct"/>
                  <w:vAlign w:val="center"/>
                </w:tcPr>
                <w:p>
                  <w:pPr>
                    <w:wordWrap w:val="0"/>
                    <w:topLinePunct/>
                    <w:adjustRightInd w:val="0"/>
                    <w:snapToGrid w:val="0"/>
                    <w:ind w:left="-105" w:leftChars="-50" w:right="-105" w:rightChars="-50"/>
                    <w:jc w:val="center"/>
                    <w:rPr>
                      <w:b/>
                      <w:szCs w:val="21"/>
                    </w:rPr>
                  </w:pPr>
                  <w:r>
                    <w:rPr>
                      <w:rFonts w:hint="eastAsia"/>
                      <w:bCs/>
                    </w:rPr>
                    <w:t>本项目遗体</w:t>
                  </w:r>
                  <w:r>
                    <w:rPr>
                      <w:bCs/>
                    </w:rPr>
                    <w:t>火化炉</w:t>
                  </w:r>
                  <w:r>
                    <w:rPr>
                      <w:rFonts w:hint="eastAsia"/>
                      <w:bCs/>
                    </w:rPr>
                    <w:t>为再</w:t>
                  </w:r>
                  <w:r>
                    <w:rPr>
                      <w:bCs/>
                    </w:rPr>
                    <w:t>燃式</w:t>
                  </w:r>
                  <w:r>
                    <w:rPr>
                      <w:rFonts w:hint="eastAsia"/>
                      <w:bCs/>
                    </w:rPr>
                    <w:t>火化</w:t>
                  </w:r>
                  <w:r>
                    <w:rPr>
                      <w:bCs/>
                    </w:rPr>
                    <w:t>机，</w:t>
                  </w:r>
                  <w:r>
                    <w:rPr>
                      <w:rFonts w:hint="eastAsia"/>
                      <w:bCs/>
                    </w:rPr>
                    <w:t>设置</w:t>
                  </w:r>
                  <w:r>
                    <w:rPr>
                      <w:bCs/>
                    </w:rPr>
                    <w:t>二燃室，使用天然气为燃料</w:t>
                  </w:r>
                  <w:r>
                    <w:rPr>
                      <w:rFonts w:hint="eastAsia"/>
                      <w:bCs/>
                    </w:rPr>
                    <w:t>，项目</w:t>
                  </w:r>
                  <w:r>
                    <w:rPr>
                      <w:bCs/>
                    </w:rPr>
                    <w:t>建成后</w:t>
                  </w:r>
                  <w:r>
                    <w:rPr>
                      <w:rFonts w:hint="eastAsia"/>
                      <w:bCs/>
                    </w:rPr>
                    <w:t>要求</w:t>
                  </w:r>
                  <w:r>
                    <w:rPr>
                      <w:bCs/>
                    </w:rPr>
                    <w:t>减少</w:t>
                  </w:r>
                  <w:r>
                    <w:rPr>
                      <w:rFonts w:hint="eastAsia"/>
                      <w:szCs w:val="21"/>
                    </w:rPr>
                    <w:t>火化随葬品中聚氯乙烯等成分。</w:t>
                  </w:r>
                </w:p>
              </w:tc>
              <w:tc>
                <w:tcPr>
                  <w:tcW w:w="417" w:type="pct"/>
                  <w:vAlign w:val="center"/>
                </w:tcPr>
                <w:p>
                  <w:pPr>
                    <w:wordWrap w:val="0"/>
                    <w:topLinePunct/>
                    <w:adjustRightInd w:val="0"/>
                    <w:snapToGrid w:val="0"/>
                    <w:ind w:left="-105" w:leftChars="-50" w:right="-105" w:rightChars="-50"/>
                    <w:jc w:val="center"/>
                    <w:rPr>
                      <w:b/>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wordWrap w:val="0"/>
                    <w:topLinePunct/>
                    <w:adjustRightInd w:val="0"/>
                    <w:snapToGrid w:val="0"/>
                    <w:ind w:left="-105" w:leftChars="-50" w:right="-105" w:rightChars="-50"/>
                    <w:jc w:val="center"/>
                    <w:rPr>
                      <w:bCs/>
                      <w:szCs w:val="21"/>
                    </w:rPr>
                  </w:pPr>
                </w:p>
              </w:tc>
              <w:tc>
                <w:tcPr>
                  <w:tcW w:w="2025" w:type="pct"/>
                  <w:vAlign w:val="center"/>
                </w:tcPr>
                <w:p>
                  <w:pPr>
                    <w:wordWrap w:val="0"/>
                    <w:topLinePunct/>
                    <w:adjustRightInd w:val="0"/>
                    <w:snapToGrid w:val="0"/>
                    <w:ind w:left="-105" w:leftChars="-50" w:right="-105" w:rightChars="-50"/>
                    <w:jc w:val="center"/>
                    <w:rPr>
                      <w:szCs w:val="21"/>
                    </w:rPr>
                  </w:pPr>
                  <w:r>
                    <w:rPr>
                      <w:rFonts w:hint="eastAsia"/>
                      <w:szCs w:val="21"/>
                    </w:rPr>
                    <w:t>火化机应设有再燃室，在遗体入炉前再燃室的温度不低于</w:t>
                  </w:r>
                  <w:r>
                    <w:rPr>
                      <w:szCs w:val="21"/>
                    </w:rPr>
                    <w:t>850</w:t>
                  </w:r>
                  <w:r>
                    <w:rPr>
                      <w:rFonts w:hint="eastAsia"/>
                      <w:szCs w:val="21"/>
                    </w:rPr>
                    <w:t>℃，烟气的停留时间应在</w:t>
                  </w:r>
                  <w:r>
                    <w:rPr>
                      <w:szCs w:val="21"/>
                    </w:rPr>
                    <w:t>2.0</w:t>
                  </w:r>
                  <w:r>
                    <w:rPr>
                      <w:rFonts w:hint="eastAsia"/>
                      <w:szCs w:val="21"/>
                    </w:rPr>
                    <w:t>秒以上，再燃室出口烟气的氧气含量不低于</w:t>
                  </w:r>
                  <w:r>
                    <w:rPr>
                      <w:szCs w:val="21"/>
                    </w:rPr>
                    <w:t>8%</w:t>
                  </w:r>
                  <w:r>
                    <w:rPr>
                      <w:rFonts w:hint="eastAsia"/>
                      <w:szCs w:val="21"/>
                    </w:rPr>
                    <w:t>（干烟气），并控制助燃空气的风量和供风方式，提高烟气湍流度，确保遗体及其随葬品充分燃烧。遗物祭品焚烧应配置带有烟气处理设施的专用焚烧系统，避免无组织排放。</w:t>
                  </w:r>
                </w:p>
              </w:tc>
              <w:tc>
                <w:tcPr>
                  <w:tcW w:w="1624" w:type="pct"/>
                  <w:vAlign w:val="center"/>
                </w:tcPr>
                <w:p>
                  <w:pPr>
                    <w:wordWrap w:val="0"/>
                    <w:topLinePunct/>
                    <w:adjustRightInd w:val="0"/>
                    <w:snapToGrid w:val="0"/>
                    <w:ind w:left="-105" w:leftChars="-50" w:right="-105" w:rightChars="-50"/>
                    <w:jc w:val="center"/>
                    <w:rPr>
                      <w:b/>
                      <w:szCs w:val="21"/>
                    </w:rPr>
                  </w:pPr>
                  <w:r>
                    <w:rPr>
                      <w:rFonts w:hint="eastAsia"/>
                      <w:bCs/>
                    </w:rPr>
                    <w:t>本项目</w:t>
                  </w:r>
                  <w:r>
                    <w:rPr>
                      <w:bCs/>
                    </w:rPr>
                    <w:t>遗体火化炉设置再燃</w:t>
                  </w:r>
                  <w:r>
                    <w:rPr>
                      <w:rFonts w:hint="eastAsia"/>
                      <w:bCs/>
                    </w:rPr>
                    <w:t>室</w:t>
                  </w:r>
                  <w:r>
                    <w:rPr>
                      <w:bCs/>
                    </w:rPr>
                    <w:t>（</w:t>
                  </w:r>
                  <w:r>
                    <w:rPr>
                      <w:rFonts w:hint="eastAsia"/>
                      <w:bCs/>
                    </w:rPr>
                    <w:t>即</w:t>
                  </w:r>
                  <w:r>
                    <w:rPr>
                      <w:bCs/>
                    </w:rPr>
                    <w:t>二燃室），</w:t>
                  </w:r>
                  <w:r>
                    <w:rPr>
                      <w:rFonts w:hint="eastAsia"/>
                      <w:bCs/>
                    </w:rPr>
                    <w:t>经</w:t>
                  </w:r>
                  <w:r>
                    <w:rPr>
                      <w:bCs/>
                    </w:rPr>
                    <w:t>设备单位提供，遗体入炉前</w:t>
                  </w:r>
                  <w:r>
                    <w:rPr>
                      <w:rFonts w:hint="eastAsia"/>
                      <w:bCs/>
                    </w:rPr>
                    <w:t>再燃室温度</w:t>
                  </w:r>
                  <w:r>
                    <w:rPr>
                      <w:bCs/>
                    </w:rPr>
                    <w:t>不低于</w:t>
                  </w:r>
                  <w:r>
                    <w:rPr>
                      <w:szCs w:val="21"/>
                    </w:rPr>
                    <w:t>850</w:t>
                  </w:r>
                  <w:r>
                    <w:rPr>
                      <w:rFonts w:hint="eastAsia"/>
                      <w:szCs w:val="21"/>
                    </w:rPr>
                    <w:t>℃，烟气的停留时间约</w:t>
                  </w:r>
                  <w:r>
                    <w:rPr>
                      <w:szCs w:val="21"/>
                    </w:rPr>
                    <w:t>为2~3</w:t>
                  </w:r>
                  <w:r>
                    <w:rPr>
                      <w:rFonts w:hint="eastAsia"/>
                      <w:szCs w:val="21"/>
                    </w:rPr>
                    <w:t>秒以上，再燃室出口烟气的氧气含量约为13%（干烟气），并控制助燃空气的风量和供风方式，提高烟气湍流度，确保遗体及其随葬品充分燃烧。本项目遗物祭品焚烧为配置带有烟气处理设施的专用焚烧系统，</w:t>
                  </w:r>
                  <w:r>
                    <w:rPr>
                      <w:bCs/>
                    </w:rPr>
                    <w:t>废气经</w:t>
                  </w:r>
                  <w:r>
                    <w:rPr>
                      <w:rFonts w:hint="eastAsia"/>
                      <w:bCs/>
                    </w:rPr>
                    <w:t>二燃室</w:t>
                  </w:r>
                  <w:r>
                    <w:rPr>
                      <w:bCs/>
                    </w:rPr>
                    <w:t>—</w:t>
                  </w:r>
                  <w:r>
                    <w:rPr>
                      <w:rFonts w:hint="eastAsia"/>
                      <w:bCs/>
                    </w:rPr>
                    <w:t>初级除尘</w:t>
                  </w:r>
                  <w:r>
                    <w:rPr>
                      <w:bCs/>
                    </w:rPr>
                    <w:t>—</w:t>
                  </w:r>
                  <w:r>
                    <w:rPr>
                      <w:rFonts w:hint="eastAsia"/>
                      <w:bCs/>
                    </w:rPr>
                    <w:t>热交换器</w:t>
                  </w:r>
                  <w:r>
                    <w:rPr>
                      <w:bCs/>
                    </w:rPr>
                    <w:t>—</w:t>
                  </w:r>
                  <w:r>
                    <w:rPr>
                      <w:rFonts w:hint="eastAsia"/>
                      <w:bCs/>
                    </w:rPr>
                    <w:t>旋风除尘器</w:t>
                  </w:r>
                  <w:r>
                    <w:rPr>
                      <w:bCs/>
                    </w:rPr>
                    <w:t>—</w:t>
                  </w:r>
                  <w:r>
                    <w:rPr>
                      <w:rFonts w:hint="eastAsia"/>
                      <w:bCs/>
                    </w:rPr>
                    <w:t>除酸除硫装置</w:t>
                  </w:r>
                  <w:r>
                    <w:rPr>
                      <w:bCs/>
                    </w:rPr>
                    <w:t>—</w:t>
                  </w:r>
                  <w:r>
                    <w:rPr>
                      <w:rFonts w:hint="eastAsia"/>
                      <w:bCs/>
                    </w:rPr>
                    <w:t>布袋除尘器</w:t>
                  </w:r>
                  <w:r>
                    <w:rPr>
                      <w:bCs/>
                    </w:rPr>
                    <w:t>—</w:t>
                  </w:r>
                  <w:r>
                    <w:rPr>
                      <w:rFonts w:hint="eastAsia"/>
                      <w:bCs/>
                    </w:rPr>
                    <w:t>活性炭吸附器处理</w:t>
                  </w:r>
                  <w:r>
                    <w:rPr>
                      <w:bCs/>
                    </w:rPr>
                    <w:t>后</w:t>
                  </w:r>
                  <w:r>
                    <w:rPr>
                      <w:rFonts w:hint="eastAsia"/>
                      <w:bCs/>
                    </w:rPr>
                    <w:t>分别</w:t>
                  </w:r>
                  <w:r>
                    <w:rPr>
                      <w:bCs/>
                    </w:rPr>
                    <w:t>经</w:t>
                  </w:r>
                  <w:r>
                    <w:rPr>
                      <w:rFonts w:hint="eastAsia"/>
                      <w:bCs/>
                    </w:rPr>
                    <w:t>21m高</w:t>
                  </w:r>
                  <w:r>
                    <w:rPr>
                      <w:bCs/>
                    </w:rPr>
                    <w:t>排气筒排放</w:t>
                  </w:r>
                  <w:r>
                    <w:rPr>
                      <w:rFonts w:hint="eastAsia"/>
                      <w:bCs/>
                    </w:rPr>
                    <w:t>，</w:t>
                  </w:r>
                  <w:r>
                    <w:rPr>
                      <w:rFonts w:hint="eastAsia"/>
                      <w:szCs w:val="21"/>
                    </w:rPr>
                    <w:t>均为</w:t>
                  </w:r>
                  <w:r>
                    <w:rPr>
                      <w:szCs w:val="21"/>
                    </w:rPr>
                    <w:t>有组织排放</w:t>
                  </w:r>
                  <w:r>
                    <w:rPr>
                      <w:rFonts w:hint="eastAsia"/>
                      <w:szCs w:val="21"/>
                    </w:rPr>
                    <w:t>。</w:t>
                  </w:r>
                </w:p>
              </w:tc>
              <w:tc>
                <w:tcPr>
                  <w:tcW w:w="417" w:type="pct"/>
                  <w:vAlign w:val="center"/>
                </w:tcPr>
                <w:p>
                  <w:pPr>
                    <w:wordWrap w:val="0"/>
                    <w:topLinePunct/>
                    <w:adjustRightInd w:val="0"/>
                    <w:snapToGrid w:val="0"/>
                    <w:ind w:left="-105" w:leftChars="-50" w:right="-105" w:rightChars="-50"/>
                    <w:jc w:val="center"/>
                    <w:rPr>
                      <w:b/>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wordWrap w:val="0"/>
                    <w:topLinePunct/>
                    <w:adjustRightInd w:val="0"/>
                    <w:snapToGrid w:val="0"/>
                    <w:ind w:left="-105" w:leftChars="-50" w:right="-105" w:rightChars="-50"/>
                    <w:jc w:val="center"/>
                    <w:rPr>
                      <w:bCs/>
                      <w:szCs w:val="21"/>
                    </w:rPr>
                  </w:pPr>
                </w:p>
              </w:tc>
              <w:tc>
                <w:tcPr>
                  <w:tcW w:w="2025" w:type="pct"/>
                  <w:vAlign w:val="center"/>
                </w:tcPr>
                <w:p>
                  <w:pPr>
                    <w:wordWrap w:val="0"/>
                    <w:topLinePunct/>
                    <w:adjustRightInd w:val="0"/>
                    <w:snapToGrid w:val="0"/>
                    <w:ind w:left="-105" w:leftChars="-50" w:right="-105" w:rightChars="-50"/>
                    <w:jc w:val="center"/>
                    <w:rPr>
                      <w:szCs w:val="21"/>
                    </w:rPr>
                  </w:pPr>
                  <w:r>
                    <w:rPr>
                      <w:rFonts w:hint="eastAsia"/>
                      <w:szCs w:val="21"/>
                    </w:rPr>
                    <w:t>应对遗体火化和遗物祭品焚烧烟气净化设施捕集的飞灰进行妥善处置。</w:t>
                  </w:r>
                </w:p>
              </w:tc>
              <w:tc>
                <w:tcPr>
                  <w:tcW w:w="1624" w:type="pct"/>
                  <w:vAlign w:val="center"/>
                </w:tcPr>
                <w:p>
                  <w:pPr>
                    <w:wordWrap w:val="0"/>
                    <w:topLinePunct/>
                    <w:adjustRightInd w:val="0"/>
                    <w:snapToGrid w:val="0"/>
                    <w:ind w:left="-105" w:leftChars="-50" w:right="-105" w:rightChars="-50"/>
                    <w:jc w:val="center"/>
                    <w:rPr>
                      <w:b/>
                      <w:szCs w:val="21"/>
                    </w:rPr>
                  </w:pPr>
                  <w:r>
                    <w:rPr>
                      <w:rFonts w:hint="eastAsia"/>
                      <w:szCs w:val="21"/>
                    </w:rPr>
                    <w:t>遗体</w:t>
                  </w:r>
                  <w:r>
                    <w:rPr>
                      <w:szCs w:val="21"/>
                    </w:rPr>
                    <w:t>火化和遗物祭品焚烧烟气净化设施设置</w:t>
                  </w:r>
                  <w:r>
                    <w:rPr>
                      <w:rFonts w:hint="eastAsia"/>
                      <w:szCs w:val="21"/>
                    </w:rPr>
                    <w:t>初级</w:t>
                  </w:r>
                  <w:r>
                    <w:rPr>
                      <w:szCs w:val="21"/>
                    </w:rPr>
                    <w:t>除尘</w:t>
                  </w:r>
                  <w:r>
                    <w:rPr>
                      <w:rFonts w:hint="eastAsia"/>
                      <w:szCs w:val="21"/>
                    </w:rPr>
                    <w:t>、</w:t>
                  </w:r>
                  <w:r>
                    <w:rPr>
                      <w:szCs w:val="21"/>
                    </w:rPr>
                    <w:t>旋风除尘、布袋除尘装置捕集飞灰，</w:t>
                  </w:r>
                  <w:r>
                    <w:rPr>
                      <w:rFonts w:hint="eastAsia"/>
                      <w:szCs w:val="21"/>
                    </w:rPr>
                    <w:t>定期</w:t>
                  </w:r>
                  <w:r>
                    <w:rPr>
                      <w:szCs w:val="21"/>
                    </w:rPr>
                    <w:t>交由</w:t>
                  </w:r>
                  <w:r>
                    <w:rPr>
                      <w:rFonts w:hint="eastAsia"/>
                      <w:szCs w:val="21"/>
                    </w:rPr>
                    <w:t>有</w:t>
                  </w:r>
                  <w:r>
                    <w:rPr>
                      <w:szCs w:val="21"/>
                    </w:rPr>
                    <w:t>资质单位处理。</w:t>
                  </w:r>
                </w:p>
              </w:tc>
              <w:tc>
                <w:tcPr>
                  <w:tcW w:w="417" w:type="pct"/>
                  <w:vAlign w:val="center"/>
                </w:tcPr>
                <w:p>
                  <w:pPr>
                    <w:wordWrap w:val="0"/>
                    <w:topLinePunct/>
                    <w:adjustRightInd w:val="0"/>
                    <w:snapToGrid w:val="0"/>
                    <w:ind w:left="-105" w:leftChars="-50" w:right="-105" w:rightChars="-5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vAlign w:val="center"/>
                </w:tcPr>
                <w:p>
                  <w:pPr>
                    <w:wordWrap w:val="0"/>
                    <w:topLinePunct/>
                    <w:adjustRightInd w:val="0"/>
                    <w:snapToGrid w:val="0"/>
                    <w:ind w:left="-105" w:leftChars="-50" w:right="-105" w:rightChars="-50"/>
                    <w:jc w:val="center"/>
                    <w:rPr>
                      <w:szCs w:val="21"/>
                    </w:rPr>
                  </w:pPr>
                  <w:r>
                    <w:rPr>
                      <w:rFonts w:hint="eastAsia"/>
                      <w:bCs/>
                      <w:szCs w:val="21"/>
                    </w:rPr>
                    <w:t>《关于加强二恶英污染防治的指导意见》（环</w:t>
                  </w:r>
                  <w:r>
                    <w:rPr>
                      <w:bCs/>
                      <w:szCs w:val="21"/>
                    </w:rPr>
                    <w:t>发</w:t>
                  </w:r>
                  <w:r>
                    <w:rPr>
                      <w:rFonts w:hint="eastAsia" w:ascii="宋体" w:hAnsi="宋体"/>
                      <w:bCs/>
                      <w:szCs w:val="21"/>
                    </w:rPr>
                    <w:t>〔</w:t>
                  </w:r>
                  <w:r>
                    <w:rPr>
                      <w:rFonts w:hint="eastAsia"/>
                      <w:bCs/>
                      <w:szCs w:val="21"/>
                    </w:rPr>
                    <w:t>2010</w:t>
                  </w:r>
                  <w:r>
                    <w:rPr>
                      <w:rFonts w:hint="eastAsia" w:ascii="宋体" w:hAnsi="宋体"/>
                      <w:bCs/>
                      <w:szCs w:val="21"/>
                    </w:rPr>
                    <w:t>〕</w:t>
                  </w:r>
                  <w:r>
                    <w:rPr>
                      <w:bCs/>
                      <w:szCs w:val="21"/>
                    </w:rPr>
                    <w:t>123</w:t>
                  </w:r>
                  <w:r>
                    <w:rPr>
                      <w:rFonts w:hint="eastAsia"/>
                      <w:bCs/>
                      <w:szCs w:val="21"/>
                    </w:rPr>
                    <w:t>号）</w:t>
                  </w:r>
                </w:p>
              </w:tc>
              <w:tc>
                <w:tcPr>
                  <w:tcW w:w="2025" w:type="pct"/>
                  <w:vAlign w:val="center"/>
                </w:tcPr>
                <w:p>
                  <w:pPr>
                    <w:wordWrap w:val="0"/>
                    <w:topLinePunct/>
                    <w:adjustRightInd w:val="0"/>
                    <w:snapToGrid w:val="0"/>
                    <w:ind w:left="-105" w:leftChars="-50" w:right="-105" w:rightChars="-50"/>
                    <w:jc w:val="center"/>
                    <w:rPr>
                      <w:szCs w:val="21"/>
                    </w:rPr>
                  </w:pPr>
                  <w:r>
                    <w:rPr>
                      <w:szCs w:val="21"/>
                    </w:rPr>
                    <w:t>严格环境准入条件。进一步完善环境影响评价制度，在审批建设项目环境影响评价文件时要充分考虑二恶英削减和控制要求，将二恶英作为主要特征污染物逐步纳入有关行业的环境影响评价中。加强新建、改建、扩建项目竣工环境保护验收中二恶英排放监测，确保按要求达标排放，从源头控制二恶英产生。</w:t>
                  </w:r>
                </w:p>
              </w:tc>
              <w:tc>
                <w:tcPr>
                  <w:tcW w:w="1624" w:type="pct"/>
                  <w:vAlign w:val="center"/>
                </w:tcPr>
                <w:p>
                  <w:pPr>
                    <w:wordWrap w:val="0"/>
                    <w:topLinePunct/>
                    <w:adjustRightInd w:val="0"/>
                    <w:snapToGrid w:val="0"/>
                    <w:ind w:left="-105" w:leftChars="-50" w:right="-105" w:rightChars="-50"/>
                    <w:jc w:val="center"/>
                    <w:rPr>
                      <w:b/>
                      <w:szCs w:val="21"/>
                    </w:rPr>
                  </w:pPr>
                  <w:r>
                    <w:rPr>
                      <w:rFonts w:hint="eastAsia"/>
                      <w:bCs/>
                    </w:rPr>
                    <w:t>本项目已</w:t>
                  </w:r>
                  <w:r>
                    <w:rPr>
                      <w:bCs/>
                    </w:rPr>
                    <w:t>按要求编制环境影响报告表，火化炉、</w:t>
                  </w:r>
                  <w:r>
                    <w:rPr>
                      <w:rFonts w:hint="eastAsia"/>
                      <w:bCs/>
                    </w:rPr>
                    <w:t>遗物</w:t>
                  </w:r>
                  <w:r>
                    <w:rPr>
                      <w:bCs/>
                    </w:rPr>
                    <w:t>焚烧炉、十二生肖祭祀炉废气经</w:t>
                  </w:r>
                  <w:r>
                    <w:rPr>
                      <w:rFonts w:hint="eastAsia"/>
                      <w:bCs/>
                    </w:rPr>
                    <w:t>二燃室</w:t>
                  </w:r>
                  <w:r>
                    <w:rPr>
                      <w:bCs/>
                    </w:rPr>
                    <w:t>—</w:t>
                  </w:r>
                  <w:r>
                    <w:rPr>
                      <w:rFonts w:hint="eastAsia"/>
                      <w:bCs/>
                    </w:rPr>
                    <w:t>初级除尘（火星拦截装置）</w:t>
                  </w:r>
                  <w:r>
                    <w:rPr>
                      <w:bCs/>
                    </w:rPr>
                    <w:t>—</w:t>
                  </w:r>
                  <w:r>
                    <w:rPr>
                      <w:rFonts w:hint="eastAsia"/>
                      <w:bCs/>
                    </w:rPr>
                    <w:t>热交换器</w:t>
                  </w:r>
                  <w:r>
                    <w:rPr>
                      <w:bCs/>
                    </w:rPr>
                    <w:t>—</w:t>
                  </w:r>
                  <w:r>
                    <w:rPr>
                      <w:rFonts w:hint="eastAsia"/>
                      <w:bCs/>
                    </w:rPr>
                    <w:t>旋风除尘器</w:t>
                  </w:r>
                  <w:r>
                    <w:rPr>
                      <w:bCs/>
                    </w:rPr>
                    <w:t>—</w:t>
                  </w:r>
                  <w:r>
                    <w:rPr>
                      <w:rFonts w:hint="eastAsia"/>
                      <w:bCs/>
                    </w:rPr>
                    <w:t>除酸除硫装置（喷淋碱液和尿素溶液）</w:t>
                  </w:r>
                  <w:r>
                    <w:rPr>
                      <w:bCs/>
                    </w:rPr>
                    <w:t>—</w:t>
                  </w:r>
                  <w:r>
                    <w:rPr>
                      <w:rFonts w:hint="eastAsia"/>
                      <w:bCs/>
                    </w:rPr>
                    <w:t>布袋除尘器</w:t>
                  </w:r>
                  <w:r>
                    <w:rPr>
                      <w:bCs/>
                    </w:rPr>
                    <w:t>—</w:t>
                  </w:r>
                  <w:r>
                    <w:rPr>
                      <w:rFonts w:hint="eastAsia"/>
                      <w:bCs/>
                    </w:rPr>
                    <w:t>活性炭吸附器处理</w:t>
                  </w:r>
                  <w:r>
                    <w:rPr>
                      <w:bCs/>
                    </w:rPr>
                    <w:t>后</w:t>
                  </w:r>
                  <w:r>
                    <w:rPr>
                      <w:rFonts w:hint="eastAsia"/>
                      <w:bCs/>
                    </w:rPr>
                    <w:t>分别</w:t>
                  </w:r>
                  <w:r>
                    <w:rPr>
                      <w:bCs/>
                    </w:rPr>
                    <w:t>经</w:t>
                  </w:r>
                  <w:r>
                    <w:rPr>
                      <w:rFonts w:hint="eastAsia"/>
                      <w:bCs/>
                    </w:rPr>
                    <w:t>21m高</w:t>
                  </w:r>
                  <w:r>
                    <w:rPr>
                      <w:bCs/>
                    </w:rPr>
                    <w:t>排气筒排放</w:t>
                  </w:r>
                  <w:r>
                    <w:rPr>
                      <w:rFonts w:hint="eastAsia"/>
                      <w:bCs/>
                    </w:rPr>
                    <w:t>，</w:t>
                  </w:r>
                  <w:r>
                    <w:rPr>
                      <w:bCs/>
                    </w:rPr>
                    <w:t>有效减少二噁英的产生和排放，要求竣工环保验收对二噁英进行监测，保障达标排放。</w:t>
                  </w:r>
                </w:p>
              </w:tc>
              <w:tc>
                <w:tcPr>
                  <w:tcW w:w="417" w:type="pct"/>
                  <w:vMerge w:val="restart"/>
                  <w:vAlign w:val="center"/>
                </w:tcPr>
                <w:p>
                  <w:pPr>
                    <w:wordWrap w:val="0"/>
                    <w:topLinePunct/>
                    <w:adjustRightInd w:val="0"/>
                    <w:snapToGrid w:val="0"/>
                    <w:ind w:left="-105" w:leftChars="-50" w:right="-105" w:rightChars="-5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wordWrap w:val="0"/>
                    <w:topLinePunct/>
                    <w:adjustRightInd w:val="0"/>
                    <w:snapToGrid w:val="0"/>
                    <w:ind w:left="-105" w:leftChars="-50" w:right="-105" w:rightChars="-50"/>
                    <w:jc w:val="center"/>
                    <w:rPr>
                      <w:bCs/>
                      <w:szCs w:val="21"/>
                    </w:rPr>
                  </w:pPr>
                </w:p>
              </w:tc>
              <w:tc>
                <w:tcPr>
                  <w:tcW w:w="2025" w:type="pct"/>
                  <w:vAlign w:val="center"/>
                </w:tcPr>
                <w:p>
                  <w:pPr>
                    <w:wordWrap w:val="0"/>
                    <w:topLinePunct/>
                    <w:adjustRightInd w:val="0"/>
                    <w:snapToGrid w:val="0"/>
                    <w:ind w:left="-105" w:leftChars="-50" w:right="-105" w:rightChars="-50"/>
                    <w:jc w:val="center"/>
                    <w:rPr>
                      <w:szCs w:val="21"/>
                    </w:rPr>
                  </w:pPr>
                  <w:r>
                    <w:t>加强技术标准体系建设。建立健全防治二恶英污染的强制性技术规范体系，加强强制性标准推广。加强对相关技术标准的更新管理，逐步提高保护水平。鼓励地方、行业及企业制定和实施严于国家强制性要求的标准和措施。制定重点行业二恶英削减和控制技术政策，推广最佳可行污染防治工艺和技术。健全重点行业二恶英排放标准体系，制修订并严格执行铁矿石烧结、电弧炉炼钢、再生有色金属生产、废弃物焚烧及殡葬火化等行业二恶英排放标准和二恶英监控规范，引导重点行业提高技术水平。</w:t>
                  </w:r>
                </w:p>
              </w:tc>
              <w:tc>
                <w:tcPr>
                  <w:tcW w:w="1624" w:type="pct"/>
                  <w:vAlign w:val="center"/>
                </w:tcPr>
                <w:p>
                  <w:pPr>
                    <w:wordWrap w:val="0"/>
                    <w:topLinePunct/>
                    <w:adjustRightInd w:val="0"/>
                    <w:snapToGrid w:val="0"/>
                    <w:ind w:left="-105" w:leftChars="-50" w:right="-105" w:rightChars="-50"/>
                    <w:jc w:val="center"/>
                    <w:rPr>
                      <w:b/>
                      <w:szCs w:val="21"/>
                    </w:rPr>
                  </w:pPr>
                  <w:r>
                    <w:rPr>
                      <w:rFonts w:hint="eastAsia"/>
                      <w:bCs/>
                    </w:rPr>
                    <w:t>本项目严格</w:t>
                  </w:r>
                  <w:r>
                    <w:rPr>
                      <w:bCs/>
                    </w:rPr>
                    <w:t>按照</w:t>
                  </w:r>
                  <w:r>
                    <w:rPr>
                      <w:rFonts w:hint="eastAsia"/>
                      <w:bCs/>
                    </w:rPr>
                    <w:t>《火葬场</w:t>
                  </w:r>
                  <w:r>
                    <w:rPr>
                      <w:bCs/>
                    </w:rPr>
                    <w:t>大气污染物排放标准</w:t>
                  </w:r>
                  <w:r>
                    <w:rPr>
                      <w:rFonts w:hint="eastAsia"/>
                      <w:bCs/>
                    </w:rPr>
                    <w:t>》要求</w:t>
                  </w:r>
                  <w:r>
                    <w:rPr>
                      <w:bCs/>
                    </w:rPr>
                    <w:t>控制二噁英的排放</w:t>
                  </w:r>
                  <w:r>
                    <w:rPr>
                      <w:rFonts w:hint="eastAsia"/>
                      <w:bCs/>
                    </w:rPr>
                    <w:t>情况</w:t>
                  </w:r>
                  <w:r>
                    <w:rPr>
                      <w:bCs/>
                    </w:rPr>
                    <w:t>。</w:t>
                  </w:r>
                </w:p>
              </w:tc>
              <w:tc>
                <w:tcPr>
                  <w:tcW w:w="417" w:type="pct"/>
                  <w:vMerge w:val="continue"/>
                  <w:vAlign w:val="center"/>
                </w:tcPr>
                <w:p>
                  <w:pPr>
                    <w:wordWrap w:val="0"/>
                    <w:topLinePunct/>
                    <w:adjustRightInd w:val="0"/>
                    <w:snapToGrid w:val="0"/>
                    <w:ind w:left="-105" w:leftChars="-50" w:right="-105" w:rightChars="-50"/>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vAlign w:val="center"/>
                </w:tcPr>
                <w:p>
                  <w:pPr>
                    <w:wordWrap w:val="0"/>
                    <w:topLinePunct/>
                    <w:adjustRightInd w:val="0"/>
                    <w:snapToGrid w:val="0"/>
                    <w:ind w:left="-105" w:leftChars="-50" w:right="-105" w:rightChars="-50"/>
                    <w:jc w:val="center"/>
                    <w:rPr>
                      <w:bCs/>
                      <w:szCs w:val="21"/>
                    </w:rPr>
                  </w:pPr>
                  <w:r>
                    <w:rPr>
                      <w:rFonts w:hint="eastAsia"/>
                      <w:bCs/>
                      <w:szCs w:val="21"/>
                    </w:rPr>
                    <w:t>《汞</w:t>
                  </w:r>
                  <w:r>
                    <w:rPr>
                      <w:bCs/>
                      <w:szCs w:val="21"/>
                    </w:rPr>
                    <w:t>污染防治技术政策</w:t>
                  </w:r>
                  <w:r>
                    <w:rPr>
                      <w:rFonts w:hint="eastAsia"/>
                      <w:bCs/>
                      <w:szCs w:val="21"/>
                    </w:rPr>
                    <w:t>》（环境</w:t>
                  </w:r>
                  <w:r>
                    <w:rPr>
                      <w:bCs/>
                      <w:szCs w:val="21"/>
                    </w:rPr>
                    <w:t>保护部</w:t>
                  </w:r>
                  <w:r>
                    <w:rPr>
                      <w:rFonts w:hint="eastAsia"/>
                      <w:bCs/>
                      <w:szCs w:val="21"/>
                    </w:rPr>
                    <w:t>公告2015年</w:t>
                  </w:r>
                  <w:r>
                    <w:rPr>
                      <w:bCs/>
                      <w:szCs w:val="21"/>
                    </w:rPr>
                    <w:t>第</w:t>
                  </w:r>
                  <w:r>
                    <w:rPr>
                      <w:rFonts w:hint="eastAsia"/>
                      <w:bCs/>
                      <w:szCs w:val="21"/>
                    </w:rPr>
                    <w:t>90号）</w:t>
                  </w:r>
                </w:p>
              </w:tc>
              <w:tc>
                <w:tcPr>
                  <w:tcW w:w="2025" w:type="pct"/>
                  <w:vAlign w:val="center"/>
                </w:tcPr>
                <w:p>
                  <w:pPr>
                    <w:wordWrap w:val="0"/>
                    <w:topLinePunct/>
                    <w:adjustRightInd w:val="0"/>
                    <w:snapToGrid w:val="0"/>
                    <w:ind w:right="-105" w:rightChars="-50"/>
                    <w:rPr>
                      <w:szCs w:val="21"/>
                    </w:rPr>
                  </w:pPr>
                  <w:r>
                    <w:rPr>
                      <w:rFonts w:hint="eastAsia"/>
                      <w:szCs w:val="21"/>
                    </w:rPr>
                    <w:t>本技术政策所称的涉汞行业主要指原生汞生产，用汞工艺（主要指电石法聚氯乙烯生产），添汞产品生产（主要指含汞电光源、含汞电池、含汞体温计、含汞血压计、含汞化学试剂），以及燃煤电厂与燃煤工业锅炉、铜铅锌及黄金冶炼、钢铁冶炼、水泥生产、殡葬、废物焚烧与含汞废物处理处置等无意汞排放工业过程。</w:t>
                  </w:r>
                </w:p>
              </w:tc>
              <w:tc>
                <w:tcPr>
                  <w:tcW w:w="1624" w:type="pct"/>
                  <w:vAlign w:val="center"/>
                </w:tcPr>
                <w:p>
                  <w:pPr>
                    <w:wordWrap w:val="0"/>
                    <w:topLinePunct/>
                    <w:adjustRightInd w:val="0"/>
                    <w:snapToGrid w:val="0"/>
                    <w:ind w:left="-105" w:leftChars="-50" w:right="-105" w:rightChars="-50"/>
                    <w:jc w:val="center"/>
                    <w:rPr>
                      <w:szCs w:val="21"/>
                    </w:rPr>
                  </w:pPr>
                  <w:r>
                    <w:rPr>
                      <w:rFonts w:hint="eastAsia"/>
                      <w:szCs w:val="21"/>
                    </w:rPr>
                    <w:t>本项目</w:t>
                  </w:r>
                  <w:r>
                    <w:rPr>
                      <w:szCs w:val="21"/>
                    </w:rPr>
                    <w:t>为</w:t>
                  </w:r>
                  <w:r>
                    <w:rPr>
                      <w:rFonts w:hint="eastAsia"/>
                      <w:szCs w:val="21"/>
                    </w:rPr>
                    <w:t>殡葬</w:t>
                  </w:r>
                  <w:r>
                    <w:rPr>
                      <w:szCs w:val="21"/>
                    </w:rPr>
                    <w:t>服务业，涉及</w:t>
                  </w:r>
                  <w:r>
                    <w:rPr>
                      <w:rFonts w:hint="eastAsia"/>
                      <w:szCs w:val="21"/>
                    </w:rPr>
                    <w:t>汞排放。</w:t>
                  </w:r>
                </w:p>
              </w:tc>
              <w:tc>
                <w:tcPr>
                  <w:tcW w:w="417" w:type="pct"/>
                  <w:vAlign w:val="center"/>
                </w:tcPr>
                <w:p>
                  <w:pPr>
                    <w:wordWrap w:val="0"/>
                    <w:topLinePunct/>
                    <w:adjustRightInd w:val="0"/>
                    <w:snapToGrid w:val="0"/>
                    <w:ind w:left="-105" w:leftChars="-50" w:right="-105" w:rightChars="-5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wordWrap w:val="0"/>
                    <w:topLinePunct/>
                    <w:adjustRightInd w:val="0"/>
                    <w:snapToGrid w:val="0"/>
                    <w:ind w:left="-105" w:leftChars="-50" w:right="-105" w:rightChars="-50"/>
                    <w:jc w:val="center"/>
                    <w:rPr>
                      <w:bCs/>
                      <w:szCs w:val="21"/>
                    </w:rPr>
                  </w:pPr>
                </w:p>
              </w:tc>
              <w:tc>
                <w:tcPr>
                  <w:tcW w:w="2025" w:type="pct"/>
                  <w:vAlign w:val="center"/>
                </w:tcPr>
                <w:p>
                  <w:pPr>
                    <w:wordWrap w:val="0"/>
                    <w:topLinePunct/>
                    <w:adjustRightInd w:val="0"/>
                    <w:snapToGrid w:val="0"/>
                    <w:ind w:left="-105" w:leftChars="-50" w:right="-105" w:rightChars="-50"/>
                    <w:jc w:val="center"/>
                    <w:rPr>
                      <w:szCs w:val="21"/>
                    </w:rPr>
                  </w:pPr>
                  <w:r>
                    <w:rPr>
                      <w:rFonts w:hint="eastAsia"/>
                      <w:szCs w:val="21"/>
                    </w:rPr>
                    <w:t>殡葬行业宜采用活性炭喷射等技术去除烟气中的汞；鼓励研发的新技术：</w:t>
                  </w:r>
                  <w:r>
                    <w:rPr>
                      <w:szCs w:val="21"/>
                    </w:rPr>
                    <w:t>1.</w:t>
                  </w:r>
                  <w:r>
                    <w:rPr>
                      <w:rFonts w:hint="eastAsia"/>
                      <w:szCs w:val="21"/>
                    </w:rPr>
                    <w:t>烟气中汞、二噁英等污染物高效协同净化技术；</w:t>
                  </w:r>
                  <w:r>
                    <w:rPr>
                      <w:szCs w:val="21"/>
                    </w:rPr>
                    <w:t>2.</w:t>
                  </w:r>
                  <w:r>
                    <w:rPr>
                      <w:rFonts w:hint="eastAsia"/>
                      <w:szCs w:val="21"/>
                    </w:rPr>
                    <w:t>新型多功能汞吸附材料。</w:t>
                  </w:r>
                </w:p>
              </w:tc>
              <w:tc>
                <w:tcPr>
                  <w:tcW w:w="1624" w:type="pct"/>
                  <w:vAlign w:val="center"/>
                </w:tcPr>
                <w:p>
                  <w:pPr>
                    <w:wordWrap w:val="0"/>
                    <w:topLinePunct/>
                    <w:adjustRightInd w:val="0"/>
                    <w:snapToGrid w:val="0"/>
                    <w:ind w:left="-105" w:leftChars="-50" w:right="-105" w:rightChars="-50"/>
                    <w:jc w:val="center"/>
                    <w:rPr>
                      <w:szCs w:val="21"/>
                    </w:rPr>
                  </w:pPr>
                  <w:r>
                    <w:rPr>
                      <w:rFonts w:hint="eastAsia"/>
                      <w:bCs/>
                    </w:rPr>
                    <w:t>本项目</w:t>
                  </w:r>
                  <w:r>
                    <w:rPr>
                      <w:bCs/>
                    </w:rPr>
                    <w:t>火化炉废气经</w:t>
                  </w:r>
                  <w:r>
                    <w:rPr>
                      <w:rFonts w:hint="eastAsia"/>
                      <w:bCs/>
                    </w:rPr>
                    <w:t>二燃室</w:t>
                  </w:r>
                  <w:r>
                    <w:rPr>
                      <w:bCs/>
                    </w:rPr>
                    <w:t>—</w:t>
                  </w:r>
                  <w:r>
                    <w:rPr>
                      <w:rFonts w:hint="eastAsia"/>
                      <w:bCs/>
                    </w:rPr>
                    <w:t>初级除尘（火星拦截装置）</w:t>
                  </w:r>
                  <w:r>
                    <w:rPr>
                      <w:bCs/>
                    </w:rPr>
                    <w:t>—</w:t>
                  </w:r>
                  <w:r>
                    <w:rPr>
                      <w:rFonts w:hint="eastAsia"/>
                      <w:bCs/>
                    </w:rPr>
                    <w:t>热交换器</w:t>
                  </w:r>
                  <w:r>
                    <w:rPr>
                      <w:bCs/>
                    </w:rPr>
                    <w:t>—</w:t>
                  </w:r>
                  <w:r>
                    <w:rPr>
                      <w:rFonts w:hint="eastAsia"/>
                      <w:bCs/>
                    </w:rPr>
                    <w:t>旋风除尘器</w:t>
                  </w:r>
                  <w:r>
                    <w:rPr>
                      <w:bCs/>
                    </w:rPr>
                    <w:t>—</w:t>
                  </w:r>
                  <w:r>
                    <w:rPr>
                      <w:rFonts w:hint="eastAsia"/>
                      <w:bCs/>
                    </w:rPr>
                    <w:t>除酸除硫装置（喷淋碱液和尿素溶液）</w:t>
                  </w:r>
                  <w:r>
                    <w:rPr>
                      <w:bCs/>
                    </w:rPr>
                    <w:t>—</w:t>
                  </w:r>
                  <w:r>
                    <w:rPr>
                      <w:rFonts w:hint="eastAsia"/>
                      <w:bCs/>
                    </w:rPr>
                    <w:t>布袋除尘器</w:t>
                  </w:r>
                  <w:r>
                    <w:rPr>
                      <w:bCs/>
                    </w:rPr>
                    <w:t>—</w:t>
                  </w:r>
                  <w:r>
                    <w:rPr>
                      <w:rFonts w:hint="eastAsia"/>
                      <w:bCs/>
                    </w:rPr>
                    <w:t>活性炭吸附器处理</w:t>
                  </w:r>
                  <w:r>
                    <w:rPr>
                      <w:bCs/>
                    </w:rPr>
                    <w:t>后</w:t>
                  </w:r>
                  <w:r>
                    <w:rPr>
                      <w:rFonts w:hint="eastAsia"/>
                      <w:bCs/>
                    </w:rPr>
                    <w:t>分别</w:t>
                  </w:r>
                  <w:r>
                    <w:rPr>
                      <w:bCs/>
                    </w:rPr>
                    <w:t>经</w:t>
                  </w:r>
                  <w:r>
                    <w:rPr>
                      <w:rFonts w:hint="eastAsia"/>
                      <w:bCs/>
                    </w:rPr>
                    <w:t>21m高</w:t>
                  </w:r>
                  <w:r>
                    <w:rPr>
                      <w:bCs/>
                    </w:rPr>
                    <w:t>排气筒排放</w:t>
                  </w:r>
                  <w:r>
                    <w:rPr>
                      <w:rFonts w:hint="eastAsia"/>
                      <w:bCs/>
                    </w:rPr>
                    <w:t>。协同</w:t>
                  </w:r>
                  <w:r>
                    <w:rPr>
                      <w:bCs/>
                    </w:rPr>
                    <w:t>处理烟气中汞、二噁英</w:t>
                  </w:r>
                  <w:r>
                    <w:rPr>
                      <w:rFonts w:hint="eastAsia"/>
                      <w:bCs/>
                    </w:rPr>
                    <w:t>。</w:t>
                  </w:r>
                </w:p>
              </w:tc>
              <w:tc>
                <w:tcPr>
                  <w:tcW w:w="417" w:type="pct"/>
                  <w:vAlign w:val="center"/>
                </w:tcPr>
                <w:p>
                  <w:pPr>
                    <w:wordWrap w:val="0"/>
                    <w:topLinePunct/>
                    <w:adjustRightInd w:val="0"/>
                    <w:snapToGrid w:val="0"/>
                    <w:ind w:left="-105" w:leftChars="-50" w:right="-105" w:rightChars="-5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wordWrap w:val="0"/>
                    <w:topLinePunct/>
                    <w:adjustRightInd w:val="0"/>
                    <w:snapToGrid w:val="0"/>
                    <w:ind w:left="-105" w:leftChars="-50" w:right="-105" w:rightChars="-50"/>
                    <w:jc w:val="center"/>
                    <w:rPr>
                      <w:szCs w:val="21"/>
                    </w:rPr>
                  </w:pPr>
                  <w:r>
                    <w:rPr>
                      <w:kern w:val="0"/>
                      <w:szCs w:val="21"/>
                    </w:rPr>
                    <w:t>《陕西省大气污染治理行动方案（2023-2027年）》（陕发〔2023〕4号）</w:t>
                  </w:r>
                </w:p>
              </w:tc>
              <w:tc>
                <w:tcPr>
                  <w:tcW w:w="2025" w:type="pct"/>
                  <w:vAlign w:val="center"/>
                </w:tcPr>
                <w:p>
                  <w:pPr>
                    <w:wordWrap w:val="0"/>
                    <w:topLinePunct/>
                    <w:adjustRightInd w:val="0"/>
                    <w:snapToGrid w:val="0"/>
                    <w:ind w:left="-105" w:leftChars="-50" w:right="-105" w:rightChars="-50"/>
                    <w:jc w:val="center"/>
                    <w:rPr>
                      <w:szCs w:val="21"/>
                      <w:shd w:val="clear" w:color="auto" w:fill="FFFFFF"/>
                    </w:rPr>
                  </w:pPr>
                  <w:r>
                    <w:rPr>
                      <w:szCs w:val="21"/>
                    </w:rPr>
                    <w:t>面源综合治理行动，以减尘、滞尘、固碳为目标。</w:t>
                  </w:r>
                </w:p>
              </w:tc>
              <w:tc>
                <w:tcPr>
                  <w:tcW w:w="1624" w:type="pct"/>
                  <w:vAlign w:val="center"/>
                </w:tcPr>
                <w:p>
                  <w:pPr>
                    <w:wordWrap w:val="0"/>
                    <w:topLinePunct/>
                    <w:adjustRightInd w:val="0"/>
                    <w:snapToGrid w:val="0"/>
                    <w:ind w:left="-105" w:leftChars="-50" w:right="-105" w:rightChars="-50"/>
                    <w:jc w:val="center"/>
                    <w:rPr>
                      <w:szCs w:val="21"/>
                    </w:rPr>
                  </w:pPr>
                  <w:r>
                    <w:rPr>
                      <w:kern w:val="0"/>
                      <w:szCs w:val="21"/>
                    </w:rPr>
                    <w:t>本项目涉及构筑物拆除等施工工程及物料运输和堆放活动，需采取防尘措施。环评要求在工地设置硬质材料围挡，暂未开工建设用地需对裸露地面进行覆盖，水泥、灰土、砂石等易产生扬尘污染物和建筑垃圾、工程渣土应采用密闭式防尘网覆盖或者在库房内存放等。</w:t>
                  </w:r>
                </w:p>
              </w:tc>
              <w:tc>
                <w:tcPr>
                  <w:tcW w:w="417" w:type="pct"/>
                  <w:vAlign w:val="center"/>
                </w:tcPr>
                <w:p>
                  <w:pPr>
                    <w:widowControl/>
                    <w:wordWrap w:val="0"/>
                    <w:topLinePunct/>
                    <w:adjustRightInd w:val="0"/>
                    <w:snapToGrid w:val="0"/>
                    <w:ind w:left="-105" w:leftChars="-50" w:right="-105" w:rightChars="-5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vAlign w:val="center"/>
                </w:tcPr>
                <w:p>
                  <w:pPr>
                    <w:widowControl/>
                    <w:wordWrap w:val="0"/>
                    <w:topLinePunct/>
                    <w:adjustRightInd w:val="0"/>
                    <w:snapToGrid w:val="0"/>
                    <w:jc w:val="center"/>
                    <w:rPr>
                      <w:szCs w:val="21"/>
                    </w:rPr>
                  </w:pPr>
                  <w:r>
                    <w:rPr>
                      <w:kern w:val="0"/>
                      <w:szCs w:val="21"/>
                    </w:rPr>
                    <w:t>《陕西省大气污染防治条例（2019年修正）》</w:t>
                  </w:r>
                </w:p>
              </w:tc>
              <w:tc>
                <w:tcPr>
                  <w:tcW w:w="2025" w:type="pct"/>
                  <w:vAlign w:val="center"/>
                </w:tcPr>
                <w:p>
                  <w:pPr>
                    <w:wordWrap w:val="0"/>
                    <w:topLinePunct/>
                    <w:adjustRightInd w:val="0"/>
                    <w:snapToGrid w:val="0"/>
                    <w:ind w:left="-105" w:leftChars="-50" w:right="-105" w:rightChars="-50"/>
                    <w:jc w:val="center"/>
                    <w:rPr>
                      <w:szCs w:val="21"/>
                      <w:shd w:val="clear" w:color="auto" w:fill="FFFFFF"/>
                    </w:rPr>
                  </w:pPr>
                  <w:r>
                    <w:rPr>
                      <w:kern w:val="0"/>
                      <w:szCs w:val="21"/>
                    </w:rPr>
                    <w:t>企业应当优先采用能源和原材料利用效率高、污染物排放量少的清洁生产技术、工艺和装备，减少大气污染物的产生和排放。</w:t>
                  </w:r>
                </w:p>
              </w:tc>
              <w:tc>
                <w:tcPr>
                  <w:tcW w:w="1624" w:type="pct"/>
                  <w:vAlign w:val="center"/>
                </w:tcPr>
                <w:p>
                  <w:pPr>
                    <w:wordWrap w:val="0"/>
                    <w:topLinePunct/>
                    <w:adjustRightInd w:val="0"/>
                    <w:snapToGrid w:val="0"/>
                    <w:ind w:left="-105" w:leftChars="-50" w:right="-105" w:rightChars="-50"/>
                    <w:jc w:val="center"/>
                    <w:rPr>
                      <w:szCs w:val="21"/>
                    </w:rPr>
                  </w:pPr>
                  <w:r>
                    <w:rPr>
                      <w:kern w:val="0"/>
                      <w:szCs w:val="21"/>
                    </w:rPr>
                    <w:t>本项目辅助燃料为符合标准的天然气，采用先进的废气处理设备，确保废气达标排放。</w:t>
                  </w:r>
                </w:p>
              </w:tc>
              <w:tc>
                <w:tcPr>
                  <w:tcW w:w="417" w:type="pct"/>
                  <w:vAlign w:val="center"/>
                </w:tcPr>
                <w:p>
                  <w:pPr>
                    <w:widowControl/>
                    <w:wordWrap w:val="0"/>
                    <w:topLinePunct/>
                    <w:adjustRightInd w:val="0"/>
                    <w:snapToGrid w:val="0"/>
                    <w:ind w:left="-105" w:leftChars="-50" w:right="-105" w:rightChars="-5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wordWrap w:val="0"/>
                    <w:topLinePunct/>
                    <w:adjustRightInd w:val="0"/>
                    <w:snapToGrid w:val="0"/>
                    <w:ind w:left="-105" w:leftChars="-50" w:right="-105" w:rightChars="-50"/>
                    <w:jc w:val="center"/>
                    <w:rPr>
                      <w:szCs w:val="21"/>
                    </w:rPr>
                  </w:pPr>
                </w:p>
              </w:tc>
              <w:tc>
                <w:tcPr>
                  <w:tcW w:w="2025" w:type="pct"/>
                  <w:vAlign w:val="center"/>
                </w:tcPr>
                <w:p>
                  <w:pPr>
                    <w:widowControl/>
                    <w:wordWrap w:val="0"/>
                    <w:topLinePunct/>
                    <w:adjustRightInd w:val="0"/>
                    <w:snapToGrid w:val="0"/>
                    <w:jc w:val="center"/>
                    <w:rPr>
                      <w:kern w:val="0"/>
                      <w:szCs w:val="21"/>
                    </w:rPr>
                  </w:pPr>
                  <w:r>
                    <w:rPr>
                      <w:kern w:val="0"/>
                      <w:szCs w:val="21"/>
                    </w:rPr>
                    <w:t>从事房屋建筑、道路、市政基础设施、矿产资源开发、河道整治及建筑拆除等施工工程、物料运输和堆放及其他产生扬尘污染的活动，必须采取防治措施。</w:t>
                  </w:r>
                </w:p>
                <w:p>
                  <w:pPr>
                    <w:wordWrap w:val="0"/>
                    <w:topLinePunct/>
                    <w:adjustRightInd w:val="0"/>
                    <w:snapToGrid w:val="0"/>
                    <w:ind w:left="-105" w:leftChars="-50" w:right="-105" w:rightChars="-50"/>
                    <w:jc w:val="center"/>
                    <w:rPr>
                      <w:szCs w:val="21"/>
                      <w:shd w:val="clear" w:color="auto" w:fill="FFFFFF"/>
                    </w:rPr>
                  </w:pPr>
                  <w:r>
                    <w:rPr>
                      <w:kern w:val="0"/>
                      <w:szCs w:val="21"/>
                    </w:rPr>
                    <w:t>城市市区施工工地禁止现场搅拌混凝土和砂浆，强制使用预拌混凝土和预拌砂浆。</w:t>
                  </w:r>
                </w:p>
              </w:tc>
              <w:tc>
                <w:tcPr>
                  <w:tcW w:w="1624" w:type="pct"/>
                  <w:vAlign w:val="center"/>
                </w:tcPr>
                <w:p>
                  <w:pPr>
                    <w:wordWrap w:val="0"/>
                    <w:topLinePunct/>
                    <w:adjustRightInd w:val="0"/>
                    <w:snapToGrid w:val="0"/>
                    <w:ind w:left="-105" w:leftChars="-50" w:right="-105" w:rightChars="-50"/>
                    <w:jc w:val="center"/>
                    <w:rPr>
                      <w:szCs w:val="21"/>
                    </w:rPr>
                  </w:pPr>
                  <w:r>
                    <w:rPr>
                      <w:kern w:val="0"/>
                      <w:szCs w:val="21"/>
                    </w:rPr>
                    <w:t>严格落实“洒水、覆盖、硬化、冲洗、绿化、围挡”六个百分百措施，严格落实城市规划区内建筑工地禁止现场搅拌混凝土、禁止现场配置砂浆“两个禁止”，采取洒水抑尘、易起尘物料覆盖堆存、密闭运输，设置封闭施工围挡等扬尘防治措施。</w:t>
                  </w:r>
                </w:p>
              </w:tc>
              <w:tc>
                <w:tcPr>
                  <w:tcW w:w="417" w:type="pct"/>
                  <w:vAlign w:val="center"/>
                </w:tcPr>
                <w:p>
                  <w:pPr>
                    <w:widowControl/>
                    <w:wordWrap w:val="0"/>
                    <w:topLinePunct/>
                    <w:adjustRightInd w:val="0"/>
                    <w:snapToGrid w:val="0"/>
                    <w:ind w:left="-105" w:leftChars="-50" w:right="-105" w:rightChars="-5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wordWrap w:val="0"/>
                    <w:topLinePunct/>
                    <w:adjustRightInd w:val="0"/>
                    <w:snapToGrid w:val="0"/>
                    <w:ind w:left="-105" w:leftChars="-50" w:right="-105" w:rightChars="-50"/>
                    <w:jc w:val="center"/>
                    <w:rPr>
                      <w:szCs w:val="21"/>
                    </w:rPr>
                  </w:pPr>
                  <w:r>
                    <w:rPr>
                      <w:rFonts w:hint="eastAsia"/>
                      <w:szCs w:val="21"/>
                    </w:rPr>
                    <w:t>《</w:t>
                  </w:r>
                  <w:r>
                    <w:rPr>
                      <w:szCs w:val="21"/>
                    </w:rPr>
                    <w:t>西安市大气污染治理专项行动方案（2023-2027）</w:t>
                  </w:r>
                  <w:r>
                    <w:rPr>
                      <w:rFonts w:hint="eastAsia"/>
                      <w:szCs w:val="21"/>
                    </w:rPr>
                    <w:t>》</w:t>
                  </w:r>
                </w:p>
              </w:tc>
              <w:tc>
                <w:tcPr>
                  <w:tcW w:w="2025" w:type="pct"/>
                  <w:vAlign w:val="center"/>
                </w:tcPr>
                <w:p>
                  <w:pPr>
                    <w:wordWrap w:val="0"/>
                    <w:topLinePunct/>
                    <w:adjustRightInd w:val="0"/>
                    <w:snapToGrid w:val="0"/>
                    <w:ind w:left="-105" w:leftChars="-50" w:right="-105" w:rightChars="-50"/>
                    <w:jc w:val="center"/>
                    <w:rPr>
                      <w:szCs w:val="21"/>
                      <w:shd w:val="clear" w:color="auto" w:fill="FFFFFF"/>
                    </w:rPr>
                  </w:pPr>
                  <w:r>
                    <w:rPr>
                      <w:szCs w:val="21"/>
                      <w:shd w:val="clear" w:color="auto" w:fill="FFFFFF"/>
                    </w:rPr>
                    <w:t>强化非道路移动机械排放控制区管控。到2025年，不符合“双三标准”的机械禁止使用，具备条件的可更换国四及以上排放标准的发动机</w:t>
                  </w:r>
                </w:p>
              </w:tc>
              <w:tc>
                <w:tcPr>
                  <w:tcW w:w="1624" w:type="pct"/>
                  <w:vAlign w:val="center"/>
                </w:tcPr>
                <w:p>
                  <w:pPr>
                    <w:wordWrap w:val="0"/>
                    <w:topLinePunct/>
                    <w:adjustRightInd w:val="0"/>
                    <w:snapToGrid w:val="0"/>
                    <w:ind w:left="-105" w:leftChars="-50" w:right="-105" w:rightChars="-50"/>
                    <w:jc w:val="center"/>
                    <w:rPr>
                      <w:szCs w:val="21"/>
                    </w:rPr>
                  </w:pPr>
                  <w:r>
                    <w:rPr>
                      <w:szCs w:val="21"/>
                    </w:rPr>
                    <w:t>项目施工期使用国四及以上的非道路移动机械。</w:t>
                  </w:r>
                </w:p>
              </w:tc>
              <w:tc>
                <w:tcPr>
                  <w:tcW w:w="417" w:type="pct"/>
                  <w:vAlign w:val="center"/>
                </w:tcPr>
                <w:p>
                  <w:pPr>
                    <w:widowControl/>
                    <w:wordWrap w:val="0"/>
                    <w:topLinePunct/>
                    <w:adjustRightInd w:val="0"/>
                    <w:snapToGrid w:val="0"/>
                    <w:ind w:left="-105" w:leftChars="-50" w:right="-105" w:rightChars="-5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wordWrap w:val="0"/>
                    <w:topLinePunct/>
                    <w:adjustRightInd w:val="0"/>
                    <w:snapToGrid w:val="0"/>
                    <w:ind w:left="-105" w:leftChars="-50" w:right="-105" w:rightChars="-50"/>
                    <w:jc w:val="center"/>
                    <w:rPr>
                      <w:szCs w:val="21"/>
                    </w:rPr>
                  </w:pPr>
                  <w:r>
                    <w:rPr>
                      <w:rFonts w:hint="eastAsia"/>
                      <w:szCs w:val="28"/>
                    </w:rPr>
                    <w:t>《</w:t>
                  </w:r>
                  <w:r>
                    <w:rPr>
                      <w:szCs w:val="28"/>
                    </w:rPr>
                    <w:t>西安市“十四五”民政事业发展规划</w:t>
                  </w:r>
                  <w:r>
                    <w:rPr>
                      <w:rFonts w:hint="eastAsia"/>
                      <w:szCs w:val="28"/>
                    </w:rPr>
                    <w:t>》（市</w:t>
                  </w:r>
                  <w:r>
                    <w:rPr>
                      <w:szCs w:val="28"/>
                    </w:rPr>
                    <w:t>民发</w:t>
                  </w:r>
                  <w:r>
                    <w:rPr>
                      <w:rFonts w:hint="eastAsia" w:ascii="宋体" w:hAnsi="宋体"/>
                      <w:szCs w:val="28"/>
                    </w:rPr>
                    <w:t>〔</w:t>
                  </w:r>
                  <w:r>
                    <w:rPr>
                      <w:rFonts w:hint="eastAsia"/>
                      <w:szCs w:val="28"/>
                    </w:rPr>
                    <w:t>2021</w:t>
                  </w:r>
                  <w:r>
                    <w:rPr>
                      <w:rFonts w:hint="eastAsia" w:ascii="宋体" w:hAnsi="宋体"/>
                      <w:szCs w:val="28"/>
                    </w:rPr>
                    <w:t>〕</w:t>
                  </w:r>
                  <w:r>
                    <w:rPr>
                      <w:szCs w:val="28"/>
                    </w:rPr>
                    <w:t>109</w:t>
                  </w:r>
                  <w:r>
                    <w:rPr>
                      <w:rFonts w:hint="eastAsia"/>
                      <w:szCs w:val="28"/>
                    </w:rPr>
                    <w:t>号）</w:t>
                  </w:r>
                </w:p>
              </w:tc>
              <w:tc>
                <w:tcPr>
                  <w:tcW w:w="2025" w:type="pct"/>
                  <w:vAlign w:val="center"/>
                </w:tcPr>
                <w:p>
                  <w:pPr>
                    <w:wordWrap w:val="0"/>
                    <w:topLinePunct/>
                    <w:adjustRightInd w:val="0"/>
                    <w:snapToGrid w:val="0"/>
                    <w:ind w:left="-105" w:leftChars="-50" w:right="-105" w:rightChars="-50"/>
                    <w:jc w:val="center"/>
                    <w:rPr>
                      <w:szCs w:val="21"/>
                    </w:rPr>
                  </w:pPr>
                  <w:r>
                    <w:rPr>
                      <w:szCs w:val="21"/>
                    </w:rPr>
                    <w:t>实施殡葬服务体系建设工程。加快殡葬服务设施建设，合理规划布局建设蓝田和周至两县级殡仪馆及新城区、碑林区、莲湖区、雁塔区、未央区、灞桥区、长安区、临潼区、蓝田县、周至县公益性公墓（骨灰堂），实现城乡公益性公墓（骨灰堂）建设全覆盖。协调解决建设用地，落实建设资金，建立多渠道筹资机制，明确省、市、区财政投入分担比例。加快建设进度，充分保障人民群众的基本殡葬需求。</w:t>
                  </w:r>
                </w:p>
              </w:tc>
              <w:tc>
                <w:tcPr>
                  <w:tcW w:w="1624" w:type="pct"/>
                  <w:vAlign w:val="center"/>
                </w:tcPr>
                <w:p>
                  <w:pPr>
                    <w:wordWrap w:val="0"/>
                    <w:topLinePunct/>
                    <w:adjustRightInd w:val="0"/>
                    <w:snapToGrid w:val="0"/>
                    <w:ind w:left="-105" w:leftChars="-50" w:right="-105" w:rightChars="-50"/>
                    <w:jc w:val="center"/>
                    <w:rPr>
                      <w:szCs w:val="21"/>
                    </w:rPr>
                  </w:pPr>
                  <w:r>
                    <w:rPr>
                      <w:szCs w:val="21"/>
                    </w:rPr>
                    <w:t>本项目为新建周至县殡仪馆项目，项目设置有骨灰楼3617.3m</w:t>
                  </w:r>
                  <w:r>
                    <w:rPr>
                      <w:szCs w:val="21"/>
                      <w:vertAlign w:val="superscript"/>
                    </w:rPr>
                    <w:t>2</w:t>
                  </w:r>
                  <w:r>
                    <w:rPr>
                      <w:szCs w:val="21"/>
                    </w:rPr>
                    <w:t>。</w:t>
                  </w:r>
                </w:p>
              </w:tc>
              <w:tc>
                <w:tcPr>
                  <w:tcW w:w="417" w:type="pct"/>
                  <w:vAlign w:val="center"/>
                </w:tcPr>
                <w:p>
                  <w:pPr>
                    <w:widowControl/>
                    <w:wordWrap w:val="0"/>
                    <w:topLinePunct/>
                    <w:adjustRightInd w:val="0"/>
                    <w:snapToGrid w:val="0"/>
                    <w:ind w:left="-105" w:leftChars="-50" w:right="-105" w:rightChars="-5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wordWrap w:val="0"/>
                    <w:topLinePunct/>
                    <w:adjustRightInd w:val="0"/>
                    <w:snapToGrid w:val="0"/>
                    <w:ind w:left="-105" w:leftChars="-50" w:right="-105" w:rightChars="-50"/>
                    <w:jc w:val="center"/>
                    <w:rPr>
                      <w:szCs w:val="21"/>
                    </w:rPr>
                  </w:pPr>
                  <w:r>
                    <w:rPr>
                      <w:rFonts w:hint="eastAsia"/>
                      <w:szCs w:val="21"/>
                    </w:rPr>
                    <w:t>《</w:t>
                  </w:r>
                  <w:r>
                    <w:rPr>
                      <w:szCs w:val="21"/>
                    </w:rPr>
                    <w:t>陕西殡葬管理办法</w:t>
                  </w:r>
                  <w:r>
                    <w:rPr>
                      <w:rFonts w:hint="eastAsia"/>
                      <w:szCs w:val="21"/>
                    </w:rPr>
                    <w:t>》</w:t>
                  </w:r>
                </w:p>
              </w:tc>
              <w:tc>
                <w:tcPr>
                  <w:tcW w:w="2025" w:type="pct"/>
                  <w:vAlign w:val="center"/>
                </w:tcPr>
                <w:p>
                  <w:pPr>
                    <w:wordWrap w:val="0"/>
                    <w:topLinePunct/>
                    <w:adjustRightInd w:val="0"/>
                    <w:snapToGrid w:val="0"/>
                    <w:ind w:left="-105" w:leftChars="-50" w:right="-105" w:rightChars="-50"/>
                    <w:jc w:val="center"/>
                    <w:rPr>
                      <w:szCs w:val="21"/>
                      <w:shd w:val="clear" w:color="auto" w:fill="FFFFFF"/>
                    </w:rPr>
                  </w:pPr>
                </w:p>
                <w:p>
                  <w:pPr>
                    <w:wordWrap w:val="0"/>
                    <w:topLinePunct/>
                    <w:adjustRightInd w:val="0"/>
                    <w:snapToGrid w:val="0"/>
                    <w:ind w:left="-105" w:leftChars="-50" w:right="-105" w:rightChars="-50"/>
                    <w:rPr>
                      <w:szCs w:val="21"/>
                      <w:shd w:val="clear" w:color="auto" w:fill="FFFFFF"/>
                    </w:rPr>
                  </w:pPr>
                  <w:r>
                    <w:rPr>
                      <w:szCs w:val="21"/>
                      <w:shd w:val="clear" w:color="auto" w:fill="FFFFFF"/>
                    </w:rPr>
                    <w:t>县级以上人民政府应当把殡仪馆、火葬场等殡葬设施的建设和改造列入当地的城乡建设规划和基本建设计划，积极为推行火葬创造条件。</w:t>
                  </w:r>
                </w:p>
                <w:p>
                  <w:pPr>
                    <w:wordWrap w:val="0"/>
                    <w:topLinePunct/>
                    <w:adjustRightInd w:val="0"/>
                    <w:snapToGrid w:val="0"/>
                    <w:ind w:left="-105" w:leftChars="-50" w:right="-105" w:rightChars="-50"/>
                    <w:jc w:val="center"/>
                    <w:rPr>
                      <w:szCs w:val="21"/>
                      <w:shd w:val="clear" w:color="auto" w:fill="FFFFFF"/>
                    </w:rPr>
                  </w:pPr>
                  <w:r>
                    <w:rPr>
                      <w:szCs w:val="21"/>
                      <w:shd w:val="clear" w:color="auto" w:fill="FFFFFF"/>
                    </w:rPr>
                    <w:t>各级人民政府民政部门在殡葬管理工作中，要统筹规划，综合协调，加强日常监督检查，加快殡葬改革和推行火葬的工作进程，提高服务质量。</w:t>
                  </w:r>
                </w:p>
                <w:p>
                  <w:pPr>
                    <w:wordWrap w:val="0"/>
                    <w:topLinePunct/>
                    <w:adjustRightInd w:val="0"/>
                    <w:snapToGrid w:val="0"/>
                    <w:ind w:left="-105" w:leftChars="-50" w:right="-105" w:rightChars="-50"/>
                    <w:jc w:val="center"/>
                    <w:rPr>
                      <w:szCs w:val="21"/>
                    </w:rPr>
                  </w:pPr>
                  <w:r>
                    <w:rPr>
                      <w:szCs w:val="21"/>
                      <w:shd w:val="clear" w:color="auto" w:fill="FFFFFF"/>
                    </w:rPr>
                    <w:t>城市、县城以及人口稠密、人均耕地较少、交通方便、殡仪车辆当日可以往返的地区，应当实行火葬。</w:t>
                  </w:r>
                </w:p>
              </w:tc>
              <w:tc>
                <w:tcPr>
                  <w:tcW w:w="1624" w:type="pct"/>
                  <w:vAlign w:val="center"/>
                </w:tcPr>
                <w:p>
                  <w:pPr>
                    <w:wordWrap w:val="0"/>
                    <w:topLinePunct/>
                    <w:adjustRightInd w:val="0"/>
                    <w:snapToGrid w:val="0"/>
                    <w:ind w:left="-105" w:leftChars="-50" w:right="-105" w:rightChars="-50"/>
                    <w:jc w:val="center"/>
                    <w:rPr>
                      <w:szCs w:val="21"/>
                      <w:shd w:val="clear" w:color="auto" w:fill="FFFFFF"/>
                    </w:rPr>
                  </w:pPr>
                  <w:r>
                    <w:rPr>
                      <w:szCs w:val="21"/>
                    </w:rPr>
                    <w:t>本项目为新建周至县殡仪馆项目，设置</w:t>
                  </w:r>
                  <w:r>
                    <w:rPr>
                      <w:szCs w:val="21"/>
                      <w:shd w:val="clear" w:color="auto" w:fill="FFFFFF"/>
                    </w:rPr>
                    <w:t>按照《</w:t>
                  </w:r>
                  <w:r>
                    <w:rPr>
                      <w:szCs w:val="28"/>
                    </w:rPr>
                    <w:t>西安市“十四五”民政事业发展规划</w:t>
                  </w:r>
                  <w:r>
                    <w:rPr>
                      <w:szCs w:val="21"/>
                      <w:shd w:val="clear" w:color="auto" w:fill="FFFFFF"/>
                    </w:rPr>
                    <w:t>》，服务范围为周至县。</w:t>
                  </w:r>
                </w:p>
              </w:tc>
              <w:tc>
                <w:tcPr>
                  <w:tcW w:w="417" w:type="pct"/>
                  <w:vAlign w:val="center"/>
                </w:tcPr>
                <w:p>
                  <w:pPr>
                    <w:widowControl/>
                    <w:wordWrap w:val="0"/>
                    <w:topLinePunct/>
                    <w:adjustRightInd w:val="0"/>
                    <w:snapToGrid w:val="0"/>
                    <w:ind w:left="-105" w:leftChars="-50" w:right="-105" w:rightChars="-5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vAlign w:val="center"/>
                </w:tcPr>
                <w:p>
                  <w:pPr>
                    <w:wordWrap w:val="0"/>
                    <w:topLinePunct/>
                    <w:adjustRightInd w:val="0"/>
                    <w:snapToGrid w:val="0"/>
                    <w:ind w:left="-105" w:leftChars="-50" w:right="-105" w:rightChars="-50"/>
                    <w:jc w:val="center"/>
                    <w:rPr>
                      <w:szCs w:val="21"/>
                    </w:rPr>
                  </w:pPr>
                  <w:r>
                    <w:rPr>
                      <w:rFonts w:hint="eastAsia"/>
                      <w:szCs w:val="21"/>
                    </w:rPr>
                    <w:t>《</w:t>
                  </w:r>
                  <w:r>
                    <w:rPr>
                      <w:szCs w:val="21"/>
                    </w:rPr>
                    <w:t>殡葬管理条例</w:t>
                  </w:r>
                  <w:r>
                    <w:rPr>
                      <w:rFonts w:hint="eastAsia"/>
                      <w:szCs w:val="21"/>
                    </w:rPr>
                    <w:t>》</w:t>
                  </w:r>
                </w:p>
              </w:tc>
              <w:tc>
                <w:tcPr>
                  <w:tcW w:w="2025" w:type="pct"/>
                  <w:vAlign w:val="center"/>
                </w:tcPr>
                <w:p>
                  <w:pPr>
                    <w:wordWrap w:val="0"/>
                    <w:topLinePunct/>
                    <w:adjustRightInd w:val="0"/>
                    <w:snapToGrid w:val="0"/>
                    <w:ind w:left="-105" w:leftChars="-50" w:right="-105" w:rightChars="-50"/>
                    <w:jc w:val="center"/>
                    <w:rPr>
                      <w:szCs w:val="21"/>
                    </w:rPr>
                  </w:pPr>
                  <w:r>
                    <w:rPr>
                      <w:rFonts w:hint="eastAsia"/>
                      <w:szCs w:val="21"/>
                    </w:rPr>
                    <w:t>人口稠密、耕地较少、交通方便的地区，应当实行火葬；暂不具备条件实行火葬的地区，允许土葬。实行火葬和允许土葬的地区，由省、自治区、直辖市人民政府划定，并由本级人民政府民政部门报国务院民政部门备案。</w:t>
                  </w:r>
                </w:p>
              </w:tc>
              <w:tc>
                <w:tcPr>
                  <w:tcW w:w="1624" w:type="pct"/>
                  <w:vMerge w:val="restart"/>
                  <w:vAlign w:val="center"/>
                </w:tcPr>
                <w:p>
                  <w:pPr>
                    <w:wordWrap w:val="0"/>
                    <w:topLinePunct/>
                    <w:adjustRightInd w:val="0"/>
                    <w:snapToGrid w:val="0"/>
                    <w:ind w:left="-105" w:leftChars="-50" w:right="-105" w:rightChars="-50"/>
                    <w:jc w:val="center"/>
                    <w:rPr>
                      <w:szCs w:val="21"/>
                      <w:shd w:val="clear" w:color="auto" w:fill="FFFFFF"/>
                    </w:rPr>
                  </w:pPr>
                  <w:r>
                    <w:rPr>
                      <w:rFonts w:hint="eastAsia"/>
                      <w:szCs w:val="21"/>
                      <w:shd w:val="clear" w:color="auto" w:fill="FFFFFF"/>
                    </w:rPr>
                    <w:t>依据《</w:t>
                  </w:r>
                  <w:r>
                    <w:rPr>
                      <w:szCs w:val="28"/>
                    </w:rPr>
                    <w:t>西安市“十四五”民政事业发展规划</w:t>
                  </w:r>
                  <w:r>
                    <w:rPr>
                      <w:rFonts w:hint="eastAsia"/>
                      <w:szCs w:val="21"/>
                      <w:shd w:val="clear" w:color="auto" w:fill="FFFFFF"/>
                    </w:rPr>
                    <w:t>》</w:t>
                  </w:r>
                  <w:r>
                    <w:rPr>
                      <w:szCs w:val="21"/>
                    </w:rPr>
                    <w:t>合理规划布局建设蓝田和周至两县级殡仪馆</w:t>
                  </w:r>
                  <w:r>
                    <w:rPr>
                      <w:rFonts w:hint="eastAsia"/>
                      <w:szCs w:val="21"/>
                    </w:rPr>
                    <w:t>，</w:t>
                  </w:r>
                  <w:r>
                    <w:rPr>
                      <w:szCs w:val="21"/>
                    </w:rPr>
                    <w:t>依据</w:t>
                  </w:r>
                  <w:r>
                    <w:rPr>
                      <w:szCs w:val="21"/>
                      <w:shd w:val="clear" w:color="auto" w:fill="FFFFFF"/>
                    </w:rPr>
                    <w:t>《</w:t>
                  </w:r>
                  <w:r>
                    <w:rPr>
                      <w:rFonts w:hint="eastAsia"/>
                      <w:szCs w:val="21"/>
                      <w:shd w:val="clear" w:color="auto" w:fill="FFFFFF"/>
                    </w:rPr>
                    <w:t>西安市殡葬</w:t>
                  </w:r>
                  <w:r>
                    <w:rPr>
                      <w:szCs w:val="21"/>
                      <w:shd w:val="clear" w:color="auto" w:fill="FFFFFF"/>
                    </w:rPr>
                    <w:t>管理</w:t>
                  </w:r>
                  <w:r>
                    <w:rPr>
                      <w:rFonts w:hint="eastAsia"/>
                      <w:szCs w:val="21"/>
                      <w:shd w:val="clear" w:color="auto" w:fill="FFFFFF"/>
                    </w:rPr>
                    <w:t>实施</w:t>
                  </w:r>
                  <w:r>
                    <w:rPr>
                      <w:szCs w:val="21"/>
                      <w:shd w:val="clear" w:color="auto" w:fill="FFFFFF"/>
                    </w:rPr>
                    <w:t>办法》</w:t>
                  </w:r>
                  <w:r>
                    <w:rPr>
                      <w:rFonts w:hint="eastAsia"/>
                      <w:szCs w:val="21"/>
                      <w:shd w:val="clear" w:color="auto" w:fill="FFFFFF"/>
                    </w:rPr>
                    <w:t>蓝田县</w:t>
                  </w:r>
                  <w:r>
                    <w:rPr>
                      <w:szCs w:val="21"/>
                      <w:shd w:val="clear" w:color="auto" w:fill="FFFFFF"/>
                    </w:rPr>
                    <w:t>、周至县火葬区由县人民政府根据本项具体情况划定，</w:t>
                  </w:r>
                  <w:r>
                    <w:rPr>
                      <w:rFonts w:hint="eastAsia"/>
                      <w:szCs w:val="21"/>
                      <w:shd w:val="clear" w:color="auto" w:fill="FFFFFF"/>
                    </w:rPr>
                    <w:t>本项目</w:t>
                  </w:r>
                  <w:r>
                    <w:rPr>
                      <w:szCs w:val="21"/>
                      <w:shd w:val="clear" w:color="auto" w:fill="FFFFFF"/>
                    </w:rPr>
                    <w:t>为周至县火葬区域</w:t>
                  </w:r>
                  <w:r>
                    <w:rPr>
                      <w:rFonts w:hint="eastAsia"/>
                      <w:szCs w:val="21"/>
                      <w:shd w:val="clear" w:color="auto" w:fill="FFFFFF"/>
                    </w:rPr>
                    <w:t>提供火葬、</w:t>
                  </w:r>
                  <w:r>
                    <w:rPr>
                      <w:szCs w:val="21"/>
                      <w:shd w:val="clear" w:color="auto" w:fill="FFFFFF"/>
                    </w:rPr>
                    <w:t>骨灰寄存、祭祀等活动。</w:t>
                  </w:r>
                  <w:r>
                    <w:rPr>
                      <w:rFonts w:hint="eastAsia"/>
                      <w:szCs w:val="21"/>
                      <w:shd w:val="clear" w:color="auto" w:fill="FFFFFF"/>
                    </w:rPr>
                    <w:t>依据</w:t>
                  </w:r>
                  <w:r>
                    <w:rPr>
                      <w:szCs w:val="21"/>
                      <w:shd w:val="clear" w:color="auto" w:fill="FFFFFF"/>
                    </w:rPr>
                    <w:t>周至县自然资源和规划局“关于周至县殡仪馆项目用地情况的回复”（见附件7），周至县殡仪馆项目列入周至县国土空间规划“三区三线”划定方案的城镇开发边界内，</w:t>
                  </w:r>
                  <w:r>
                    <w:rPr>
                      <w:szCs w:val="21"/>
                    </w:rPr>
                    <w:t>符合周至县国土空间规划</w:t>
                  </w:r>
                  <w:r>
                    <w:rPr>
                      <w:rFonts w:hint="eastAsia"/>
                      <w:szCs w:val="21"/>
                    </w:rPr>
                    <w:t>。</w:t>
                  </w:r>
                </w:p>
              </w:tc>
              <w:tc>
                <w:tcPr>
                  <w:tcW w:w="417" w:type="pct"/>
                  <w:vMerge w:val="restart"/>
                  <w:vAlign w:val="center"/>
                </w:tcPr>
                <w:p>
                  <w:pPr>
                    <w:widowControl/>
                    <w:wordWrap w:val="0"/>
                    <w:topLinePunct/>
                    <w:adjustRightInd w:val="0"/>
                    <w:snapToGrid w:val="0"/>
                    <w:ind w:left="-105" w:leftChars="-50" w:right="-105" w:rightChars="-5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wordWrap w:val="0"/>
                    <w:topLinePunct/>
                    <w:adjustRightInd w:val="0"/>
                    <w:snapToGrid w:val="0"/>
                    <w:ind w:left="-105" w:leftChars="-50" w:right="-105" w:rightChars="-50"/>
                    <w:jc w:val="center"/>
                    <w:rPr>
                      <w:szCs w:val="21"/>
                    </w:rPr>
                  </w:pPr>
                </w:p>
              </w:tc>
              <w:tc>
                <w:tcPr>
                  <w:tcW w:w="2025" w:type="pct"/>
                  <w:vAlign w:val="center"/>
                </w:tcPr>
                <w:p>
                  <w:pPr>
                    <w:wordWrap w:val="0"/>
                    <w:topLinePunct/>
                    <w:adjustRightInd w:val="0"/>
                    <w:snapToGrid w:val="0"/>
                    <w:ind w:left="-105" w:leftChars="-50" w:right="-105" w:rightChars="-50"/>
                    <w:jc w:val="center"/>
                    <w:rPr>
                      <w:szCs w:val="21"/>
                    </w:rPr>
                  </w:pPr>
                  <w:r>
                    <w:rPr>
                      <w:rFonts w:hint="eastAsia"/>
                      <w:szCs w:val="21"/>
                    </w:rPr>
                    <w:t>在实行火葬的地区，国家提倡以骨灰寄存的方式以及其他不占或者少占土地的方式处理骨灰。县级人民政府和设区的市、自治州人民政府应当制定实行火葬的具体规划，将新建和改造殡仪馆、火葬场、骨灰堂纳入城乡建设规划和基本建设计划。在允许土葬的地区，县级人民政府和设区的市、自治州人民政府应当将公墓建设纳入城乡建设规划</w:t>
                  </w:r>
                </w:p>
              </w:tc>
              <w:tc>
                <w:tcPr>
                  <w:tcW w:w="1624" w:type="pct"/>
                  <w:vMerge w:val="continue"/>
                  <w:vAlign w:val="center"/>
                </w:tcPr>
                <w:p>
                  <w:pPr>
                    <w:wordWrap w:val="0"/>
                    <w:topLinePunct/>
                    <w:adjustRightInd w:val="0"/>
                    <w:snapToGrid w:val="0"/>
                    <w:ind w:left="-105" w:leftChars="-50" w:right="-105" w:rightChars="-50"/>
                    <w:jc w:val="center"/>
                    <w:rPr>
                      <w:szCs w:val="21"/>
                      <w:shd w:val="clear" w:color="auto" w:fill="FFFFFF"/>
                    </w:rPr>
                  </w:pPr>
                </w:p>
              </w:tc>
              <w:tc>
                <w:tcPr>
                  <w:tcW w:w="417" w:type="pct"/>
                  <w:vMerge w:val="continue"/>
                  <w:vAlign w:val="center"/>
                </w:tcPr>
                <w:p>
                  <w:pPr>
                    <w:widowControl/>
                    <w:wordWrap w:val="0"/>
                    <w:topLinePunct/>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wordWrap w:val="0"/>
                    <w:topLinePunct/>
                    <w:adjustRightInd w:val="0"/>
                    <w:snapToGrid w:val="0"/>
                    <w:ind w:left="-105" w:leftChars="-50" w:right="-105" w:rightChars="-50"/>
                    <w:jc w:val="center"/>
                    <w:rPr>
                      <w:szCs w:val="21"/>
                    </w:rPr>
                  </w:pPr>
                </w:p>
              </w:tc>
              <w:tc>
                <w:tcPr>
                  <w:tcW w:w="2025" w:type="pct"/>
                  <w:vAlign w:val="center"/>
                </w:tcPr>
                <w:p>
                  <w:pPr>
                    <w:wordWrap w:val="0"/>
                    <w:topLinePunct/>
                    <w:adjustRightInd w:val="0"/>
                    <w:snapToGrid w:val="0"/>
                    <w:ind w:left="-105" w:leftChars="-50" w:right="-105" w:rightChars="-50"/>
                    <w:jc w:val="center"/>
                    <w:rPr>
                      <w:szCs w:val="21"/>
                    </w:rPr>
                  </w:pPr>
                  <w:r>
                    <w:rPr>
                      <w:rFonts w:hint="eastAsia"/>
                      <w:szCs w:val="21"/>
                    </w:rPr>
                    <w:t>省、自治区、直辖市人民政府民政部门应当根据本行政区域的殡葬工作规划和殡葬需要，提出殡仪馆、火葬场、骨灰堂、公墓、殡仪服务站等殡葬设施的数量、布局规划，报本级人民政府审批。</w:t>
                  </w:r>
                </w:p>
              </w:tc>
              <w:tc>
                <w:tcPr>
                  <w:tcW w:w="1624" w:type="pct"/>
                  <w:vAlign w:val="center"/>
                </w:tcPr>
                <w:p>
                  <w:pPr>
                    <w:wordWrap w:val="0"/>
                    <w:topLinePunct/>
                    <w:adjustRightInd w:val="0"/>
                    <w:snapToGrid w:val="0"/>
                    <w:ind w:left="-105" w:leftChars="-50" w:right="-105" w:rightChars="-50"/>
                    <w:jc w:val="center"/>
                    <w:rPr>
                      <w:szCs w:val="21"/>
                      <w:shd w:val="clear" w:color="auto" w:fill="FFFFFF"/>
                    </w:rPr>
                  </w:pPr>
                  <w:r>
                    <w:rPr>
                      <w:rFonts w:hint="eastAsia"/>
                      <w:szCs w:val="21"/>
                      <w:shd w:val="clear" w:color="auto" w:fill="FFFFFF"/>
                    </w:rPr>
                    <w:t>依据西安市</w:t>
                  </w:r>
                  <w:r>
                    <w:rPr>
                      <w:szCs w:val="21"/>
                      <w:shd w:val="clear" w:color="auto" w:fill="FFFFFF"/>
                    </w:rPr>
                    <w:t>民政局《</w:t>
                  </w:r>
                  <w:r>
                    <w:rPr>
                      <w:rFonts w:hint="eastAsia"/>
                      <w:szCs w:val="21"/>
                      <w:shd w:val="clear" w:color="auto" w:fill="FFFFFF"/>
                    </w:rPr>
                    <w:t>关于</w:t>
                  </w:r>
                  <w:r>
                    <w:rPr>
                      <w:szCs w:val="21"/>
                      <w:shd w:val="clear" w:color="auto" w:fill="FFFFFF"/>
                    </w:rPr>
                    <w:t>持续深化殡葬改革</w:t>
                  </w:r>
                  <w:r>
                    <w:rPr>
                      <w:rFonts w:hint="eastAsia"/>
                      <w:szCs w:val="21"/>
                      <w:shd w:val="clear" w:color="auto" w:fill="FFFFFF"/>
                    </w:rPr>
                    <w:t>全面</w:t>
                  </w:r>
                  <w:r>
                    <w:rPr>
                      <w:szCs w:val="21"/>
                      <w:shd w:val="clear" w:color="auto" w:fill="FFFFFF"/>
                    </w:rPr>
                    <w:t>加强规范殡葬机构运营和服务管理的通知》</w:t>
                  </w:r>
                  <w:r>
                    <w:rPr>
                      <w:rFonts w:hint="eastAsia"/>
                      <w:szCs w:val="21"/>
                      <w:shd w:val="clear" w:color="auto" w:fill="FFFFFF"/>
                    </w:rPr>
                    <w:t>，周至县</w:t>
                  </w:r>
                  <w:r>
                    <w:rPr>
                      <w:szCs w:val="21"/>
                      <w:shd w:val="clear" w:color="auto" w:fill="FFFFFF"/>
                    </w:rPr>
                    <w:t>民政局要重点督促周至殡仪馆加快项目建设，全力保障项目扎实落地，填补西安市西南方向无殡仪馆设施的空白，</w:t>
                  </w:r>
                  <w:r>
                    <w:rPr>
                      <w:rFonts w:hint="eastAsia"/>
                      <w:szCs w:val="21"/>
                      <w:shd w:val="clear" w:color="auto" w:fill="FFFFFF"/>
                    </w:rPr>
                    <w:t>合理</w:t>
                  </w:r>
                  <w:r>
                    <w:rPr>
                      <w:szCs w:val="21"/>
                      <w:shd w:val="clear" w:color="auto" w:fill="FFFFFF"/>
                    </w:rPr>
                    <w:t>西安市殡葬服务设施布局</w:t>
                  </w:r>
                  <w:r>
                    <w:rPr>
                      <w:rFonts w:hint="eastAsia"/>
                      <w:szCs w:val="21"/>
                      <w:shd w:val="clear" w:color="auto" w:fill="FFFFFF"/>
                    </w:rPr>
                    <w:t>。</w:t>
                  </w:r>
                </w:p>
              </w:tc>
              <w:tc>
                <w:tcPr>
                  <w:tcW w:w="417" w:type="pct"/>
                  <w:vMerge w:val="continue"/>
                  <w:vAlign w:val="center"/>
                </w:tcPr>
                <w:p>
                  <w:pPr>
                    <w:widowControl/>
                    <w:wordWrap w:val="0"/>
                    <w:topLinePunct/>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wordWrap w:val="0"/>
                    <w:topLinePunct/>
                    <w:adjustRightInd w:val="0"/>
                    <w:snapToGrid w:val="0"/>
                    <w:ind w:left="-105" w:leftChars="-50" w:right="-105" w:rightChars="-50"/>
                    <w:jc w:val="center"/>
                    <w:rPr>
                      <w:szCs w:val="21"/>
                    </w:rPr>
                  </w:pPr>
                </w:p>
              </w:tc>
              <w:tc>
                <w:tcPr>
                  <w:tcW w:w="2025" w:type="pct"/>
                  <w:vAlign w:val="center"/>
                </w:tcPr>
                <w:p>
                  <w:pPr>
                    <w:wordWrap w:val="0"/>
                    <w:topLinePunct/>
                    <w:adjustRightInd w:val="0"/>
                    <w:snapToGrid w:val="0"/>
                    <w:ind w:left="-105" w:leftChars="-50" w:right="-105" w:rightChars="-50"/>
                    <w:jc w:val="center"/>
                    <w:rPr>
                      <w:szCs w:val="21"/>
                    </w:rPr>
                  </w:pPr>
                  <w:r>
                    <w:rPr>
                      <w:szCs w:val="21"/>
                    </w:rPr>
                    <w:t>殡葬服务单位应当加强对殡葬服务设施的管理，更新、改造陈旧的火化设备，防止污染环境。</w:t>
                  </w:r>
                </w:p>
              </w:tc>
              <w:tc>
                <w:tcPr>
                  <w:tcW w:w="1624" w:type="pct"/>
                  <w:vAlign w:val="center"/>
                </w:tcPr>
                <w:p>
                  <w:pPr>
                    <w:wordWrap w:val="0"/>
                    <w:topLinePunct/>
                    <w:adjustRightInd w:val="0"/>
                    <w:snapToGrid w:val="0"/>
                    <w:ind w:left="-105" w:leftChars="-50" w:right="-105" w:rightChars="-50"/>
                    <w:jc w:val="center"/>
                    <w:rPr>
                      <w:szCs w:val="21"/>
                    </w:rPr>
                  </w:pPr>
                  <w:r>
                    <w:rPr>
                      <w:szCs w:val="21"/>
                    </w:rPr>
                    <w:t>本项目选用的火化设备为最新设备，属于环保型火化炉，对环境污染较小。</w:t>
                  </w:r>
                </w:p>
              </w:tc>
              <w:tc>
                <w:tcPr>
                  <w:tcW w:w="417" w:type="pct"/>
                  <w:vMerge w:val="continue"/>
                  <w:vAlign w:val="center"/>
                </w:tcPr>
                <w:p>
                  <w:pPr>
                    <w:widowControl/>
                    <w:wordWrap w:val="0"/>
                    <w:topLinePunct/>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wordWrap w:val="0"/>
                    <w:topLinePunct/>
                    <w:adjustRightInd w:val="0"/>
                    <w:snapToGrid w:val="0"/>
                    <w:ind w:left="-105" w:leftChars="-50" w:right="-105" w:rightChars="-50"/>
                    <w:jc w:val="center"/>
                    <w:rPr>
                      <w:szCs w:val="21"/>
                    </w:rPr>
                  </w:pPr>
                </w:p>
              </w:tc>
              <w:tc>
                <w:tcPr>
                  <w:tcW w:w="2025" w:type="pct"/>
                  <w:vAlign w:val="center"/>
                </w:tcPr>
                <w:p>
                  <w:pPr>
                    <w:wordWrap w:val="0"/>
                    <w:topLinePunct/>
                    <w:adjustRightInd w:val="0"/>
                    <w:snapToGrid w:val="0"/>
                    <w:ind w:left="-105" w:leftChars="-50" w:right="-105" w:rightChars="-50"/>
                    <w:jc w:val="center"/>
                    <w:rPr>
                      <w:szCs w:val="21"/>
                    </w:rPr>
                  </w:pPr>
                  <w:r>
                    <w:rPr>
                      <w:szCs w:val="21"/>
                    </w:rPr>
                    <w:t>火化机、运尸车、尸体冷藏柜等殡葬设备，必须符合国家规定的技术标准。</w:t>
                  </w:r>
                </w:p>
              </w:tc>
              <w:tc>
                <w:tcPr>
                  <w:tcW w:w="1624" w:type="pct"/>
                  <w:vAlign w:val="center"/>
                </w:tcPr>
                <w:p>
                  <w:pPr>
                    <w:wordWrap w:val="0"/>
                    <w:topLinePunct/>
                    <w:adjustRightInd w:val="0"/>
                    <w:snapToGrid w:val="0"/>
                    <w:ind w:left="-105" w:leftChars="-50" w:right="-105" w:rightChars="-50"/>
                    <w:jc w:val="center"/>
                    <w:rPr>
                      <w:szCs w:val="21"/>
                      <w:shd w:val="clear" w:color="auto" w:fill="FFFFFF"/>
                    </w:rPr>
                  </w:pPr>
                  <w:r>
                    <w:rPr>
                      <w:szCs w:val="21"/>
                    </w:rPr>
                    <w:t>本项目选用国家规定的火化炉、运尸车、尸体冷藏柜等殡葬设备。</w:t>
                  </w:r>
                </w:p>
              </w:tc>
              <w:tc>
                <w:tcPr>
                  <w:tcW w:w="417" w:type="pct"/>
                  <w:vMerge w:val="continue"/>
                  <w:vAlign w:val="center"/>
                </w:tcPr>
                <w:p>
                  <w:pPr>
                    <w:widowControl/>
                    <w:wordWrap w:val="0"/>
                    <w:topLinePunct/>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bottom w:val="single" w:color="auto" w:sz="4" w:space="0"/>
                  </w:tcBorders>
                  <w:vAlign w:val="center"/>
                </w:tcPr>
                <w:p>
                  <w:pPr>
                    <w:wordWrap w:val="0"/>
                    <w:topLinePunct/>
                    <w:adjustRightInd w:val="0"/>
                    <w:snapToGrid w:val="0"/>
                    <w:ind w:left="-105" w:leftChars="-50" w:right="-105" w:rightChars="-50"/>
                    <w:jc w:val="center"/>
                    <w:rPr>
                      <w:szCs w:val="21"/>
                    </w:rPr>
                  </w:pPr>
                  <w:r>
                    <w:rPr>
                      <w:rFonts w:hint="eastAsia"/>
                      <w:szCs w:val="21"/>
                    </w:rPr>
                    <w:t>《</w:t>
                  </w:r>
                  <w:r>
                    <w:rPr>
                      <w:szCs w:val="21"/>
                    </w:rPr>
                    <w:t>殡仪馆建设标准</w:t>
                  </w:r>
                  <w:r>
                    <w:rPr>
                      <w:rFonts w:hint="eastAsia"/>
                      <w:szCs w:val="21"/>
                    </w:rPr>
                    <w:t>》</w:t>
                  </w:r>
                </w:p>
              </w:tc>
              <w:tc>
                <w:tcPr>
                  <w:tcW w:w="2025" w:type="pct"/>
                  <w:tcBorders>
                    <w:bottom w:val="single" w:color="auto" w:sz="4" w:space="0"/>
                  </w:tcBorders>
                  <w:vAlign w:val="center"/>
                </w:tcPr>
                <w:p>
                  <w:pPr>
                    <w:wordWrap w:val="0"/>
                    <w:topLinePunct/>
                    <w:adjustRightInd w:val="0"/>
                    <w:snapToGrid w:val="0"/>
                    <w:ind w:left="-105" w:leftChars="-50" w:right="-105" w:rightChars="-50"/>
                    <w:jc w:val="center"/>
                    <w:rPr>
                      <w:szCs w:val="21"/>
                    </w:rPr>
                  </w:pPr>
                  <w:r>
                    <w:rPr>
                      <w:rFonts w:hint="eastAsia"/>
                      <w:szCs w:val="21"/>
                    </w:rPr>
                    <w:t>殡仪馆</w:t>
                  </w:r>
                  <w:r>
                    <w:rPr>
                      <w:szCs w:val="21"/>
                    </w:rPr>
                    <w:t>的选址应满足下列条件：一、符合用地分类原则和规划管理、殡葬管理条例以及国家现行有关标准的规定</w:t>
                  </w:r>
                  <w:r>
                    <w:rPr>
                      <w:rFonts w:hint="eastAsia"/>
                      <w:szCs w:val="21"/>
                    </w:rPr>
                    <w:t>。</w:t>
                  </w:r>
                  <w:r>
                    <w:rPr>
                      <w:szCs w:val="21"/>
                    </w:rPr>
                    <w:t>二</w:t>
                  </w:r>
                  <w:r>
                    <w:rPr>
                      <w:rFonts w:hint="eastAsia"/>
                      <w:szCs w:val="21"/>
                    </w:rPr>
                    <w:t>、</w:t>
                  </w:r>
                  <w:r>
                    <w:rPr>
                      <w:szCs w:val="21"/>
                    </w:rPr>
                    <w:t>具备满足工程建设的工程地质条件和水文地质条件。三</w:t>
                  </w:r>
                  <w:r>
                    <w:rPr>
                      <w:rFonts w:hint="eastAsia"/>
                      <w:szCs w:val="21"/>
                    </w:rPr>
                    <w:t>、</w:t>
                  </w:r>
                  <w:r>
                    <w:rPr>
                      <w:szCs w:val="21"/>
                    </w:rPr>
                    <w:t>殡仪馆宜建在当地主导风向的下风侧，并应有利于排水和空气扩散</w:t>
                  </w:r>
                  <w:r>
                    <w:rPr>
                      <w:rFonts w:hint="eastAsia"/>
                      <w:szCs w:val="21"/>
                    </w:rPr>
                    <w:t>。</w:t>
                  </w:r>
                  <w:r>
                    <w:rPr>
                      <w:szCs w:val="21"/>
                    </w:rPr>
                    <w:t>四</w:t>
                  </w:r>
                  <w:r>
                    <w:rPr>
                      <w:rFonts w:hint="eastAsia"/>
                      <w:szCs w:val="21"/>
                    </w:rPr>
                    <w:t>、</w:t>
                  </w:r>
                  <w:r>
                    <w:rPr>
                      <w:szCs w:val="21"/>
                    </w:rPr>
                    <w:t>交通、给排水、供电有保障。</w:t>
                  </w:r>
                  <w:r>
                    <w:rPr>
                      <w:rFonts w:hint="eastAsia"/>
                      <w:szCs w:val="21"/>
                    </w:rPr>
                    <w:t>五、</w:t>
                  </w:r>
                  <w:r>
                    <w:rPr>
                      <w:szCs w:val="21"/>
                    </w:rPr>
                    <w:t>考虑到殡葬工资的特殊性，尽量</w:t>
                  </w:r>
                  <w:r>
                    <w:rPr>
                      <w:rFonts w:hint="eastAsia"/>
                      <w:szCs w:val="21"/>
                    </w:rPr>
                    <w:t>选择</w:t>
                  </w:r>
                  <w:r>
                    <w:rPr>
                      <w:szCs w:val="21"/>
                    </w:rPr>
                    <w:t>周边单位和居民较少、相对独立、交通</w:t>
                  </w:r>
                  <w:r>
                    <w:rPr>
                      <w:rFonts w:hint="eastAsia"/>
                      <w:szCs w:val="21"/>
                    </w:rPr>
                    <w:t>便利</w:t>
                  </w:r>
                  <w:r>
                    <w:rPr>
                      <w:szCs w:val="21"/>
                    </w:rPr>
                    <w:t>的地域，并处理好与周边单位及居民的关系，符合现行国家标准《</w:t>
                  </w:r>
                  <w:r>
                    <w:rPr>
                      <w:rFonts w:hint="eastAsia"/>
                      <w:szCs w:val="21"/>
                    </w:rPr>
                    <w:t>火葬场</w:t>
                  </w:r>
                  <w:r>
                    <w:rPr>
                      <w:szCs w:val="21"/>
                    </w:rPr>
                    <w:t>卫生防护距离标准》</w:t>
                  </w:r>
                  <w:r>
                    <w:rPr>
                      <w:rFonts w:hint="eastAsia"/>
                      <w:szCs w:val="21"/>
                    </w:rPr>
                    <w:t>GB18081的</w:t>
                  </w:r>
                  <w:r>
                    <w:rPr>
                      <w:szCs w:val="21"/>
                    </w:rPr>
                    <w:t>规定。</w:t>
                  </w:r>
                </w:p>
              </w:tc>
              <w:tc>
                <w:tcPr>
                  <w:tcW w:w="1624" w:type="pct"/>
                  <w:tcBorders>
                    <w:bottom w:val="single" w:color="auto" w:sz="4" w:space="0"/>
                  </w:tcBorders>
                  <w:vAlign w:val="center"/>
                </w:tcPr>
                <w:p>
                  <w:pPr>
                    <w:wordWrap w:val="0"/>
                    <w:topLinePunct/>
                    <w:adjustRightInd w:val="0"/>
                    <w:snapToGrid w:val="0"/>
                    <w:ind w:left="-105" w:leftChars="-50" w:right="-105" w:rightChars="-50"/>
                    <w:jc w:val="center"/>
                    <w:rPr>
                      <w:szCs w:val="21"/>
                      <w:shd w:val="clear" w:color="auto" w:fill="FFFFFF"/>
                    </w:rPr>
                  </w:pPr>
                  <w:r>
                    <w:rPr>
                      <w:rFonts w:hint="eastAsia"/>
                      <w:szCs w:val="21"/>
                      <w:shd w:val="clear" w:color="auto" w:fill="FFFFFF"/>
                    </w:rPr>
                    <w:t>依据</w:t>
                  </w:r>
                  <w:r>
                    <w:rPr>
                      <w:szCs w:val="21"/>
                    </w:rPr>
                    <w:t>周至县自然资源和规划局“关于周至县殡仪馆项目用地情况的回复”（见附件7）</w:t>
                  </w:r>
                  <w:r>
                    <w:rPr>
                      <w:rFonts w:hint="eastAsia"/>
                      <w:szCs w:val="21"/>
                    </w:rPr>
                    <w:t>，</w:t>
                  </w:r>
                  <w:r>
                    <w:rPr>
                      <w:szCs w:val="21"/>
                    </w:rPr>
                    <w:t>本项目符合周至县国土空间规划</w:t>
                  </w:r>
                  <w:r>
                    <w:rPr>
                      <w:rFonts w:hint="eastAsia"/>
                      <w:szCs w:val="21"/>
                    </w:rPr>
                    <w:t>；本项目</w:t>
                  </w:r>
                  <w:r>
                    <w:rPr>
                      <w:szCs w:val="21"/>
                    </w:rPr>
                    <w:t>初步设计已通过评审；</w:t>
                  </w:r>
                  <w:r>
                    <w:rPr>
                      <w:rFonts w:hint="eastAsia"/>
                      <w:szCs w:val="21"/>
                    </w:rPr>
                    <w:t>本项目</w:t>
                  </w:r>
                  <w:r>
                    <w:rPr>
                      <w:szCs w:val="21"/>
                    </w:rPr>
                    <w:t>位于周至县</w:t>
                  </w:r>
                  <w:r>
                    <w:rPr>
                      <w:rFonts w:hint="eastAsia"/>
                      <w:szCs w:val="21"/>
                    </w:rPr>
                    <w:t>县城的</w:t>
                  </w:r>
                  <w:r>
                    <w:rPr>
                      <w:szCs w:val="21"/>
                    </w:rPr>
                    <w:t>侧</w:t>
                  </w:r>
                  <w:r>
                    <w:rPr>
                      <w:rFonts w:hint="eastAsia"/>
                      <w:szCs w:val="21"/>
                    </w:rPr>
                    <w:t>风向</w:t>
                  </w:r>
                  <w:r>
                    <w:rPr>
                      <w:szCs w:val="21"/>
                    </w:rPr>
                    <w:t>，</w:t>
                  </w:r>
                  <w:r>
                    <w:rPr>
                      <w:rFonts w:hint="eastAsia"/>
                      <w:szCs w:val="21"/>
                    </w:rPr>
                    <w:t>对</w:t>
                  </w:r>
                  <w:r>
                    <w:rPr>
                      <w:szCs w:val="21"/>
                    </w:rPr>
                    <w:t>周至县影响较小</w:t>
                  </w:r>
                  <w:r>
                    <w:rPr>
                      <w:rFonts w:hint="eastAsia"/>
                      <w:szCs w:val="21"/>
                    </w:rPr>
                    <w:t>，项目</w:t>
                  </w:r>
                  <w:r>
                    <w:rPr>
                      <w:szCs w:val="21"/>
                    </w:rPr>
                    <w:t>周边</w:t>
                  </w:r>
                  <w:r>
                    <w:rPr>
                      <w:rFonts w:hint="eastAsia"/>
                      <w:szCs w:val="21"/>
                    </w:rPr>
                    <w:t>较为</w:t>
                  </w:r>
                  <w:r>
                    <w:rPr>
                      <w:szCs w:val="21"/>
                    </w:rPr>
                    <w:t>开阔</w:t>
                  </w:r>
                  <w:r>
                    <w:rPr>
                      <w:rFonts w:hint="eastAsia"/>
                      <w:szCs w:val="21"/>
                    </w:rPr>
                    <w:t>，有利于</w:t>
                  </w:r>
                  <w:r>
                    <w:rPr>
                      <w:szCs w:val="21"/>
                    </w:rPr>
                    <w:t>空气扩散，</w:t>
                  </w:r>
                  <w:r>
                    <w:rPr>
                      <w:rFonts w:hint="eastAsia"/>
                      <w:szCs w:val="21"/>
                    </w:rPr>
                    <w:t>距</w:t>
                  </w:r>
                  <w:r>
                    <w:rPr>
                      <w:szCs w:val="21"/>
                    </w:rPr>
                    <w:t>周至县污水厂约</w:t>
                  </w:r>
                  <w:r>
                    <w:rPr>
                      <w:rFonts w:hint="eastAsia"/>
                      <w:szCs w:val="21"/>
                    </w:rPr>
                    <w:t>3km，</w:t>
                  </w:r>
                  <w:r>
                    <w:rPr>
                      <w:szCs w:val="21"/>
                    </w:rPr>
                    <w:t>废水</w:t>
                  </w:r>
                  <w:r>
                    <w:rPr>
                      <w:rFonts w:hint="eastAsia"/>
                      <w:szCs w:val="21"/>
                    </w:rPr>
                    <w:t>预处理</w:t>
                  </w:r>
                  <w:r>
                    <w:rPr>
                      <w:szCs w:val="21"/>
                    </w:rPr>
                    <w:t>后拉运至周至县污水厂</w:t>
                  </w:r>
                  <w:r>
                    <w:rPr>
                      <w:rFonts w:hint="eastAsia"/>
                      <w:szCs w:val="21"/>
                    </w:rPr>
                    <w:t>进一步</w:t>
                  </w:r>
                  <w:r>
                    <w:rPr>
                      <w:szCs w:val="21"/>
                    </w:rPr>
                    <w:t>处理；</w:t>
                  </w:r>
                  <w:r>
                    <w:rPr>
                      <w:rFonts w:hint="eastAsia"/>
                      <w:szCs w:val="21"/>
                    </w:rPr>
                    <w:t>项目</w:t>
                  </w:r>
                  <w:r>
                    <w:rPr>
                      <w:szCs w:val="21"/>
                    </w:rPr>
                    <w:t>周边居民</w:t>
                  </w:r>
                  <w:r>
                    <w:rPr>
                      <w:rFonts w:hint="eastAsia"/>
                      <w:szCs w:val="21"/>
                    </w:rPr>
                    <w:t>、</w:t>
                  </w:r>
                  <w:r>
                    <w:rPr>
                      <w:szCs w:val="21"/>
                    </w:rPr>
                    <w:t>单位较少</w:t>
                  </w:r>
                  <w:r>
                    <w:rPr>
                      <w:rFonts w:hint="eastAsia"/>
                      <w:szCs w:val="21"/>
                    </w:rPr>
                    <w:t>，</w:t>
                  </w:r>
                  <w:r>
                    <w:rPr>
                      <w:szCs w:val="21"/>
                    </w:rPr>
                    <w:t>区域交通便利，《</w:t>
                  </w:r>
                  <w:r>
                    <w:rPr>
                      <w:rFonts w:hint="eastAsia"/>
                      <w:szCs w:val="21"/>
                    </w:rPr>
                    <w:t>火葬场</w:t>
                  </w:r>
                  <w:r>
                    <w:rPr>
                      <w:szCs w:val="21"/>
                    </w:rPr>
                    <w:t>卫生防护距离标准》</w:t>
                  </w:r>
                  <w:r>
                    <w:rPr>
                      <w:rFonts w:hint="eastAsia"/>
                      <w:szCs w:val="21"/>
                    </w:rPr>
                    <w:t>GB18081已</w:t>
                  </w:r>
                  <w:r>
                    <w:rPr>
                      <w:szCs w:val="21"/>
                    </w:rPr>
                    <w:t>被</w:t>
                  </w:r>
                  <w:r>
                    <w:rPr>
                      <w:rFonts w:hint="eastAsia"/>
                      <w:szCs w:val="21"/>
                    </w:rPr>
                    <w:t>《大气</w:t>
                  </w:r>
                  <w:r>
                    <w:rPr>
                      <w:szCs w:val="21"/>
                    </w:rPr>
                    <w:t>有害物质无组织排放卫生防护距离推导技术导则</w:t>
                  </w:r>
                  <w:r>
                    <w:rPr>
                      <w:rFonts w:hint="eastAsia"/>
                      <w:szCs w:val="21"/>
                    </w:rPr>
                    <w:t>》（GB/T39499-2020）替代，</w:t>
                  </w:r>
                  <w:r>
                    <w:rPr>
                      <w:szCs w:val="21"/>
                    </w:rPr>
                    <w:t>本项目火化炉、遗物焚烧炉、祭祀炉均为有组织排放，不涉及无组织排放。</w:t>
                  </w:r>
                </w:p>
              </w:tc>
              <w:tc>
                <w:tcPr>
                  <w:tcW w:w="417" w:type="pct"/>
                  <w:vMerge w:val="restart"/>
                  <w:vAlign w:val="center"/>
                </w:tcPr>
                <w:p>
                  <w:pPr>
                    <w:widowControl/>
                    <w:wordWrap w:val="0"/>
                    <w:topLinePunct/>
                    <w:adjustRightInd w:val="0"/>
                    <w:snapToGrid w:val="0"/>
                    <w:ind w:left="-105" w:leftChars="-50" w:right="-105" w:rightChars="-5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wordWrap w:val="0"/>
                    <w:topLinePunct/>
                    <w:adjustRightInd w:val="0"/>
                    <w:snapToGrid w:val="0"/>
                    <w:ind w:left="-105" w:leftChars="-50" w:right="-105" w:rightChars="-50"/>
                    <w:jc w:val="center"/>
                    <w:rPr>
                      <w:szCs w:val="21"/>
                    </w:rPr>
                  </w:pPr>
                </w:p>
              </w:tc>
              <w:tc>
                <w:tcPr>
                  <w:tcW w:w="2025" w:type="pct"/>
                  <w:vAlign w:val="center"/>
                </w:tcPr>
                <w:p>
                  <w:pPr>
                    <w:wordWrap w:val="0"/>
                    <w:topLinePunct/>
                    <w:adjustRightInd w:val="0"/>
                    <w:snapToGrid w:val="0"/>
                    <w:ind w:left="-105" w:leftChars="-50" w:right="-105" w:rightChars="-50"/>
                    <w:jc w:val="center"/>
                    <w:rPr>
                      <w:szCs w:val="21"/>
                    </w:rPr>
                  </w:pPr>
                  <w:r>
                    <w:rPr>
                      <w:rFonts w:hint="eastAsia"/>
                      <w:szCs w:val="21"/>
                    </w:rPr>
                    <w:t>殡仪馆</w:t>
                  </w:r>
                  <w:r>
                    <w:rPr>
                      <w:szCs w:val="21"/>
                    </w:rPr>
                    <w:t>的规划布局与总平面图布置应满足下列要求：一、</w:t>
                  </w:r>
                  <w:r>
                    <w:rPr>
                      <w:rFonts w:hint="eastAsia"/>
                      <w:szCs w:val="21"/>
                    </w:rPr>
                    <w:t>布局</w:t>
                  </w:r>
                  <w:r>
                    <w:rPr>
                      <w:szCs w:val="21"/>
                    </w:rPr>
                    <w:t>合理，节约用地。二</w:t>
                  </w:r>
                  <w:r>
                    <w:rPr>
                      <w:rFonts w:hint="eastAsia"/>
                      <w:szCs w:val="21"/>
                    </w:rPr>
                    <w:t>、</w:t>
                  </w:r>
                  <w:r>
                    <w:rPr>
                      <w:szCs w:val="21"/>
                    </w:rPr>
                    <w:t>殡仪馆建筑布局应根据殡仪服务流程科学设计、功能分区明确，</w:t>
                  </w:r>
                  <w:r>
                    <w:rPr>
                      <w:rFonts w:hint="eastAsia"/>
                      <w:szCs w:val="21"/>
                    </w:rPr>
                    <w:t>同一功能内</w:t>
                  </w:r>
                  <w:r>
                    <w:rPr>
                      <w:szCs w:val="21"/>
                    </w:rPr>
                    <w:t>的建筑用房可相对集中布置，管理及后勤区宜独</w:t>
                  </w:r>
                  <w:r>
                    <w:rPr>
                      <w:rFonts w:hint="eastAsia"/>
                      <w:szCs w:val="21"/>
                    </w:rPr>
                    <w:t>立设置</w:t>
                  </w:r>
                  <w:r>
                    <w:rPr>
                      <w:szCs w:val="21"/>
                    </w:rPr>
                    <w:t>。</w:t>
                  </w:r>
                  <w:r>
                    <w:rPr>
                      <w:rFonts w:hint="eastAsia"/>
                      <w:szCs w:val="21"/>
                    </w:rPr>
                    <w:t>三</w:t>
                  </w:r>
                  <w:r>
                    <w:rPr>
                      <w:szCs w:val="21"/>
                    </w:rPr>
                    <w:t>、合理组织交通，管内应设接运遗体的专用通道和专用出入口。四</w:t>
                  </w:r>
                  <w:r>
                    <w:rPr>
                      <w:rFonts w:hint="eastAsia"/>
                      <w:szCs w:val="21"/>
                    </w:rPr>
                    <w:t>、</w:t>
                  </w:r>
                  <w:r>
                    <w:rPr>
                      <w:szCs w:val="21"/>
                    </w:rPr>
                    <w:t>殡仪馆绿地率应满足</w:t>
                  </w:r>
                  <w:r>
                    <w:rPr>
                      <w:rFonts w:hint="eastAsia"/>
                      <w:szCs w:val="21"/>
                    </w:rPr>
                    <w:t>当地</w:t>
                  </w:r>
                  <w:r>
                    <w:rPr>
                      <w:szCs w:val="21"/>
                    </w:rPr>
                    <w:t>规划部门的要求，新建殡仪馆的绿地率宜为</w:t>
                  </w:r>
                  <w:r>
                    <w:rPr>
                      <w:rFonts w:hint="eastAsia"/>
                      <w:szCs w:val="21"/>
                    </w:rPr>
                    <w:t>35%，</w:t>
                  </w:r>
                  <w:r>
                    <w:rPr>
                      <w:szCs w:val="21"/>
                    </w:rPr>
                    <w:t>改建、扩建殡仪馆的绿地率宜为</w:t>
                  </w:r>
                  <w:r>
                    <w:rPr>
                      <w:rFonts w:hint="eastAsia"/>
                      <w:szCs w:val="21"/>
                    </w:rPr>
                    <w:t>30%。五</w:t>
                  </w:r>
                  <w:r>
                    <w:rPr>
                      <w:szCs w:val="21"/>
                    </w:rPr>
                    <w:t>、应设置室外公共活动场地和公共厕所。六</w:t>
                  </w:r>
                  <w:r>
                    <w:rPr>
                      <w:rFonts w:hint="eastAsia"/>
                      <w:szCs w:val="21"/>
                    </w:rPr>
                    <w:t>、</w:t>
                  </w:r>
                  <w:r>
                    <w:rPr>
                      <w:szCs w:val="21"/>
                    </w:rPr>
                    <w:t>应配套建设机动车和非机动车停车设施，殡仪车停车场与公共停车场分开设置，并符合当地政府相关规定。</w:t>
                  </w:r>
                </w:p>
              </w:tc>
              <w:tc>
                <w:tcPr>
                  <w:tcW w:w="1624" w:type="pct"/>
                  <w:vAlign w:val="center"/>
                </w:tcPr>
                <w:p>
                  <w:pPr>
                    <w:wordWrap w:val="0"/>
                    <w:topLinePunct/>
                    <w:adjustRightInd w:val="0"/>
                    <w:snapToGrid w:val="0"/>
                    <w:ind w:left="-105" w:leftChars="-50" w:right="-105" w:rightChars="-50"/>
                    <w:jc w:val="center"/>
                    <w:rPr>
                      <w:szCs w:val="21"/>
                    </w:rPr>
                  </w:pPr>
                  <w:r>
                    <w:rPr>
                      <w:rFonts w:hint="eastAsia"/>
                      <w:szCs w:val="21"/>
                    </w:rPr>
                    <w:t>本项目本着布局合理，</w:t>
                  </w:r>
                  <w:r>
                    <w:rPr>
                      <w:szCs w:val="21"/>
                    </w:rPr>
                    <w:t>节约</w:t>
                  </w:r>
                  <w:r>
                    <w:rPr>
                      <w:rFonts w:hint="eastAsia"/>
                      <w:szCs w:val="21"/>
                    </w:rPr>
                    <w:t>用地原则设计，</w:t>
                  </w:r>
                  <w:r>
                    <w:rPr>
                      <w:szCs w:val="21"/>
                    </w:rPr>
                    <w:t>初步</w:t>
                  </w:r>
                  <w:r>
                    <w:rPr>
                      <w:rFonts w:hint="eastAsia"/>
                      <w:szCs w:val="21"/>
                    </w:rPr>
                    <w:t>设计根据殡仪服务流程科学设计，</w:t>
                  </w:r>
                  <w:r>
                    <w:rPr>
                      <w:szCs w:val="21"/>
                    </w:rPr>
                    <w:t>功能</w:t>
                  </w:r>
                  <w:r>
                    <w:rPr>
                      <w:rFonts w:hint="eastAsia"/>
                      <w:szCs w:val="21"/>
                    </w:rPr>
                    <w:t>分区明确，同一功能呃逆的建筑用房相对集中，</w:t>
                  </w:r>
                  <w:r>
                    <w:rPr>
                      <w:szCs w:val="21"/>
                    </w:rPr>
                    <w:t>管理</w:t>
                  </w:r>
                  <w:r>
                    <w:rPr>
                      <w:rFonts w:hint="eastAsia"/>
                      <w:szCs w:val="21"/>
                    </w:rPr>
                    <w:t>和后勤区独立设置，项目</w:t>
                  </w:r>
                  <w:r>
                    <w:rPr>
                      <w:szCs w:val="21"/>
                    </w:rPr>
                    <w:t>西侧为灵车出入口，</w:t>
                  </w:r>
                  <w:r>
                    <w:rPr>
                      <w:rFonts w:hint="eastAsia"/>
                      <w:szCs w:val="21"/>
                    </w:rPr>
                    <w:t>南侧</w:t>
                  </w:r>
                  <w:r>
                    <w:rPr>
                      <w:szCs w:val="21"/>
                    </w:rPr>
                    <w:t>为主要出入口，绿地率为</w:t>
                  </w:r>
                  <w:r>
                    <w:rPr>
                      <w:rFonts w:hint="eastAsia"/>
                      <w:szCs w:val="21"/>
                    </w:rPr>
                    <w:t>35.3%，规划</w:t>
                  </w:r>
                  <w:r>
                    <w:rPr>
                      <w:szCs w:val="21"/>
                    </w:rPr>
                    <w:t>设计室外公共活动场地和公共厕所，配套建设停车场，殡仪车单独设置停车</w:t>
                  </w:r>
                  <w:r>
                    <w:rPr>
                      <w:rFonts w:hint="eastAsia"/>
                      <w:szCs w:val="21"/>
                    </w:rPr>
                    <w:t>区。</w:t>
                  </w:r>
                </w:p>
              </w:tc>
              <w:tc>
                <w:tcPr>
                  <w:tcW w:w="417" w:type="pct"/>
                  <w:vMerge w:val="continue"/>
                  <w:vAlign w:val="center"/>
                </w:tcPr>
                <w:p>
                  <w:pPr>
                    <w:widowControl/>
                    <w:wordWrap w:val="0"/>
                    <w:topLinePunct/>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wordWrap w:val="0"/>
                    <w:topLinePunct/>
                    <w:adjustRightInd w:val="0"/>
                    <w:snapToGrid w:val="0"/>
                    <w:ind w:left="-105" w:leftChars="-50" w:right="-105" w:rightChars="-50"/>
                    <w:jc w:val="center"/>
                    <w:rPr>
                      <w:szCs w:val="21"/>
                    </w:rPr>
                  </w:pPr>
                </w:p>
              </w:tc>
              <w:tc>
                <w:tcPr>
                  <w:tcW w:w="2025" w:type="pct"/>
                  <w:vAlign w:val="center"/>
                </w:tcPr>
                <w:p>
                  <w:pPr>
                    <w:wordWrap w:val="0"/>
                    <w:topLinePunct/>
                    <w:adjustRightInd w:val="0"/>
                    <w:snapToGrid w:val="0"/>
                    <w:ind w:left="-105" w:leftChars="-50" w:right="-105" w:rightChars="-50"/>
                    <w:jc w:val="center"/>
                    <w:rPr>
                      <w:szCs w:val="21"/>
                    </w:rPr>
                  </w:pPr>
                  <w:r>
                    <w:rPr>
                      <w:rFonts w:hint="eastAsia"/>
                      <w:szCs w:val="21"/>
                    </w:rPr>
                    <w:t>殡仪馆</w:t>
                  </w:r>
                  <w:r>
                    <w:rPr>
                      <w:szCs w:val="21"/>
                    </w:rPr>
                    <w:t>容积率不宜低于</w:t>
                  </w:r>
                  <w:r>
                    <w:rPr>
                      <w:rFonts w:hint="eastAsia"/>
                      <w:szCs w:val="21"/>
                    </w:rPr>
                    <w:t>0.2。</w:t>
                  </w:r>
                </w:p>
              </w:tc>
              <w:tc>
                <w:tcPr>
                  <w:tcW w:w="1624" w:type="pct"/>
                  <w:vAlign w:val="center"/>
                </w:tcPr>
                <w:p>
                  <w:pPr>
                    <w:wordWrap w:val="0"/>
                    <w:topLinePunct/>
                    <w:adjustRightInd w:val="0"/>
                    <w:snapToGrid w:val="0"/>
                    <w:ind w:left="-105" w:leftChars="-50" w:right="-105" w:rightChars="-50"/>
                    <w:jc w:val="center"/>
                    <w:rPr>
                      <w:szCs w:val="21"/>
                    </w:rPr>
                  </w:pPr>
                  <w:r>
                    <w:rPr>
                      <w:rFonts w:hint="eastAsia"/>
                      <w:szCs w:val="21"/>
                    </w:rPr>
                    <w:t>容积率</w:t>
                  </w:r>
                  <w:r>
                    <w:rPr>
                      <w:szCs w:val="21"/>
                    </w:rPr>
                    <w:t>为</w:t>
                  </w:r>
                  <w:r>
                    <w:rPr>
                      <w:rFonts w:hint="eastAsia"/>
                      <w:szCs w:val="21"/>
                    </w:rPr>
                    <w:t>0.33</w:t>
                  </w:r>
                </w:p>
              </w:tc>
              <w:tc>
                <w:tcPr>
                  <w:tcW w:w="417" w:type="pct"/>
                  <w:vMerge w:val="continue"/>
                  <w:vAlign w:val="center"/>
                </w:tcPr>
                <w:p>
                  <w:pPr>
                    <w:widowControl/>
                    <w:wordWrap w:val="0"/>
                    <w:topLinePunct/>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wordWrap w:val="0"/>
                    <w:topLinePunct/>
                    <w:adjustRightInd w:val="0"/>
                    <w:snapToGrid w:val="0"/>
                    <w:ind w:left="-105" w:leftChars="-50" w:right="-105" w:rightChars="-50"/>
                    <w:jc w:val="center"/>
                    <w:rPr>
                      <w:szCs w:val="21"/>
                    </w:rPr>
                  </w:pPr>
                  <w:r>
                    <w:rPr>
                      <w:rFonts w:hint="eastAsia"/>
                      <w:szCs w:val="21"/>
                    </w:rPr>
                    <w:t>《</w:t>
                  </w:r>
                  <w:r>
                    <w:rPr>
                      <w:szCs w:val="21"/>
                    </w:rPr>
                    <w:t>陕西殡葬管理条例</w:t>
                  </w:r>
                  <w:r>
                    <w:rPr>
                      <w:rFonts w:hint="eastAsia"/>
                      <w:szCs w:val="21"/>
                    </w:rPr>
                    <w:t>》</w:t>
                  </w:r>
                </w:p>
              </w:tc>
              <w:tc>
                <w:tcPr>
                  <w:tcW w:w="2025" w:type="pct"/>
                  <w:vAlign w:val="center"/>
                </w:tcPr>
                <w:p>
                  <w:pPr>
                    <w:wordWrap w:val="0"/>
                    <w:topLinePunct/>
                    <w:adjustRightInd w:val="0"/>
                    <w:snapToGrid w:val="0"/>
                    <w:ind w:left="-105" w:leftChars="-50" w:right="-105" w:rightChars="-50"/>
                    <w:jc w:val="center"/>
                    <w:rPr>
                      <w:szCs w:val="21"/>
                    </w:rPr>
                  </w:pPr>
                  <w:r>
                    <w:rPr>
                      <w:szCs w:val="21"/>
                    </w:rPr>
                    <w:t>殡仪馆、火葬场、骨灰堂、殡仪服务站、公墓等殡葬设施，由各级人民政府民政部门根据省人民政府批准的殡葬设施建设总体规划设置和管理。</w:t>
                  </w:r>
                </w:p>
              </w:tc>
              <w:tc>
                <w:tcPr>
                  <w:tcW w:w="1624" w:type="pct"/>
                  <w:vAlign w:val="center"/>
                </w:tcPr>
                <w:p>
                  <w:pPr>
                    <w:wordWrap w:val="0"/>
                    <w:topLinePunct/>
                    <w:adjustRightInd w:val="0"/>
                    <w:snapToGrid w:val="0"/>
                    <w:ind w:left="-105" w:leftChars="-50" w:right="-105" w:rightChars="-50"/>
                    <w:jc w:val="center"/>
                    <w:rPr>
                      <w:szCs w:val="21"/>
                      <w:shd w:val="clear" w:color="auto" w:fill="FFFFFF"/>
                    </w:rPr>
                  </w:pPr>
                  <w:r>
                    <w:rPr>
                      <w:szCs w:val="21"/>
                    </w:rPr>
                    <w:t>项目由周至县民政局负责筹划建设和管理。</w:t>
                  </w:r>
                </w:p>
              </w:tc>
              <w:tc>
                <w:tcPr>
                  <w:tcW w:w="417" w:type="pct"/>
                  <w:vAlign w:val="center"/>
                </w:tcPr>
                <w:p>
                  <w:pPr>
                    <w:widowControl/>
                    <w:wordWrap w:val="0"/>
                    <w:topLinePunct/>
                    <w:adjustRightInd w:val="0"/>
                    <w:snapToGrid w:val="0"/>
                    <w:ind w:left="-105" w:leftChars="-50" w:right="-105" w:rightChars="-5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wordWrap w:val="0"/>
                    <w:topLinePunct/>
                    <w:adjustRightInd w:val="0"/>
                    <w:snapToGrid w:val="0"/>
                    <w:ind w:left="-105" w:leftChars="-50" w:right="-105" w:rightChars="-50"/>
                    <w:jc w:val="center"/>
                    <w:rPr>
                      <w:szCs w:val="21"/>
                    </w:rPr>
                  </w:pPr>
                  <w:r>
                    <w:rPr>
                      <w:rFonts w:hint="eastAsia"/>
                      <w:szCs w:val="21"/>
                    </w:rPr>
                    <w:t>《西安市</w:t>
                  </w:r>
                  <w:r>
                    <w:rPr>
                      <w:szCs w:val="21"/>
                    </w:rPr>
                    <w:t>殡葬管理实施办法</w:t>
                  </w:r>
                  <w:r>
                    <w:rPr>
                      <w:rFonts w:hint="eastAsia"/>
                      <w:szCs w:val="21"/>
                    </w:rPr>
                    <w:t>》</w:t>
                  </w:r>
                </w:p>
              </w:tc>
              <w:tc>
                <w:tcPr>
                  <w:tcW w:w="2025" w:type="pct"/>
                  <w:vAlign w:val="center"/>
                </w:tcPr>
                <w:p>
                  <w:pPr>
                    <w:wordWrap w:val="0"/>
                    <w:topLinePunct/>
                    <w:adjustRightInd w:val="0"/>
                    <w:snapToGrid w:val="0"/>
                    <w:ind w:left="-105" w:leftChars="-50" w:right="-105" w:rightChars="-50"/>
                    <w:jc w:val="center"/>
                    <w:rPr>
                      <w:szCs w:val="21"/>
                    </w:rPr>
                  </w:pPr>
                  <w:r>
                    <w:rPr>
                      <w:szCs w:val="21"/>
                    </w:rPr>
                    <w:t>县行政区域内建设殡仪馆、火葬场，由县民政行政管理部门提出方案，报县人民政府审批；区行政区域内建设殡仪馆、火葬场，由市民政行政管理部门提出方案，报市人民政府审批。</w:t>
                  </w:r>
                </w:p>
                <w:p>
                  <w:pPr>
                    <w:wordWrap w:val="0"/>
                    <w:topLinePunct/>
                    <w:adjustRightInd w:val="0"/>
                    <w:snapToGrid w:val="0"/>
                    <w:ind w:left="-105" w:leftChars="-50" w:right="-105" w:rightChars="-50"/>
                    <w:jc w:val="center"/>
                    <w:rPr>
                      <w:szCs w:val="21"/>
                    </w:rPr>
                  </w:pPr>
                  <w:r>
                    <w:rPr>
                      <w:szCs w:val="21"/>
                    </w:rPr>
                    <w:t>县行政区域内建设殡仪服务站、骨灰堂，由县民政行政管理部门审批；区行政区域内建设殡仪服务站、骨灰堂，由市民政行政管理部门审批。</w:t>
                  </w:r>
                </w:p>
                <w:p>
                  <w:pPr>
                    <w:wordWrap w:val="0"/>
                    <w:topLinePunct/>
                    <w:adjustRightInd w:val="0"/>
                    <w:snapToGrid w:val="0"/>
                    <w:ind w:left="-105" w:leftChars="-50" w:right="-105" w:rightChars="-50"/>
                    <w:jc w:val="center"/>
                    <w:rPr>
                      <w:szCs w:val="21"/>
                    </w:rPr>
                  </w:pPr>
                  <w:r>
                    <w:rPr>
                      <w:szCs w:val="21"/>
                    </w:rPr>
                    <w:t>蓝田县、周至县的火葬区由县人民政府根据本县具体情况划定。</w:t>
                  </w:r>
                </w:p>
              </w:tc>
              <w:tc>
                <w:tcPr>
                  <w:tcW w:w="1624" w:type="pct"/>
                  <w:vAlign w:val="center"/>
                </w:tcPr>
                <w:p>
                  <w:pPr>
                    <w:wordWrap w:val="0"/>
                    <w:topLinePunct/>
                    <w:adjustRightInd w:val="0"/>
                    <w:snapToGrid w:val="0"/>
                    <w:ind w:left="-105" w:leftChars="-50" w:right="-105" w:rightChars="-50"/>
                    <w:jc w:val="center"/>
                    <w:rPr>
                      <w:szCs w:val="21"/>
                    </w:rPr>
                  </w:pPr>
                  <w:r>
                    <w:rPr>
                      <w:rFonts w:hint="eastAsia"/>
                      <w:szCs w:val="21"/>
                    </w:rPr>
                    <w:t>周至县</w:t>
                  </w:r>
                  <w:r>
                    <w:rPr>
                      <w:szCs w:val="21"/>
                    </w:rPr>
                    <w:t>殡仪馆项目</w:t>
                  </w:r>
                  <w:r>
                    <w:rPr>
                      <w:rFonts w:hint="eastAsia"/>
                      <w:szCs w:val="21"/>
                    </w:rPr>
                    <w:t>由</w:t>
                  </w:r>
                  <w:r>
                    <w:rPr>
                      <w:szCs w:val="21"/>
                    </w:rPr>
                    <w:t>周至县民政局提出</w:t>
                  </w:r>
                  <w:r>
                    <w:rPr>
                      <w:rFonts w:hint="eastAsia"/>
                      <w:szCs w:val="21"/>
                    </w:rPr>
                    <w:t>进行建设</w:t>
                  </w:r>
                  <w:r>
                    <w:rPr>
                      <w:szCs w:val="21"/>
                    </w:rPr>
                    <w:t>，</w:t>
                  </w:r>
                  <w:r>
                    <w:rPr>
                      <w:rFonts w:hint="eastAsia"/>
                      <w:szCs w:val="21"/>
                    </w:rPr>
                    <w:t>报</w:t>
                  </w:r>
                  <w:r>
                    <w:rPr>
                      <w:szCs w:val="21"/>
                    </w:rPr>
                    <w:t>项目建议书和可行性研究报告</w:t>
                  </w:r>
                  <w:r>
                    <w:rPr>
                      <w:rFonts w:hint="eastAsia"/>
                      <w:szCs w:val="21"/>
                    </w:rPr>
                    <w:t>至</w:t>
                  </w:r>
                  <w:r>
                    <w:rPr>
                      <w:szCs w:val="21"/>
                    </w:rPr>
                    <w:t>周至县发展和改革委员会，已通过审批，见附件</w:t>
                  </w:r>
                  <w:r>
                    <w:rPr>
                      <w:rFonts w:hint="eastAsia"/>
                      <w:szCs w:val="21"/>
                    </w:rPr>
                    <w:t>2、</w:t>
                  </w:r>
                  <w:r>
                    <w:rPr>
                      <w:szCs w:val="21"/>
                    </w:rPr>
                    <w:t>附件</w:t>
                  </w:r>
                  <w:r>
                    <w:rPr>
                      <w:rFonts w:hint="eastAsia"/>
                      <w:szCs w:val="21"/>
                    </w:rPr>
                    <w:t>3。本项目</w:t>
                  </w:r>
                  <w:r>
                    <w:rPr>
                      <w:szCs w:val="21"/>
                    </w:rPr>
                    <w:t>内部设置火葬区和祭祀活动区域</w:t>
                  </w:r>
                  <w:r>
                    <w:rPr>
                      <w:rFonts w:hint="eastAsia"/>
                      <w:szCs w:val="21"/>
                    </w:rPr>
                    <w:t>。</w:t>
                  </w:r>
                </w:p>
              </w:tc>
              <w:tc>
                <w:tcPr>
                  <w:tcW w:w="417" w:type="pct"/>
                  <w:vAlign w:val="center"/>
                </w:tcPr>
                <w:p>
                  <w:pPr>
                    <w:widowControl/>
                    <w:wordWrap w:val="0"/>
                    <w:topLinePunct/>
                    <w:adjustRightInd w:val="0"/>
                    <w:snapToGrid w:val="0"/>
                    <w:ind w:left="-105" w:leftChars="-50" w:right="-105" w:rightChars="-5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wordWrap w:val="0"/>
                    <w:topLinePunct/>
                    <w:adjustRightInd w:val="0"/>
                    <w:snapToGrid w:val="0"/>
                    <w:ind w:left="-105" w:leftChars="-50" w:right="-105" w:rightChars="-50"/>
                    <w:jc w:val="center"/>
                    <w:rPr>
                      <w:szCs w:val="21"/>
                    </w:rPr>
                  </w:pPr>
                  <w:r>
                    <w:rPr>
                      <w:szCs w:val="28"/>
                    </w:rPr>
                    <w:t>《周至县国民经济和社会发展第十四个五年规划和二〇三五年远景目标纲要》</w:t>
                  </w:r>
                </w:p>
              </w:tc>
              <w:tc>
                <w:tcPr>
                  <w:tcW w:w="2025" w:type="pct"/>
                  <w:vAlign w:val="center"/>
                </w:tcPr>
                <w:p>
                  <w:pPr>
                    <w:wordWrap w:val="0"/>
                    <w:topLinePunct/>
                    <w:adjustRightInd w:val="0"/>
                    <w:snapToGrid w:val="0"/>
                    <w:ind w:left="-105" w:leftChars="-50" w:right="-105" w:rightChars="-50"/>
                    <w:jc w:val="center"/>
                  </w:pPr>
                  <w:r>
                    <w:t>全面推进殡葬改革，加快殡仪馆（公墓）建设，建立基本殡葬服务保障制度。</w:t>
                  </w:r>
                </w:p>
                <w:p>
                  <w:pPr>
                    <w:wordWrap w:val="0"/>
                    <w:topLinePunct/>
                    <w:adjustRightInd w:val="0"/>
                    <w:snapToGrid w:val="0"/>
                    <w:ind w:left="-105" w:leftChars="-50" w:right="-105" w:rightChars="-50"/>
                    <w:jc w:val="center"/>
                    <w:rPr>
                      <w:szCs w:val="21"/>
                    </w:rPr>
                  </w:pPr>
                  <w:r>
                    <w:t>社会事业民生保障项目</w:t>
                  </w:r>
                  <w:r>
                    <w:rPr>
                      <w:rFonts w:hint="eastAsia"/>
                    </w:rPr>
                    <w:t>：</w:t>
                  </w:r>
                  <w:r>
                    <w:t>社会保障。周至县殡仪馆项目，周至县老年养护院，西安博瑞养老院司竹分院建设项目，县级智能人力资源市场建设项目，居家养老项目。</w:t>
                  </w:r>
                </w:p>
              </w:tc>
              <w:tc>
                <w:tcPr>
                  <w:tcW w:w="1624" w:type="pct"/>
                  <w:vAlign w:val="center"/>
                </w:tcPr>
                <w:p>
                  <w:pPr>
                    <w:wordWrap w:val="0"/>
                    <w:topLinePunct/>
                    <w:adjustRightInd w:val="0"/>
                    <w:snapToGrid w:val="0"/>
                    <w:ind w:left="-105" w:leftChars="-50" w:right="-105" w:rightChars="-50"/>
                    <w:jc w:val="center"/>
                    <w:rPr>
                      <w:szCs w:val="21"/>
                    </w:rPr>
                  </w:pPr>
                  <w:r>
                    <w:rPr>
                      <w:rFonts w:hint="eastAsia"/>
                      <w:szCs w:val="21"/>
                    </w:rPr>
                    <w:t>本项目</w:t>
                  </w:r>
                  <w:r>
                    <w:rPr>
                      <w:szCs w:val="21"/>
                    </w:rPr>
                    <w:t>为</w:t>
                  </w:r>
                  <w:r>
                    <w:rPr>
                      <w:rFonts w:hint="eastAsia"/>
                      <w:szCs w:val="21"/>
                    </w:rPr>
                    <w:t>周至县</w:t>
                  </w:r>
                  <w:r>
                    <w:rPr>
                      <w:szCs w:val="21"/>
                    </w:rPr>
                    <w:t>殡仪馆建设项目，为周至县社会事业民生保障项目</w:t>
                  </w:r>
                  <w:r>
                    <w:rPr>
                      <w:rFonts w:hint="eastAsia"/>
                      <w:szCs w:val="21"/>
                    </w:rPr>
                    <w:t>。</w:t>
                  </w:r>
                </w:p>
              </w:tc>
              <w:tc>
                <w:tcPr>
                  <w:tcW w:w="417" w:type="pct"/>
                  <w:vAlign w:val="center"/>
                </w:tcPr>
                <w:p>
                  <w:pPr>
                    <w:widowControl/>
                    <w:wordWrap w:val="0"/>
                    <w:topLinePunct/>
                    <w:adjustRightInd w:val="0"/>
                    <w:snapToGrid w:val="0"/>
                    <w:ind w:left="-105" w:leftChars="-50" w:right="-105" w:rightChars="-5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wordWrap w:val="0"/>
                    <w:topLinePunct/>
                    <w:adjustRightInd w:val="0"/>
                    <w:snapToGrid w:val="0"/>
                    <w:ind w:left="-105" w:leftChars="-50" w:right="-105" w:rightChars="-50"/>
                    <w:jc w:val="center"/>
                    <w:rPr>
                      <w:szCs w:val="28"/>
                    </w:rPr>
                  </w:pPr>
                  <w:r>
                    <w:rPr>
                      <w:rFonts w:hint="eastAsia"/>
                      <w:szCs w:val="28"/>
                    </w:rPr>
                    <w:t>《周至县</w:t>
                  </w:r>
                  <w:r>
                    <w:rPr>
                      <w:szCs w:val="28"/>
                    </w:rPr>
                    <w:t>大气污染治理专项行动方案（</w:t>
                  </w:r>
                  <w:r>
                    <w:rPr>
                      <w:rFonts w:hint="eastAsia"/>
                      <w:szCs w:val="28"/>
                    </w:rPr>
                    <w:t>2023-2027年</w:t>
                  </w:r>
                  <w:r>
                    <w:rPr>
                      <w:szCs w:val="28"/>
                    </w:rPr>
                    <w:t>）</w:t>
                  </w:r>
                  <w:r>
                    <w:rPr>
                      <w:rFonts w:hint="eastAsia"/>
                      <w:szCs w:val="28"/>
                    </w:rPr>
                    <w:t>》</w:t>
                  </w:r>
                </w:p>
              </w:tc>
              <w:tc>
                <w:tcPr>
                  <w:tcW w:w="2025" w:type="pct"/>
                  <w:vAlign w:val="center"/>
                </w:tcPr>
                <w:p>
                  <w:pPr>
                    <w:wordWrap w:val="0"/>
                    <w:topLinePunct/>
                    <w:adjustRightInd w:val="0"/>
                    <w:snapToGrid w:val="0"/>
                    <w:ind w:left="-105" w:leftChars="-50" w:right="-105" w:rightChars="-50"/>
                    <w:jc w:val="center"/>
                  </w:pPr>
                  <w:r>
                    <w:rPr>
                      <w:rFonts w:hint="eastAsia"/>
                    </w:rPr>
                    <w:t>持续</w:t>
                  </w:r>
                  <w:r>
                    <w:t>推进老旧车辆及非道路移动机械淘汰。</w:t>
                  </w:r>
                  <w:r>
                    <w:rPr>
                      <w:rFonts w:hint="eastAsia"/>
                    </w:rPr>
                    <w:t>2025年底</w:t>
                  </w:r>
                  <w:r>
                    <w:t>前全线淘汰国三及以下排放标准柴油货车，</w:t>
                  </w:r>
                  <w:r>
                    <w:rPr>
                      <w:rFonts w:hint="eastAsia"/>
                    </w:rPr>
                    <w:t>推进</w:t>
                  </w:r>
                  <w:r>
                    <w:t>淘汰国一及以下排放标准非道路移动工程机械。</w:t>
                  </w:r>
                  <w:r>
                    <w:rPr>
                      <w:rFonts w:hint="eastAsia"/>
                    </w:rPr>
                    <w:t>2</w:t>
                  </w:r>
                  <w:r>
                    <w:t>025</w:t>
                  </w:r>
                  <w:r>
                    <w:rPr>
                      <w:rFonts w:hint="eastAsia"/>
                    </w:rPr>
                    <w:t>年</w:t>
                  </w:r>
                  <w:r>
                    <w:t>全线新能源和国六排放标准货车保有量占比不低于</w:t>
                  </w:r>
                  <w:r>
                    <w:rPr>
                      <w:rFonts w:hint="eastAsia"/>
                    </w:rPr>
                    <w:t>50%。</w:t>
                  </w:r>
                </w:p>
                <w:p>
                  <w:pPr>
                    <w:wordWrap w:val="0"/>
                    <w:topLinePunct/>
                    <w:adjustRightInd w:val="0"/>
                    <w:snapToGrid w:val="0"/>
                    <w:ind w:left="-105" w:leftChars="-50" w:right="-105" w:rightChars="-50"/>
                    <w:jc w:val="center"/>
                  </w:pPr>
                  <w:r>
                    <w:rPr>
                      <w:rFonts w:hint="eastAsia"/>
                    </w:rPr>
                    <w:t>强化</w:t>
                  </w:r>
                  <w:r>
                    <w:t>非道路移动接卸排放控制区管控。</w:t>
                  </w:r>
                  <w:r>
                    <w:rPr>
                      <w:rFonts w:hint="eastAsia"/>
                    </w:rPr>
                    <w:t>到2025年</w:t>
                  </w:r>
                  <w:r>
                    <w:t>不符合“</w:t>
                  </w:r>
                  <w:r>
                    <w:rPr>
                      <w:rFonts w:hint="eastAsia"/>
                    </w:rPr>
                    <w:t>双</w:t>
                  </w:r>
                  <w:r>
                    <w:t>三标准”</w:t>
                  </w:r>
                  <w:r>
                    <w:rPr>
                      <w:rFonts w:hint="eastAsia"/>
                    </w:rPr>
                    <w:t>的</w:t>
                  </w:r>
                  <w:r>
                    <w:t>机械禁止使用，具备条件的可更换国四及以上排放标准的发动机。</w:t>
                  </w:r>
                </w:p>
                <w:p>
                  <w:pPr>
                    <w:wordWrap w:val="0"/>
                    <w:topLinePunct/>
                    <w:adjustRightInd w:val="0"/>
                    <w:snapToGrid w:val="0"/>
                    <w:ind w:left="-105" w:leftChars="-50" w:right="-105" w:rightChars="-50"/>
                    <w:jc w:val="center"/>
                  </w:pPr>
                  <w:r>
                    <w:rPr>
                      <w:rFonts w:hint="eastAsia"/>
                    </w:rPr>
                    <w:t>从2023年</w:t>
                  </w:r>
                  <w:r>
                    <w:t>开始，政府投资类项目</w:t>
                  </w:r>
                  <w:r>
                    <w:rPr>
                      <w:rFonts w:hint="eastAsia"/>
                    </w:rPr>
                    <w:t>、</w:t>
                  </w:r>
                  <w:r>
                    <w:t>民生保障类项目，要优先使用新能源、清洁能源车辆以及符合“</w:t>
                  </w:r>
                  <w:r>
                    <w:rPr>
                      <w:rFonts w:hint="eastAsia"/>
                    </w:rPr>
                    <w:t>双</w:t>
                  </w:r>
                  <w:r>
                    <w:t>三标准”</w:t>
                  </w:r>
                  <w:r>
                    <w:rPr>
                      <w:rFonts w:hint="eastAsia"/>
                    </w:rPr>
                    <w:t>的</w:t>
                  </w:r>
                  <w:r>
                    <w:t>非道路移动机械。</w:t>
                  </w:r>
                </w:p>
                <w:p>
                  <w:pPr>
                    <w:wordWrap w:val="0"/>
                    <w:topLinePunct/>
                    <w:adjustRightInd w:val="0"/>
                    <w:snapToGrid w:val="0"/>
                    <w:ind w:left="-105" w:leftChars="-50" w:right="-105" w:rightChars="-50"/>
                    <w:jc w:val="center"/>
                  </w:pPr>
                  <w:r>
                    <w:rPr>
                      <w:rFonts w:hint="eastAsia"/>
                    </w:rPr>
                    <w:t>加强建筑</w:t>
                  </w:r>
                  <w:r>
                    <w:t>垃圾清运作业项目和在建工地施工扬尘精细化管控。建立</w:t>
                  </w:r>
                  <w:r>
                    <w:rPr>
                      <w:rFonts w:hint="eastAsia"/>
                    </w:rPr>
                    <w:t>动态</w:t>
                  </w:r>
                  <w:r>
                    <w:t>管理清单，全面落实“</w:t>
                  </w:r>
                  <w:r>
                    <w:rPr>
                      <w:rFonts w:hint="eastAsia"/>
                    </w:rPr>
                    <w:t>六个</w:t>
                  </w:r>
                  <w:r>
                    <w:t>百分百”“</w:t>
                  </w:r>
                  <w:r>
                    <w:rPr>
                      <w:rFonts w:hint="eastAsia"/>
                    </w:rPr>
                    <w:t>七个</w:t>
                  </w:r>
                  <w:r>
                    <w:t>到位”</w:t>
                  </w:r>
                  <w:r>
                    <w:rPr>
                      <w:rFonts w:hint="eastAsia"/>
                    </w:rPr>
                    <w:t>要求</w:t>
                  </w:r>
                  <w:r>
                    <w:t>，强化洒水抑尘，将强作业车辆和机械冲洗次数，防止带泥</w:t>
                  </w:r>
                  <w:r>
                    <w:rPr>
                      <w:rFonts w:hint="eastAsia"/>
                    </w:rPr>
                    <w:t>行驶。严格</w:t>
                  </w:r>
                  <w:r>
                    <w:t>易产扬尘运输车辆监管，落实建筑垃圾运输车辆、砂石运输车辆密闭运输要求，严格运输车辆规范化管理，防止运输过程中抛洒滴漏及扬尘问题。</w:t>
                  </w:r>
                </w:p>
              </w:tc>
              <w:tc>
                <w:tcPr>
                  <w:tcW w:w="1624" w:type="pct"/>
                  <w:vAlign w:val="center"/>
                </w:tcPr>
                <w:p>
                  <w:pPr>
                    <w:wordWrap w:val="0"/>
                    <w:topLinePunct/>
                    <w:adjustRightInd w:val="0"/>
                    <w:snapToGrid w:val="0"/>
                    <w:ind w:left="-105" w:leftChars="-50" w:right="-105" w:rightChars="-50"/>
                    <w:jc w:val="center"/>
                    <w:rPr>
                      <w:szCs w:val="21"/>
                    </w:rPr>
                  </w:pPr>
                  <w:r>
                    <w:rPr>
                      <w:rFonts w:hint="eastAsia"/>
                      <w:szCs w:val="21"/>
                    </w:rPr>
                    <w:t>环评</w:t>
                  </w:r>
                  <w:r>
                    <w:rPr>
                      <w:szCs w:val="21"/>
                    </w:rPr>
                    <w:t>要求施工期使用</w:t>
                  </w:r>
                  <w:r>
                    <w:rPr>
                      <w:rFonts w:hint="eastAsia"/>
                      <w:szCs w:val="21"/>
                    </w:rPr>
                    <w:t>国四</w:t>
                  </w:r>
                  <w:r>
                    <w:rPr>
                      <w:szCs w:val="21"/>
                    </w:rPr>
                    <w:t>及以上非道路移动机械，</w:t>
                  </w:r>
                  <w:r>
                    <w:rPr>
                      <w:rFonts w:hint="eastAsia"/>
                      <w:szCs w:val="21"/>
                    </w:rPr>
                    <w:t>优先</w:t>
                  </w:r>
                  <w:r>
                    <w:rPr>
                      <w:szCs w:val="21"/>
                    </w:rPr>
                    <w:t>使用</w:t>
                  </w:r>
                  <w:r>
                    <w:t>新能源、清洁能源车辆以及符合“</w:t>
                  </w:r>
                  <w:r>
                    <w:rPr>
                      <w:rFonts w:hint="eastAsia"/>
                    </w:rPr>
                    <w:t>双</w:t>
                  </w:r>
                  <w:r>
                    <w:t>三标准”</w:t>
                  </w:r>
                  <w:r>
                    <w:rPr>
                      <w:rFonts w:hint="eastAsia"/>
                    </w:rPr>
                    <w:t>的</w:t>
                  </w:r>
                  <w:r>
                    <w:t>非道路移动机械</w:t>
                  </w:r>
                  <w:r>
                    <w:rPr>
                      <w:szCs w:val="21"/>
                    </w:rPr>
                    <w:t>。</w:t>
                  </w:r>
                </w:p>
                <w:p>
                  <w:pPr>
                    <w:wordWrap w:val="0"/>
                    <w:topLinePunct/>
                    <w:adjustRightInd w:val="0"/>
                    <w:snapToGrid w:val="0"/>
                    <w:ind w:left="-105" w:leftChars="-50" w:right="-105" w:rightChars="-50"/>
                    <w:jc w:val="center"/>
                    <w:rPr>
                      <w:szCs w:val="21"/>
                    </w:rPr>
                  </w:pPr>
                  <w:r>
                    <w:rPr>
                      <w:rFonts w:hint="eastAsia"/>
                    </w:rPr>
                    <w:t>环评</w:t>
                  </w:r>
                  <w:r>
                    <w:t>要求</w:t>
                  </w:r>
                  <w:r>
                    <w:rPr>
                      <w:rFonts w:hint="eastAsia"/>
                    </w:rPr>
                    <w:t>加强建筑</w:t>
                  </w:r>
                  <w:r>
                    <w:t>垃圾清运作业项目和在建工地施工扬尘精细化管控。建立</w:t>
                  </w:r>
                  <w:r>
                    <w:rPr>
                      <w:rFonts w:hint="eastAsia"/>
                    </w:rPr>
                    <w:t>动态</w:t>
                  </w:r>
                  <w:r>
                    <w:t>管理清单，全面落实“</w:t>
                  </w:r>
                  <w:r>
                    <w:rPr>
                      <w:rFonts w:hint="eastAsia"/>
                    </w:rPr>
                    <w:t>六个</w:t>
                  </w:r>
                  <w:r>
                    <w:t>百分百”“</w:t>
                  </w:r>
                  <w:r>
                    <w:rPr>
                      <w:rFonts w:hint="eastAsia"/>
                    </w:rPr>
                    <w:t>七个</w:t>
                  </w:r>
                  <w:r>
                    <w:t>到位”</w:t>
                  </w:r>
                  <w:r>
                    <w:rPr>
                      <w:rFonts w:hint="eastAsia"/>
                    </w:rPr>
                    <w:t>要求</w:t>
                  </w:r>
                  <w:r>
                    <w:t>，强化洒水抑尘，将强作业车辆和机械冲洗次数，防止带泥</w:t>
                  </w:r>
                  <w:r>
                    <w:rPr>
                      <w:rFonts w:hint="eastAsia"/>
                    </w:rPr>
                    <w:t>行驶。严格</w:t>
                  </w:r>
                  <w:r>
                    <w:t>易产扬尘运输车辆监管，落实建筑垃圾运输车辆、砂石运输车辆密闭运输要求，严格运输车辆规范化管理，防止运输过程中抛洒滴漏及扬尘问题。</w:t>
                  </w:r>
                </w:p>
              </w:tc>
              <w:tc>
                <w:tcPr>
                  <w:tcW w:w="417" w:type="pct"/>
                  <w:vAlign w:val="center"/>
                </w:tcPr>
                <w:p>
                  <w:pPr>
                    <w:widowControl/>
                    <w:wordWrap w:val="0"/>
                    <w:topLinePunct/>
                    <w:adjustRightInd w:val="0"/>
                    <w:snapToGrid w:val="0"/>
                    <w:ind w:left="-105" w:leftChars="-50" w:right="-105" w:rightChars="-50"/>
                    <w:jc w:val="center"/>
                    <w:rPr>
                      <w:szCs w:val="21"/>
                    </w:rPr>
                  </w:pPr>
                  <w:r>
                    <w:rPr>
                      <w:rFonts w:hint="eastAsia"/>
                      <w:szCs w:val="21"/>
                    </w:rPr>
                    <w:t>符合</w:t>
                  </w:r>
                </w:p>
              </w:tc>
            </w:tr>
          </w:tbl>
          <w:p>
            <w:pPr>
              <w:adjustRightInd w:val="0"/>
              <w:snapToGrid w:val="0"/>
              <w:spacing w:line="360" w:lineRule="auto"/>
              <w:ind w:firstLine="482" w:firstLineChars="200"/>
              <w:jc w:val="left"/>
              <w:rPr>
                <w:b/>
                <w:sz w:val="24"/>
              </w:rPr>
            </w:pPr>
            <w:r>
              <w:rPr>
                <w:b/>
                <w:sz w:val="24"/>
              </w:rPr>
              <w:t>4、选址合理性分析</w:t>
            </w:r>
          </w:p>
          <w:p>
            <w:pPr>
              <w:spacing w:line="360" w:lineRule="auto"/>
              <w:ind w:firstLine="480" w:firstLineChars="200"/>
              <w:rPr>
                <w:sz w:val="24"/>
              </w:rPr>
            </w:pPr>
            <w:r>
              <w:rPr>
                <w:sz w:val="24"/>
              </w:rPr>
              <w:t>本项目位于西安市周至县城区北部渭泉村东北方向，规划用地39394.94m</w:t>
            </w:r>
            <w:r>
              <w:rPr>
                <w:sz w:val="24"/>
                <w:vertAlign w:val="superscript"/>
              </w:rPr>
              <w:t>2</w:t>
            </w:r>
            <w:r>
              <w:rPr>
                <w:sz w:val="24"/>
              </w:rPr>
              <w:t>（约59.10亩），距周至县县城约11km，北侧为空置房屋，南侧为319县道，东侧和西侧为空地，项目地理位置图见附图1，四邻关系见附图2。所选区域地势平坦，地理位置优越，交通便利，水、电等配套设施完善，项目所在地不涉及饮用水源保护区、文物保护单位、风景名胜区等特殊敏感点。依据周至县自然资源和规划局于2023年4月11日“关于周至县殡仪馆项目用地情况的回复”（见附件7），周至县殡仪馆项目列入周至县国土空间规划“三区三线”划定方案的城镇开发边界内，并于2022年9月30日经自然资源部批准，即符合周至县国土空间规划，且项目用地不涉及农村集体建设用地的拆迁问题。</w:t>
            </w:r>
          </w:p>
          <w:p>
            <w:pPr>
              <w:spacing w:line="360" w:lineRule="auto"/>
              <w:ind w:firstLine="480" w:firstLineChars="200"/>
              <w:rPr>
                <w:sz w:val="24"/>
              </w:rPr>
            </w:pPr>
            <w:r>
              <w:rPr>
                <w:rFonts w:hint="eastAsia"/>
                <w:sz w:val="24"/>
              </w:rPr>
              <w:t>依据《</w:t>
            </w:r>
            <w:r>
              <w:rPr>
                <w:sz w:val="24"/>
              </w:rPr>
              <w:t>西安市“十四五”民政事业发展规划</w:t>
            </w:r>
            <w:r>
              <w:rPr>
                <w:rFonts w:hint="eastAsia"/>
                <w:sz w:val="24"/>
              </w:rPr>
              <w:t>》</w:t>
            </w:r>
            <w:r>
              <w:rPr>
                <w:sz w:val="24"/>
              </w:rPr>
              <w:t>合理规划布局建设蓝田和周至两县级殡仪馆</w:t>
            </w:r>
            <w:r>
              <w:rPr>
                <w:rFonts w:hint="eastAsia"/>
                <w:sz w:val="24"/>
              </w:rPr>
              <w:t>，项目</w:t>
            </w:r>
            <w:r>
              <w:rPr>
                <w:sz w:val="24"/>
              </w:rPr>
              <w:t>符合</w:t>
            </w:r>
            <w:r>
              <w:rPr>
                <w:rFonts w:hint="eastAsia"/>
                <w:sz w:val="24"/>
              </w:rPr>
              <w:t>《</w:t>
            </w:r>
            <w:r>
              <w:rPr>
                <w:sz w:val="24"/>
              </w:rPr>
              <w:t>西安市“十四五”民政事业发展规划</w:t>
            </w:r>
            <w:r>
              <w:rPr>
                <w:rFonts w:hint="eastAsia"/>
                <w:sz w:val="24"/>
              </w:rPr>
              <w:t>》，</w:t>
            </w:r>
            <w:r>
              <w:rPr>
                <w:sz w:val="24"/>
              </w:rPr>
              <w:t>符合《</w:t>
            </w:r>
            <w:r>
              <w:rPr>
                <w:rFonts w:hint="eastAsia"/>
                <w:sz w:val="24"/>
              </w:rPr>
              <w:t>殡葬</w:t>
            </w:r>
            <w:r>
              <w:rPr>
                <w:sz w:val="24"/>
              </w:rPr>
              <w:t>管理</w:t>
            </w:r>
            <w:r>
              <w:rPr>
                <w:rFonts w:hint="eastAsia"/>
                <w:sz w:val="24"/>
              </w:rPr>
              <w:t>条例</w:t>
            </w:r>
            <w:r>
              <w:rPr>
                <w:sz w:val="24"/>
              </w:rPr>
              <w:t>》</w:t>
            </w:r>
            <w:r>
              <w:rPr>
                <w:rFonts w:hint="eastAsia"/>
                <w:sz w:val="24"/>
              </w:rPr>
              <w:t>相关要求，项目</w:t>
            </w:r>
            <w:r>
              <w:rPr>
                <w:sz w:val="24"/>
              </w:rPr>
              <w:t>建设区域较为开阔，位于周至县侧风向，</w:t>
            </w:r>
            <w:r>
              <w:rPr>
                <w:rFonts w:hint="eastAsia"/>
                <w:sz w:val="24"/>
              </w:rPr>
              <w:t>项目</w:t>
            </w:r>
            <w:r>
              <w:rPr>
                <w:sz w:val="24"/>
              </w:rPr>
              <w:t>周边居民、单位较少，区域交通便利，符合</w:t>
            </w:r>
            <w:r>
              <w:rPr>
                <w:rFonts w:hint="eastAsia"/>
                <w:sz w:val="24"/>
              </w:rPr>
              <w:t>《</w:t>
            </w:r>
            <w:r>
              <w:rPr>
                <w:sz w:val="24"/>
              </w:rPr>
              <w:t>殡仪馆建设标准</w:t>
            </w:r>
            <w:r>
              <w:rPr>
                <w:rFonts w:hint="eastAsia"/>
                <w:sz w:val="24"/>
              </w:rPr>
              <w:t>》相关</w:t>
            </w:r>
            <w:r>
              <w:rPr>
                <w:sz w:val="24"/>
              </w:rPr>
              <w:t>要求</w:t>
            </w:r>
            <w:r>
              <w:rPr>
                <w:rFonts w:hint="eastAsia"/>
                <w:sz w:val="24"/>
              </w:rPr>
              <w:t>。</w:t>
            </w:r>
          </w:p>
          <w:p>
            <w:pPr>
              <w:spacing w:line="360" w:lineRule="auto"/>
              <w:ind w:firstLine="480" w:firstLineChars="200"/>
              <w:rPr>
                <w:sz w:val="24"/>
              </w:rPr>
            </w:pPr>
            <w:r>
              <w:rPr>
                <w:kern w:val="0"/>
                <w:sz w:val="24"/>
              </w:rPr>
              <w:t>项目运营期对废气、废水、噪声、固废产生环节均提出了相应的污染防治措施，可确保各污染物稳定达标排放，</w:t>
            </w:r>
            <w:r>
              <w:rPr>
                <w:rFonts w:hint="eastAsia"/>
                <w:kern w:val="0"/>
                <w:sz w:val="24"/>
              </w:rPr>
              <w:t>项目50m范围</w:t>
            </w:r>
            <w:r>
              <w:rPr>
                <w:kern w:val="0"/>
                <w:sz w:val="24"/>
              </w:rPr>
              <w:t>内无</w:t>
            </w:r>
            <w:r>
              <w:rPr>
                <w:rFonts w:hint="eastAsia"/>
                <w:kern w:val="0"/>
                <w:sz w:val="24"/>
              </w:rPr>
              <w:t>声</w:t>
            </w:r>
            <w:r>
              <w:rPr>
                <w:kern w:val="0"/>
                <w:sz w:val="24"/>
              </w:rPr>
              <w:t>环境敏感点，最近</w:t>
            </w:r>
            <w:r>
              <w:rPr>
                <w:rFonts w:hint="eastAsia"/>
                <w:kern w:val="0"/>
                <w:sz w:val="24"/>
              </w:rPr>
              <w:t>大气</w:t>
            </w:r>
            <w:r>
              <w:rPr>
                <w:kern w:val="0"/>
                <w:sz w:val="24"/>
              </w:rPr>
              <w:t>环境</w:t>
            </w:r>
            <w:r>
              <w:rPr>
                <w:rFonts w:hint="eastAsia"/>
                <w:kern w:val="0"/>
                <w:sz w:val="24"/>
              </w:rPr>
              <w:t>敏感点</w:t>
            </w:r>
            <w:r>
              <w:rPr>
                <w:kern w:val="0"/>
                <w:sz w:val="24"/>
              </w:rPr>
              <w:t>为</w:t>
            </w:r>
            <w:r>
              <w:rPr>
                <w:rFonts w:hint="eastAsia"/>
                <w:kern w:val="0"/>
                <w:sz w:val="24"/>
              </w:rPr>
              <w:t>南侧447m渭中村</w:t>
            </w:r>
            <w:r>
              <w:rPr>
                <w:kern w:val="0"/>
                <w:sz w:val="24"/>
              </w:rPr>
              <w:t>，</w:t>
            </w:r>
            <w:r>
              <w:rPr>
                <w:rFonts w:hint="eastAsia"/>
                <w:kern w:val="0"/>
                <w:sz w:val="24"/>
              </w:rPr>
              <w:t>其中火化楼距离渭中村</w:t>
            </w:r>
            <w:r>
              <w:rPr>
                <w:kern w:val="0"/>
                <w:sz w:val="24"/>
              </w:rPr>
              <w:t>最近距离</w:t>
            </w:r>
            <w:r>
              <w:rPr>
                <w:rFonts w:hint="eastAsia"/>
                <w:kern w:val="0"/>
                <w:sz w:val="24"/>
              </w:rPr>
              <w:t>约</w:t>
            </w:r>
            <w:r>
              <w:rPr>
                <w:kern w:val="0"/>
                <w:sz w:val="24"/>
              </w:rPr>
              <w:t>为</w:t>
            </w:r>
            <w:r>
              <w:rPr>
                <w:rFonts w:hint="eastAsia"/>
                <w:kern w:val="0"/>
                <w:sz w:val="24"/>
              </w:rPr>
              <w:t>630m，项目火化炉</w:t>
            </w:r>
            <w:r>
              <w:rPr>
                <w:kern w:val="0"/>
                <w:sz w:val="24"/>
              </w:rPr>
              <w:t>、遗物焚烧炉、祭祀炉废气均</w:t>
            </w:r>
            <w:r>
              <w:rPr>
                <w:rFonts w:hint="eastAsia"/>
                <w:kern w:val="0"/>
                <w:sz w:val="24"/>
              </w:rPr>
              <w:t>经</w:t>
            </w:r>
            <w:r>
              <w:rPr>
                <w:kern w:val="0"/>
                <w:sz w:val="24"/>
              </w:rPr>
              <w:t>“</w:t>
            </w:r>
            <w:r>
              <w:rPr>
                <w:bCs/>
                <w:kern w:val="0"/>
                <w:sz w:val="24"/>
              </w:rPr>
              <w:t>二燃室—初级除尘—热交换器—旋风除尘器—除酸除硫装置—布袋除尘器—活性炭吸附器</w:t>
            </w:r>
            <w:r>
              <w:rPr>
                <w:kern w:val="0"/>
                <w:sz w:val="24"/>
              </w:rPr>
              <w:t>”处理后有组织排放，废水</w:t>
            </w:r>
            <w:r>
              <w:rPr>
                <w:rFonts w:hint="eastAsia"/>
                <w:kern w:val="0"/>
                <w:sz w:val="24"/>
              </w:rPr>
              <w:t>经</w:t>
            </w:r>
            <w:r>
              <w:rPr>
                <w:kern w:val="0"/>
                <w:sz w:val="24"/>
              </w:rPr>
              <w:t>预处理后</w:t>
            </w:r>
            <w:r>
              <w:rPr>
                <w:rFonts w:hint="eastAsia"/>
                <w:kern w:val="0"/>
                <w:sz w:val="24"/>
              </w:rPr>
              <w:t>拉运</w:t>
            </w:r>
            <w:r>
              <w:rPr>
                <w:kern w:val="0"/>
                <w:sz w:val="24"/>
              </w:rPr>
              <w:t>至周至县污水处理厂进一步处理，固废均合理处理，</w:t>
            </w:r>
            <w:r>
              <w:rPr>
                <w:rFonts w:hint="eastAsia"/>
                <w:kern w:val="0"/>
                <w:sz w:val="24"/>
              </w:rPr>
              <w:t>故</w:t>
            </w:r>
            <w:r>
              <w:rPr>
                <w:kern w:val="0"/>
                <w:sz w:val="24"/>
              </w:rPr>
              <w:t>本项目对环境</w:t>
            </w:r>
            <w:r>
              <w:rPr>
                <w:rFonts w:hint="eastAsia"/>
                <w:kern w:val="0"/>
                <w:sz w:val="24"/>
              </w:rPr>
              <w:t>和</w:t>
            </w:r>
            <w:r>
              <w:rPr>
                <w:kern w:val="0"/>
                <w:sz w:val="24"/>
              </w:rPr>
              <w:t>周边敏感点的影响较小。</w:t>
            </w:r>
          </w:p>
          <w:p>
            <w:pPr>
              <w:adjustRightInd w:val="0"/>
              <w:snapToGrid w:val="0"/>
              <w:spacing w:line="360" w:lineRule="auto"/>
              <w:ind w:firstLine="480" w:firstLineChars="200"/>
              <w:rPr>
                <w:sz w:val="24"/>
              </w:rPr>
            </w:pPr>
            <w:r>
              <w:rPr>
                <w:sz w:val="24"/>
              </w:rPr>
              <w:t>综上所述，项目选址合理。</w:t>
            </w: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tc>
      </w:tr>
    </w:tbl>
    <w:p>
      <w:pPr>
        <w:spacing w:line="360" w:lineRule="auto"/>
        <w:outlineLvl w:val="0"/>
        <w:rPr>
          <w:sz w:val="30"/>
        </w:rPr>
        <w:sectPr>
          <w:footerReference r:id="rId5" w:type="default"/>
          <w:pgSz w:w="11906" w:h="16838"/>
          <w:pgMar w:top="1701" w:right="1531" w:bottom="1701" w:left="1531" w:header="851" w:footer="1077" w:gutter="0"/>
          <w:pgNumType w:start="1"/>
          <w:cols w:space="720" w:num="1"/>
          <w:docGrid w:linePitch="312" w:charSpace="0"/>
        </w:sectPr>
      </w:pPr>
    </w:p>
    <w:p>
      <w:pPr>
        <w:pStyle w:val="14"/>
        <w:jc w:val="center"/>
        <w:outlineLvl w:val="0"/>
        <w:rPr>
          <w:rFonts w:ascii="Times New Roman" w:hAnsi="Times New Roman"/>
          <w:snapToGrid w:val="0"/>
          <w:sz w:val="30"/>
          <w:szCs w:val="30"/>
        </w:rPr>
      </w:pPr>
      <w:r>
        <w:rPr>
          <w:rFonts w:ascii="Times New Roman" w:hAnsi="Times New Roman"/>
          <w:snapToGrid w:val="0"/>
          <w:sz w:val="30"/>
          <w:szCs w:val="30"/>
        </w:rPr>
        <w:t>二、建设项目工程分析</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84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699" w:type="dxa"/>
            <w:vAlign w:val="center"/>
          </w:tcPr>
          <w:p>
            <w:pPr>
              <w:pStyle w:val="14"/>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建设内容</w:t>
            </w:r>
          </w:p>
        </w:tc>
        <w:tc>
          <w:tcPr>
            <w:tcW w:w="8125" w:type="dxa"/>
          </w:tcPr>
          <w:p>
            <w:pPr>
              <w:kinsoku w:val="0"/>
              <w:overflowPunct w:val="0"/>
              <w:autoSpaceDE w:val="0"/>
              <w:autoSpaceDN w:val="0"/>
              <w:adjustRightInd w:val="0"/>
              <w:snapToGrid w:val="0"/>
              <w:spacing w:line="360" w:lineRule="auto"/>
              <w:ind w:firstLine="482" w:firstLineChars="200"/>
              <w:rPr>
                <w:b/>
                <w:sz w:val="24"/>
              </w:rPr>
            </w:pPr>
            <w:bookmarkStart w:id="2" w:name="_Hlk39759777"/>
            <w:r>
              <w:rPr>
                <w:b/>
                <w:sz w:val="24"/>
              </w:rPr>
              <w:t>1、</w:t>
            </w:r>
            <w:r>
              <w:rPr>
                <w:rFonts w:hint="eastAsia"/>
                <w:b/>
                <w:sz w:val="24"/>
              </w:rPr>
              <w:t>项目</w:t>
            </w:r>
            <w:r>
              <w:rPr>
                <w:b/>
                <w:sz w:val="24"/>
              </w:rPr>
              <w:t>由来</w:t>
            </w:r>
          </w:p>
          <w:p>
            <w:pPr>
              <w:adjustRightInd w:val="0"/>
              <w:snapToGrid w:val="0"/>
              <w:spacing w:line="360" w:lineRule="auto"/>
              <w:ind w:firstLine="480" w:firstLineChars="200"/>
              <w:rPr>
                <w:sz w:val="24"/>
              </w:rPr>
            </w:pPr>
            <w:r>
              <w:rPr>
                <w:rFonts w:hint="eastAsia"/>
                <w:sz w:val="24"/>
              </w:rPr>
              <w:t>依据《西安市</w:t>
            </w:r>
            <w:r>
              <w:rPr>
                <w:sz w:val="24"/>
              </w:rPr>
              <w:t>“</w:t>
            </w:r>
            <w:r>
              <w:rPr>
                <w:rFonts w:hint="eastAsia"/>
                <w:sz w:val="24"/>
              </w:rPr>
              <w:t>十四五</w:t>
            </w:r>
            <w:r>
              <w:rPr>
                <w:sz w:val="24"/>
              </w:rPr>
              <w:t>”</w:t>
            </w:r>
            <w:r>
              <w:rPr>
                <w:rFonts w:hint="eastAsia"/>
                <w:sz w:val="24"/>
              </w:rPr>
              <w:t>民政</w:t>
            </w:r>
            <w:r>
              <w:rPr>
                <w:sz w:val="24"/>
              </w:rPr>
              <w:t>事业发展规划</w:t>
            </w:r>
            <w:r>
              <w:rPr>
                <w:rFonts w:hint="eastAsia"/>
                <w:sz w:val="24"/>
              </w:rPr>
              <w:t>》，</w:t>
            </w:r>
            <w:r>
              <w:rPr>
                <w:sz w:val="24"/>
              </w:rPr>
              <w:t>加快殡葬服务设施建设，合理规划布局建设蓝田和周至两县级殡仪馆及新城区、碑林区、莲湖区、雁塔区、未央区、灞桥区、长安区、临潼区、蓝田县、周至县公益性公墓（骨灰堂），实现城乡公益性公墓（骨灰堂）建设全覆盖。协调解决建设用地，落实建设资金，建立多渠道筹资机制。明确省、市、区财政投入分担比例。加快建设进度，充分保障人民群众的基本殡葬需求。</w:t>
            </w:r>
            <w:r>
              <w:rPr>
                <w:rFonts w:hint="eastAsia"/>
                <w:sz w:val="24"/>
              </w:rPr>
              <w:t>依据</w:t>
            </w:r>
            <w:r>
              <w:rPr>
                <w:sz w:val="24"/>
              </w:rPr>
              <w:t>《周至县国民经济和社会发展第十四个五年规划和二〇三五年远景目标纲要》全面推进殡葬改革，加快殡仪馆（公墓）建设，建立基本殡葬服务保障制度</w:t>
            </w:r>
            <w:r>
              <w:rPr>
                <w:rFonts w:hint="eastAsia"/>
                <w:sz w:val="24"/>
              </w:rPr>
              <w:t>，社会</w:t>
            </w:r>
            <w:r>
              <w:rPr>
                <w:sz w:val="24"/>
              </w:rPr>
              <w:t>事业民生保障项目中社会保障</w:t>
            </w:r>
            <w:r>
              <w:rPr>
                <w:rFonts w:hint="eastAsia"/>
                <w:sz w:val="24"/>
              </w:rPr>
              <w:t>包括：</w:t>
            </w:r>
            <w:r>
              <w:rPr>
                <w:sz w:val="24"/>
              </w:rPr>
              <w:t>周至县殡仪馆项目</w:t>
            </w:r>
            <w:r>
              <w:rPr>
                <w:rFonts w:hint="eastAsia"/>
                <w:sz w:val="24"/>
              </w:rPr>
              <w:t>等</w:t>
            </w:r>
            <w:r>
              <w:rPr>
                <w:sz w:val="24"/>
              </w:rPr>
              <w:t>。</w:t>
            </w:r>
            <w:r>
              <w:rPr>
                <w:rFonts w:hint="eastAsia"/>
                <w:sz w:val="24"/>
              </w:rPr>
              <w:t>依据西安市</w:t>
            </w:r>
            <w:r>
              <w:rPr>
                <w:sz w:val="24"/>
              </w:rPr>
              <w:t>民政府</w:t>
            </w:r>
            <w:r>
              <w:rPr>
                <w:rFonts w:hint="eastAsia"/>
                <w:sz w:val="24"/>
              </w:rPr>
              <w:t>《关于</w:t>
            </w:r>
            <w:r>
              <w:rPr>
                <w:sz w:val="24"/>
              </w:rPr>
              <w:t>持续深化</w:t>
            </w:r>
            <w:r>
              <w:rPr>
                <w:rFonts w:hint="eastAsia"/>
                <w:sz w:val="24"/>
              </w:rPr>
              <w:t>殡葬</w:t>
            </w:r>
            <w:r>
              <w:rPr>
                <w:sz w:val="24"/>
              </w:rPr>
              <w:t>改革</w:t>
            </w:r>
            <w:r>
              <w:rPr>
                <w:rFonts w:hint="eastAsia"/>
                <w:sz w:val="24"/>
              </w:rPr>
              <w:t>全面</w:t>
            </w:r>
            <w:r>
              <w:rPr>
                <w:sz w:val="24"/>
              </w:rPr>
              <w:t>加强规范殡葬机构运营和服务管理的通知</w:t>
            </w:r>
            <w:r>
              <w:rPr>
                <w:rFonts w:hint="eastAsia"/>
                <w:sz w:val="24"/>
              </w:rPr>
              <w:t>》（2023年2月23日），</w:t>
            </w:r>
            <w:r>
              <w:rPr>
                <w:sz w:val="24"/>
              </w:rPr>
              <w:t>周至县民政局要重点督促周至殡仪馆加快项目建设进度，全力保障项目扎实落地，填补我市西南方向无殡仪馆设施的空白，合理我市殡葬服务设施布局</w:t>
            </w:r>
            <w:r>
              <w:rPr>
                <w:rFonts w:hint="eastAsia"/>
                <w:sz w:val="24"/>
              </w:rPr>
              <w:t>。依据《周至县</w:t>
            </w:r>
            <w:r>
              <w:rPr>
                <w:sz w:val="24"/>
              </w:rPr>
              <w:t>人民政府专项问题会议纪要</w:t>
            </w:r>
            <w:r>
              <w:rPr>
                <w:rFonts w:hint="eastAsia"/>
                <w:sz w:val="24"/>
              </w:rPr>
              <w:t>》（周至县</w:t>
            </w:r>
            <w:r>
              <w:rPr>
                <w:sz w:val="24"/>
              </w:rPr>
              <w:t>人民政府办公室，</w:t>
            </w:r>
            <w:r>
              <w:rPr>
                <w:rFonts w:hint="eastAsia"/>
                <w:sz w:val="24"/>
              </w:rPr>
              <w:t>2023年2月10日）优化周至县</w:t>
            </w:r>
            <w:r>
              <w:rPr>
                <w:sz w:val="24"/>
              </w:rPr>
              <w:t>殡仪馆项目，高标准规划，高标准建设殡仪馆是落实民政事业</w:t>
            </w:r>
            <w:r>
              <w:rPr>
                <w:rFonts w:hint="eastAsia"/>
                <w:sz w:val="24"/>
              </w:rPr>
              <w:t>“十四五”规划、</w:t>
            </w:r>
            <w:r>
              <w:rPr>
                <w:sz w:val="24"/>
              </w:rPr>
              <w:t>推动殡葬改革的有力举措，</w:t>
            </w:r>
            <w:r>
              <w:rPr>
                <w:rFonts w:hint="eastAsia"/>
                <w:sz w:val="24"/>
              </w:rPr>
              <w:t>是进一步</w:t>
            </w:r>
            <w:r>
              <w:rPr>
                <w:sz w:val="24"/>
              </w:rPr>
              <w:t>满足人民群众殡葬服务需求的政策提现，合理规划布局建设殡仪馆项目势在必行。</w:t>
            </w:r>
            <w:r>
              <w:rPr>
                <w:rFonts w:hint="eastAsia"/>
                <w:sz w:val="24"/>
              </w:rPr>
              <w:t>依据</w:t>
            </w:r>
            <w:r>
              <w:rPr>
                <w:sz w:val="24"/>
              </w:rPr>
              <w:t>《</w:t>
            </w:r>
            <w:r>
              <w:rPr>
                <w:rFonts w:hint="eastAsia"/>
                <w:sz w:val="24"/>
              </w:rPr>
              <w:t>周至县</w:t>
            </w:r>
            <w:r>
              <w:rPr>
                <w:sz w:val="24"/>
              </w:rPr>
              <w:t>人民政府专项问题会议纪要》（</w:t>
            </w:r>
            <w:r>
              <w:rPr>
                <w:rFonts w:hint="eastAsia"/>
                <w:sz w:val="24"/>
              </w:rPr>
              <w:t>周至县</w:t>
            </w:r>
            <w:r>
              <w:rPr>
                <w:sz w:val="24"/>
              </w:rPr>
              <w:t>人民政府办公室，</w:t>
            </w:r>
            <w:bookmarkStart w:id="5" w:name="_GoBack"/>
            <w:bookmarkEnd w:id="5"/>
            <w:r>
              <w:rPr>
                <w:rFonts w:hint="eastAsia"/>
                <w:sz w:val="24"/>
              </w:rPr>
              <w:t>2023年4月14日</w:t>
            </w:r>
            <w:r>
              <w:rPr>
                <w:sz w:val="24"/>
              </w:rPr>
              <w:t>）</w:t>
            </w:r>
            <w:r>
              <w:rPr>
                <w:rFonts w:hint="eastAsia"/>
                <w:sz w:val="24"/>
              </w:rPr>
              <w:t>，会议</w:t>
            </w:r>
            <w:r>
              <w:rPr>
                <w:sz w:val="24"/>
              </w:rPr>
              <w:t>指出，殡仪馆项目是周至县</w:t>
            </w:r>
            <w:r>
              <w:rPr>
                <w:rFonts w:hint="eastAsia"/>
                <w:sz w:val="24"/>
              </w:rPr>
              <w:t>重要</w:t>
            </w:r>
            <w:r>
              <w:rPr>
                <w:sz w:val="24"/>
              </w:rPr>
              <w:t>的公益性项目之一</w:t>
            </w:r>
            <w:r>
              <w:rPr>
                <w:rFonts w:hint="eastAsia"/>
                <w:sz w:val="24"/>
              </w:rPr>
              <w:t>。</w:t>
            </w:r>
            <w:r>
              <w:rPr>
                <w:sz w:val="24"/>
              </w:rPr>
              <w:t>依据</w:t>
            </w:r>
            <w:r>
              <w:rPr>
                <w:rFonts w:hint="eastAsia"/>
                <w:sz w:val="24"/>
              </w:rPr>
              <w:t>《周至县</w:t>
            </w:r>
            <w:r>
              <w:rPr>
                <w:sz w:val="24"/>
              </w:rPr>
              <w:t>人民政府专项问题会议纪要</w:t>
            </w:r>
            <w:r>
              <w:rPr>
                <w:rFonts w:hint="eastAsia"/>
                <w:sz w:val="24"/>
              </w:rPr>
              <w:t>》（周至县</w:t>
            </w:r>
            <w:r>
              <w:rPr>
                <w:sz w:val="24"/>
              </w:rPr>
              <w:t>人民政府办公室，</w:t>
            </w:r>
            <w:r>
              <w:rPr>
                <w:rFonts w:hint="eastAsia"/>
                <w:sz w:val="24"/>
              </w:rPr>
              <w:t>2023年7月27日），会议</w:t>
            </w:r>
            <w:r>
              <w:rPr>
                <w:sz w:val="24"/>
              </w:rPr>
              <w:t>指出，殡仪馆</w:t>
            </w:r>
            <w:r>
              <w:rPr>
                <w:rFonts w:hint="eastAsia"/>
                <w:sz w:val="24"/>
              </w:rPr>
              <w:t>项目</w:t>
            </w:r>
            <w:r>
              <w:rPr>
                <w:sz w:val="24"/>
              </w:rPr>
              <w:t>建设对深化殡葬改革意义重大。</w:t>
            </w:r>
          </w:p>
          <w:p>
            <w:pPr>
              <w:kinsoku w:val="0"/>
              <w:overflowPunct w:val="0"/>
              <w:autoSpaceDE w:val="0"/>
              <w:autoSpaceDN w:val="0"/>
              <w:adjustRightInd w:val="0"/>
              <w:snapToGrid w:val="0"/>
              <w:spacing w:line="360" w:lineRule="auto"/>
              <w:ind w:firstLine="480" w:firstLineChars="200"/>
              <w:rPr>
                <w:b/>
                <w:sz w:val="24"/>
              </w:rPr>
            </w:pPr>
            <w:r>
              <w:rPr>
                <w:sz w:val="24"/>
              </w:rPr>
              <w:t>在此背景下，周至县民政局拟投资8113.33万元，建设周至县殡仪馆建设项目，项目分两期建设，一期工程主要建设火化楼、骨灰楼；二期工程主要建设悼念厅、综合楼、公共卫生间</w:t>
            </w:r>
            <w:r>
              <w:rPr>
                <w:rFonts w:hint="eastAsia"/>
                <w:sz w:val="24"/>
              </w:rPr>
              <w:t>等</w:t>
            </w:r>
            <w:r>
              <w:rPr>
                <w:sz w:val="24"/>
              </w:rPr>
              <w:t>。</w:t>
            </w:r>
          </w:p>
          <w:p>
            <w:pPr>
              <w:kinsoku w:val="0"/>
              <w:overflowPunct w:val="0"/>
              <w:autoSpaceDE w:val="0"/>
              <w:autoSpaceDN w:val="0"/>
              <w:adjustRightInd w:val="0"/>
              <w:snapToGrid w:val="0"/>
              <w:spacing w:line="360" w:lineRule="auto"/>
              <w:ind w:firstLine="482" w:firstLineChars="200"/>
              <w:rPr>
                <w:b/>
                <w:sz w:val="24"/>
              </w:rPr>
            </w:pPr>
            <w:r>
              <w:rPr>
                <w:rFonts w:hint="eastAsia"/>
                <w:b/>
                <w:sz w:val="24"/>
              </w:rPr>
              <w:t>2、</w:t>
            </w:r>
            <w:r>
              <w:rPr>
                <w:b/>
                <w:sz w:val="24"/>
              </w:rPr>
              <w:t>项目组成与建设内容</w:t>
            </w:r>
          </w:p>
          <w:p>
            <w:pPr>
              <w:kinsoku w:val="0"/>
              <w:overflowPunct w:val="0"/>
              <w:autoSpaceDE w:val="0"/>
              <w:autoSpaceDN w:val="0"/>
              <w:adjustRightInd w:val="0"/>
              <w:snapToGrid w:val="0"/>
              <w:spacing w:line="360" w:lineRule="auto"/>
              <w:ind w:firstLine="480" w:firstLineChars="200"/>
              <w:rPr>
                <w:sz w:val="24"/>
              </w:rPr>
            </w:pPr>
            <w:r>
              <w:rPr>
                <w:sz w:val="24"/>
              </w:rPr>
              <w:t>本项目位于陕西省西安市周至县，项目规划总用地面积39394.94m</w:t>
            </w:r>
            <w:r>
              <w:rPr>
                <w:sz w:val="24"/>
                <w:vertAlign w:val="superscript"/>
              </w:rPr>
              <w:t>2</w:t>
            </w:r>
            <w:r>
              <w:rPr>
                <w:sz w:val="24"/>
              </w:rPr>
              <w:t>（约59.10亩）。项目分两期建设，一期工程主要建设火化楼、骨灰楼；二期工程主要建设悼念厅、综合楼、公共卫生间</w:t>
            </w:r>
            <w:r>
              <w:rPr>
                <w:rFonts w:hint="eastAsia"/>
                <w:sz w:val="24"/>
              </w:rPr>
              <w:t>等</w:t>
            </w:r>
            <w:r>
              <w:rPr>
                <w:sz w:val="24"/>
              </w:rPr>
              <w:t>。</w:t>
            </w:r>
          </w:p>
          <w:p>
            <w:pPr>
              <w:kinsoku w:val="0"/>
              <w:overflowPunct w:val="0"/>
              <w:autoSpaceDE w:val="0"/>
              <w:autoSpaceDN w:val="0"/>
              <w:adjustRightInd w:val="0"/>
              <w:snapToGrid w:val="0"/>
              <w:spacing w:line="360" w:lineRule="auto"/>
              <w:ind w:firstLine="480" w:firstLineChars="200"/>
              <w:rPr>
                <w:sz w:val="24"/>
              </w:rPr>
            </w:pPr>
            <w:r>
              <w:rPr>
                <w:sz w:val="24"/>
              </w:rPr>
              <w:t>项目实施后，最高殡殓服务能力可达10000具/年。工程组成见表2-1。</w:t>
            </w:r>
          </w:p>
          <w:p>
            <w:pPr>
              <w:jc w:val="center"/>
              <w:outlineLvl w:val="1"/>
              <w:rPr>
                <w:b/>
                <w:kern w:val="0"/>
                <w:sz w:val="24"/>
              </w:rPr>
            </w:pPr>
            <w:r>
              <w:rPr>
                <w:b/>
                <w:kern w:val="0"/>
                <w:sz w:val="24"/>
              </w:rPr>
              <w:t>表2-1  项目组成一览表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695"/>
              <w:gridCol w:w="1352"/>
              <w:gridCol w:w="5214"/>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Align w:val="center"/>
                </w:tcPr>
                <w:p>
                  <w:pPr>
                    <w:pStyle w:val="40"/>
                    <w:snapToGrid w:val="0"/>
                    <w:spacing w:line="240" w:lineRule="auto"/>
                    <w:textAlignment w:val="auto"/>
                    <w:rPr>
                      <w:rFonts w:ascii="Times New Roman" w:hAnsi="Times New Roman"/>
                      <w:b/>
                      <w:szCs w:val="21"/>
                    </w:rPr>
                  </w:pPr>
                  <w:r>
                    <w:rPr>
                      <w:rFonts w:ascii="Times New Roman" w:hAnsi="Times New Roman"/>
                      <w:b/>
                      <w:szCs w:val="21"/>
                    </w:rPr>
                    <w:t>工程名称</w:t>
                  </w:r>
                </w:p>
              </w:tc>
              <w:tc>
                <w:tcPr>
                  <w:tcW w:w="1346" w:type="dxa"/>
                  <w:vAlign w:val="center"/>
                </w:tcPr>
                <w:p>
                  <w:pPr>
                    <w:pStyle w:val="40"/>
                    <w:snapToGrid w:val="0"/>
                    <w:spacing w:line="240" w:lineRule="auto"/>
                    <w:textAlignment w:val="auto"/>
                    <w:rPr>
                      <w:rFonts w:ascii="Times New Roman" w:hAnsi="Times New Roman"/>
                      <w:b/>
                      <w:szCs w:val="21"/>
                    </w:rPr>
                  </w:pPr>
                  <w:r>
                    <w:rPr>
                      <w:rFonts w:ascii="Times New Roman" w:hAnsi="Times New Roman"/>
                      <w:b/>
                      <w:szCs w:val="21"/>
                    </w:rPr>
                    <w:t>项目名称</w:t>
                  </w:r>
                </w:p>
              </w:tc>
              <w:tc>
                <w:tcPr>
                  <w:tcW w:w="5189" w:type="dxa"/>
                  <w:vAlign w:val="center"/>
                </w:tcPr>
                <w:p>
                  <w:pPr>
                    <w:pStyle w:val="40"/>
                    <w:snapToGrid w:val="0"/>
                    <w:spacing w:line="240" w:lineRule="auto"/>
                    <w:textAlignment w:val="auto"/>
                    <w:rPr>
                      <w:rFonts w:ascii="Times New Roman" w:hAnsi="Times New Roman"/>
                      <w:b/>
                      <w:szCs w:val="21"/>
                    </w:rPr>
                  </w:pPr>
                  <w:r>
                    <w:rPr>
                      <w:rFonts w:ascii="Times New Roman" w:hAnsi="Times New Roman"/>
                      <w:b/>
                      <w:szCs w:val="21"/>
                    </w:rPr>
                    <w:t>项目内容</w:t>
                  </w:r>
                </w:p>
              </w:tc>
              <w:tc>
                <w:tcPr>
                  <w:tcW w:w="916" w:type="dxa"/>
                  <w:vAlign w:val="center"/>
                </w:tcPr>
                <w:p>
                  <w:pPr>
                    <w:pStyle w:val="40"/>
                    <w:snapToGrid w:val="0"/>
                    <w:spacing w:line="240" w:lineRule="auto"/>
                    <w:textAlignment w:val="auto"/>
                    <w:rPr>
                      <w:rFonts w:ascii="Times New Roman" w:hAnsi="Times New Roman"/>
                      <w:b/>
                      <w:szCs w:val="21"/>
                    </w:rPr>
                  </w:pPr>
                  <w:r>
                    <w:rPr>
                      <w:rFonts w:ascii="Times New Roman" w:hAnsi="Times New Roman"/>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restart"/>
                  <w:vAlign w:val="center"/>
                </w:tcPr>
                <w:p>
                  <w:pPr>
                    <w:pStyle w:val="40"/>
                    <w:snapToGrid w:val="0"/>
                    <w:spacing w:line="240" w:lineRule="auto"/>
                    <w:textAlignment w:val="auto"/>
                    <w:rPr>
                      <w:rFonts w:ascii="Times New Roman" w:hAnsi="Times New Roman"/>
                      <w:bCs/>
                      <w:szCs w:val="21"/>
                    </w:rPr>
                  </w:pPr>
                  <w:r>
                    <w:rPr>
                      <w:rFonts w:ascii="Times New Roman" w:hAnsi="Times New Roman"/>
                      <w:bCs/>
                      <w:szCs w:val="21"/>
                    </w:rPr>
                    <w:t>主体工程</w:t>
                  </w:r>
                </w:p>
              </w:tc>
              <w:tc>
                <w:tcPr>
                  <w:tcW w:w="1346" w:type="dxa"/>
                  <w:vAlign w:val="center"/>
                </w:tcPr>
                <w:p>
                  <w:pPr>
                    <w:pStyle w:val="40"/>
                    <w:snapToGrid w:val="0"/>
                    <w:spacing w:line="240" w:lineRule="auto"/>
                    <w:textAlignment w:val="auto"/>
                    <w:rPr>
                      <w:rFonts w:ascii="Times New Roman" w:hAnsi="Times New Roman"/>
                      <w:bCs/>
                      <w:szCs w:val="21"/>
                    </w:rPr>
                  </w:pPr>
                  <w:r>
                    <w:rPr>
                      <w:rFonts w:ascii="Times New Roman" w:hAnsi="Times New Roman"/>
                      <w:bCs/>
                      <w:szCs w:val="21"/>
                    </w:rPr>
                    <w:t>火化楼</w:t>
                  </w:r>
                </w:p>
              </w:tc>
              <w:tc>
                <w:tcPr>
                  <w:tcW w:w="5189" w:type="dxa"/>
                  <w:vAlign w:val="center"/>
                </w:tcPr>
                <w:p>
                  <w:pPr>
                    <w:pStyle w:val="40"/>
                    <w:snapToGrid w:val="0"/>
                    <w:spacing w:line="240" w:lineRule="auto"/>
                    <w:jc w:val="both"/>
                    <w:textAlignment w:val="auto"/>
                    <w:rPr>
                      <w:rFonts w:ascii="Times New Roman" w:hAnsi="Times New Roman"/>
                      <w:bCs/>
                      <w:szCs w:val="21"/>
                    </w:rPr>
                  </w:pPr>
                  <w:r>
                    <w:rPr>
                      <w:rFonts w:ascii="Times New Roman" w:hAnsi="Times New Roman"/>
                    </w:rPr>
                    <w:t>建筑面积2910.80m</w:t>
                  </w:r>
                  <w:r>
                    <w:rPr>
                      <w:rFonts w:ascii="Times New Roman" w:hAnsi="Times New Roman"/>
                      <w:vertAlign w:val="superscript"/>
                    </w:rPr>
                    <w:t>2</w:t>
                  </w:r>
                  <w:r>
                    <w:rPr>
                      <w:rFonts w:ascii="Times New Roman" w:hAnsi="Times New Roman"/>
                    </w:rPr>
                    <w:t>，主要包括殡仪车库、殡仪车消洗室、消毒室、防腐室、整容室、遗体接收间、冷藏室、解剖室、污水处理间和火化区，设置10台焚尸炉。</w:t>
                  </w:r>
                </w:p>
              </w:tc>
              <w:tc>
                <w:tcPr>
                  <w:tcW w:w="916" w:type="dxa"/>
                  <w:vAlign w:val="center"/>
                </w:tcPr>
                <w:p>
                  <w:pPr>
                    <w:pStyle w:val="40"/>
                    <w:snapToGrid w:val="0"/>
                    <w:spacing w:line="240" w:lineRule="auto"/>
                    <w:textAlignment w:val="auto"/>
                    <w:rPr>
                      <w:rFonts w:ascii="Times New Roman" w:hAnsi="Times New Roman"/>
                      <w:bCs/>
                      <w:szCs w:val="21"/>
                    </w:rPr>
                  </w:pPr>
                  <w:r>
                    <w:rPr>
                      <w:rFonts w:ascii="Times New Roman" w:hAnsi="Times New Roman"/>
                      <w:bCs/>
                      <w:szCs w:val="21"/>
                    </w:rPr>
                    <w:t>一期</w:t>
                  </w:r>
                  <w:r>
                    <w:rPr>
                      <w:rFonts w:hint="eastAsia" w:ascii="Times New Roman" w:hAnsi="Times New Roman"/>
                      <w:bCs/>
                      <w:szCs w:val="21"/>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pStyle w:val="40"/>
                    <w:snapToGrid w:val="0"/>
                    <w:spacing w:line="240" w:lineRule="auto"/>
                    <w:textAlignment w:val="auto"/>
                    <w:rPr>
                      <w:rFonts w:ascii="Times New Roman" w:hAnsi="Times New Roman"/>
                      <w:bCs/>
                      <w:szCs w:val="21"/>
                    </w:rPr>
                  </w:pPr>
                </w:p>
              </w:tc>
              <w:tc>
                <w:tcPr>
                  <w:tcW w:w="1346" w:type="dxa"/>
                  <w:vAlign w:val="center"/>
                </w:tcPr>
                <w:p>
                  <w:pPr>
                    <w:pStyle w:val="40"/>
                    <w:snapToGrid w:val="0"/>
                    <w:spacing w:line="240" w:lineRule="auto"/>
                    <w:textAlignment w:val="auto"/>
                    <w:rPr>
                      <w:rFonts w:ascii="Times New Roman" w:hAnsi="Times New Roman"/>
                      <w:bCs/>
                      <w:szCs w:val="21"/>
                    </w:rPr>
                  </w:pPr>
                  <w:r>
                    <w:rPr>
                      <w:rFonts w:ascii="Times New Roman" w:hAnsi="Times New Roman"/>
                    </w:rPr>
                    <w:t>骨灰楼</w:t>
                  </w:r>
                </w:p>
              </w:tc>
              <w:tc>
                <w:tcPr>
                  <w:tcW w:w="5189" w:type="dxa"/>
                  <w:vAlign w:val="center"/>
                </w:tcPr>
                <w:p>
                  <w:pPr>
                    <w:adjustRightInd w:val="0"/>
                    <w:snapToGrid w:val="0"/>
                  </w:pPr>
                  <w:r>
                    <w:t>建筑面积3617.30m</w:t>
                  </w:r>
                  <w:r>
                    <w:rPr>
                      <w:vertAlign w:val="superscript"/>
                    </w:rPr>
                    <w:t>2</w:t>
                  </w:r>
                  <w:r>
                    <w:t>，三层；一层主要为骨灰寄存室、管理间、业务办理办公室和中庭投影区；二层主要为祭祀区、骨灰寄存室和管理间；三层主要为祭祀区、骨灰寄存室和管理间；</w:t>
                  </w:r>
                </w:p>
                <w:p>
                  <w:pPr>
                    <w:adjustRightInd w:val="0"/>
                    <w:snapToGrid w:val="0"/>
                    <w:rPr>
                      <w:bCs/>
                      <w:szCs w:val="21"/>
                    </w:rPr>
                  </w:pPr>
                  <w:r>
                    <w:t>主要包括骨灰寄存区、祭奠区。</w:t>
                  </w:r>
                </w:p>
              </w:tc>
              <w:tc>
                <w:tcPr>
                  <w:tcW w:w="916" w:type="dxa"/>
                  <w:vAlign w:val="center"/>
                </w:tcPr>
                <w:p>
                  <w:pPr>
                    <w:adjustRightInd w:val="0"/>
                    <w:snapToGrid w:val="0"/>
                    <w:jc w:val="center"/>
                    <w:rPr>
                      <w:bCs/>
                      <w:szCs w:val="21"/>
                    </w:rPr>
                  </w:pPr>
                  <w:r>
                    <w:rPr>
                      <w:bCs/>
                      <w:szCs w:val="21"/>
                    </w:rPr>
                    <w:t>一期</w:t>
                  </w:r>
                  <w:r>
                    <w:rPr>
                      <w:rFonts w:hint="eastAsia"/>
                      <w:bCs/>
                      <w:szCs w:val="21"/>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pStyle w:val="40"/>
                    <w:snapToGrid w:val="0"/>
                    <w:spacing w:line="240" w:lineRule="auto"/>
                    <w:textAlignment w:val="auto"/>
                    <w:rPr>
                      <w:rFonts w:ascii="Times New Roman" w:hAnsi="Times New Roman"/>
                      <w:bCs/>
                      <w:szCs w:val="21"/>
                    </w:rPr>
                  </w:pPr>
                </w:p>
              </w:tc>
              <w:tc>
                <w:tcPr>
                  <w:tcW w:w="1346" w:type="dxa"/>
                  <w:vAlign w:val="center"/>
                </w:tcPr>
                <w:p>
                  <w:pPr>
                    <w:pStyle w:val="40"/>
                    <w:snapToGrid w:val="0"/>
                    <w:spacing w:line="240" w:lineRule="auto"/>
                    <w:textAlignment w:val="auto"/>
                    <w:rPr>
                      <w:rFonts w:ascii="Times New Roman" w:hAnsi="Times New Roman"/>
                      <w:bCs/>
                      <w:szCs w:val="21"/>
                    </w:rPr>
                  </w:pPr>
                  <w:r>
                    <w:rPr>
                      <w:rFonts w:ascii="Times New Roman" w:hAnsi="Times New Roman"/>
                    </w:rPr>
                    <w:t>殡仪馆（悼念厅）</w:t>
                  </w:r>
                </w:p>
              </w:tc>
              <w:tc>
                <w:tcPr>
                  <w:tcW w:w="5189" w:type="dxa"/>
                  <w:vAlign w:val="center"/>
                </w:tcPr>
                <w:p>
                  <w:pPr>
                    <w:adjustRightInd w:val="0"/>
                    <w:snapToGrid w:val="0"/>
                    <w:rPr>
                      <w:bCs/>
                      <w:szCs w:val="21"/>
                    </w:rPr>
                  </w:pPr>
                  <w:r>
                    <w:t>建筑面积3003.98m</w:t>
                  </w:r>
                  <w:r>
                    <w:rPr>
                      <w:vertAlign w:val="superscript"/>
                    </w:rPr>
                    <w:t>2</w:t>
                  </w:r>
                  <w:r>
                    <w:t>，一层，包括祭祀区。</w:t>
                  </w:r>
                </w:p>
              </w:tc>
              <w:tc>
                <w:tcPr>
                  <w:tcW w:w="916" w:type="dxa"/>
                  <w:vAlign w:val="center"/>
                </w:tcPr>
                <w:p>
                  <w:pPr>
                    <w:adjustRightInd w:val="0"/>
                    <w:snapToGrid w:val="0"/>
                    <w:jc w:val="center"/>
                    <w:rPr>
                      <w:bCs/>
                      <w:szCs w:val="21"/>
                    </w:rPr>
                  </w:pPr>
                  <w:r>
                    <w:rPr>
                      <w:bCs/>
                      <w:szCs w:val="21"/>
                    </w:rPr>
                    <w:t>二期</w:t>
                  </w:r>
                  <w:r>
                    <w:rPr>
                      <w:rFonts w:hint="eastAsia"/>
                      <w:bCs/>
                      <w:szCs w:val="21"/>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restart"/>
                  <w:vAlign w:val="center"/>
                </w:tcPr>
                <w:p>
                  <w:pPr>
                    <w:pStyle w:val="40"/>
                    <w:snapToGrid w:val="0"/>
                    <w:spacing w:line="240" w:lineRule="auto"/>
                    <w:textAlignment w:val="auto"/>
                    <w:rPr>
                      <w:rFonts w:ascii="Times New Roman" w:hAnsi="Times New Roman"/>
                      <w:bCs/>
                      <w:szCs w:val="21"/>
                    </w:rPr>
                  </w:pPr>
                  <w:r>
                    <w:rPr>
                      <w:rFonts w:ascii="Times New Roman" w:hAnsi="Times New Roman"/>
                      <w:bCs/>
                      <w:szCs w:val="21"/>
                    </w:rPr>
                    <w:t>辅助</w:t>
                  </w:r>
                </w:p>
                <w:p>
                  <w:pPr>
                    <w:pStyle w:val="40"/>
                    <w:snapToGrid w:val="0"/>
                    <w:spacing w:line="240" w:lineRule="auto"/>
                    <w:textAlignment w:val="auto"/>
                    <w:rPr>
                      <w:rFonts w:ascii="Times New Roman" w:hAnsi="Times New Roman"/>
                      <w:bCs/>
                      <w:szCs w:val="21"/>
                    </w:rPr>
                  </w:pPr>
                  <w:r>
                    <w:rPr>
                      <w:rFonts w:ascii="Times New Roman" w:hAnsi="Times New Roman"/>
                      <w:bCs/>
                      <w:szCs w:val="21"/>
                    </w:rPr>
                    <w:t>工程</w:t>
                  </w:r>
                </w:p>
              </w:tc>
              <w:tc>
                <w:tcPr>
                  <w:tcW w:w="1346" w:type="dxa"/>
                  <w:vAlign w:val="center"/>
                </w:tcPr>
                <w:p>
                  <w:pPr>
                    <w:pStyle w:val="40"/>
                    <w:snapToGrid w:val="0"/>
                    <w:spacing w:line="240" w:lineRule="auto"/>
                    <w:textAlignment w:val="auto"/>
                    <w:rPr>
                      <w:rFonts w:ascii="Times New Roman" w:hAnsi="Times New Roman"/>
                    </w:rPr>
                  </w:pPr>
                  <w:r>
                    <w:rPr>
                      <w:rFonts w:ascii="Times New Roman" w:hAnsi="Times New Roman"/>
                    </w:rPr>
                    <w:t>综合楼</w:t>
                  </w:r>
                </w:p>
              </w:tc>
              <w:tc>
                <w:tcPr>
                  <w:tcW w:w="5189" w:type="dxa"/>
                  <w:vAlign w:val="center"/>
                </w:tcPr>
                <w:p>
                  <w:pPr>
                    <w:adjustRightInd w:val="0"/>
                    <w:snapToGrid w:val="0"/>
                  </w:pPr>
                  <w:r>
                    <w:t>建筑面积4094.6m</w:t>
                  </w:r>
                  <w:r>
                    <w:rPr>
                      <w:vertAlign w:val="superscript"/>
                    </w:rPr>
                    <w:t>2</w:t>
                  </w:r>
                  <w:r>
                    <w:t>，其中地上三层3375.9m</w:t>
                  </w:r>
                  <w:r>
                    <w:rPr>
                      <w:vertAlign w:val="superscript"/>
                    </w:rPr>
                    <w:t>2</w:t>
                  </w:r>
                  <w:r>
                    <w:t>，地下一层715.70m</w:t>
                  </w:r>
                  <w:r>
                    <w:rPr>
                      <w:vertAlign w:val="superscript"/>
                    </w:rPr>
                    <w:t>2</w:t>
                  </w:r>
                  <w:r>
                    <w:t>。一层主要为殡葬文化展厅、值班/监控室、业务办理大厅、管理室、餐厅厨房、库房、消防控制室；二层主要为多功能厅、档案室、办公室、储藏间、活动室、会议室；三层主要为员工值班宿舍、储藏间、洗衣房；地下一层主要为备用柴油发电机房、储藏室、配电室、消防水泵房和消防水池、排烟机房。</w:t>
                  </w:r>
                </w:p>
              </w:tc>
              <w:tc>
                <w:tcPr>
                  <w:tcW w:w="916" w:type="dxa"/>
                  <w:vAlign w:val="center"/>
                </w:tcPr>
                <w:p>
                  <w:pPr>
                    <w:adjustRightInd w:val="0"/>
                    <w:snapToGrid w:val="0"/>
                    <w:jc w:val="center"/>
                    <w:rPr>
                      <w:bCs/>
                      <w:szCs w:val="21"/>
                    </w:rPr>
                  </w:pPr>
                  <w:r>
                    <w:rPr>
                      <w:bCs/>
                      <w:szCs w:val="21"/>
                    </w:rPr>
                    <w:t>二期</w:t>
                  </w:r>
                  <w:r>
                    <w:rPr>
                      <w:rFonts w:hint="eastAsia"/>
                      <w:bCs/>
                      <w:szCs w:val="21"/>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pStyle w:val="40"/>
                    <w:snapToGrid w:val="0"/>
                    <w:spacing w:line="240" w:lineRule="auto"/>
                    <w:textAlignment w:val="auto"/>
                    <w:rPr>
                      <w:rFonts w:ascii="Times New Roman" w:hAnsi="Times New Roman"/>
                      <w:bCs/>
                      <w:szCs w:val="21"/>
                    </w:rPr>
                  </w:pPr>
                </w:p>
              </w:tc>
              <w:tc>
                <w:tcPr>
                  <w:tcW w:w="1346" w:type="dxa"/>
                  <w:vAlign w:val="center"/>
                </w:tcPr>
                <w:p>
                  <w:pPr>
                    <w:pStyle w:val="40"/>
                    <w:snapToGrid w:val="0"/>
                    <w:spacing w:line="240" w:lineRule="auto"/>
                    <w:textAlignment w:val="auto"/>
                    <w:rPr>
                      <w:rFonts w:ascii="Times New Roman" w:hAnsi="Times New Roman"/>
                    </w:rPr>
                  </w:pPr>
                  <w:r>
                    <w:rPr>
                      <w:rFonts w:ascii="Times New Roman" w:hAnsi="Times New Roman"/>
                    </w:rPr>
                    <w:t>公共卫生间</w:t>
                  </w:r>
                </w:p>
              </w:tc>
              <w:tc>
                <w:tcPr>
                  <w:tcW w:w="5189" w:type="dxa"/>
                  <w:vAlign w:val="center"/>
                </w:tcPr>
                <w:p>
                  <w:pPr>
                    <w:adjustRightInd w:val="0"/>
                    <w:snapToGrid w:val="0"/>
                  </w:pPr>
                  <w:r>
                    <w:t>建筑面积97.90m</w:t>
                  </w:r>
                  <w:r>
                    <w:rPr>
                      <w:vertAlign w:val="superscript"/>
                    </w:rPr>
                    <w:t>2</w:t>
                  </w:r>
                  <w:r>
                    <w:t>，用于外来人员如厕。</w:t>
                  </w:r>
                </w:p>
              </w:tc>
              <w:tc>
                <w:tcPr>
                  <w:tcW w:w="916" w:type="dxa"/>
                  <w:vAlign w:val="center"/>
                </w:tcPr>
                <w:p>
                  <w:pPr>
                    <w:adjustRightInd w:val="0"/>
                    <w:snapToGrid w:val="0"/>
                    <w:jc w:val="center"/>
                    <w:rPr>
                      <w:bCs/>
                      <w:szCs w:val="21"/>
                    </w:rPr>
                  </w:pPr>
                  <w:r>
                    <w:rPr>
                      <w:bCs/>
                      <w:szCs w:val="21"/>
                    </w:rPr>
                    <w:t>二期</w:t>
                  </w:r>
                  <w:r>
                    <w:rPr>
                      <w:rFonts w:hint="eastAsia"/>
                      <w:bCs/>
                      <w:szCs w:val="21"/>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pStyle w:val="40"/>
                    <w:snapToGrid w:val="0"/>
                    <w:spacing w:line="240" w:lineRule="auto"/>
                    <w:textAlignment w:val="auto"/>
                    <w:rPr>
                      <w:rFonts w:ascii="Times New Roman" w:hAnsi="Times New Roman"/>
                      <w:bCs/>
                      <w:szCs w:val="21"/>
                    </w:rPr>
                  </w:pPr>
                </w:p>
              </w:tc>
              <w:tc>
                <w:tcPr>
                  <w:tcW w:w="1346" w:type="dxa"/>
                  <w:vAlign w:val="center"/>
                </w:tcPr>
                <w:p>
                  <w:pPr>
                    <w:pStyle w:val="40"/>
                    <w:snapToGrid w:val="0"/>
                    <w:spacing w:line="240" w:lineRule="auto"/>
                    <w:textAlignment w:val="auto"/>
                    <w:rPr>
                      <w:rFonts w:ascii="Times New Roman" w:hAnsi="Times New Roman"/>
                    </w:rPr>
                  </w:pPr>
                  <w:r>
                    <w:rPr>
                      <w:rFonts w:ascii="Times New Roman" w:hAnsi="Times New Roman"/>
                    </w:rPr>
                    <w:t>停车场</w:t>
                  </w:r>
                </w:p>
              </w:tc>
              <w:tc>
                <w:tcPr>
                  <w:tcW w:w="5189" w:type="dxa"/>
                  <w:vAlign w:val="center"/>
                </w:tcPr>
                <w:p>
                  <w:pPr>
                    <w:adjustRightInd w:val="0"/>
                    <w:snapToGrid w:val="0"/>
                  </w:pPr>
                  <w:r>
                    <w:t>总停车位179个。</w:t>
                  </w:r>
                </w:p>
              </w:tc>
              <w:tc>
                <w:tcPr>
                  <w:tcW w:w="916" w:type="dxa"/>
                  <w:vAlign w:val="center"/>
                </w:tcPr>
                <w:p>
                  <w:pPr>
                    <w:adjustRightInd w:val="0"/>
                    <w:snapToGrid w:val="0"/>
                    <w:jc w:val="center"/>
                    <w:rPr>
                      <w:bCs/>
                      <w:szCs w:val="21"/>
                    </w:rPr>
                  </w:pPr>
                  <w:r>
                    <w:rPr>
                      <w:bCs/>
                      <w:szCs w:val="21"/>
                    </w:rPr>
                    <w:t>二期</w:t>
                  </w:r>
                  <w:r>
                    <w:rPr>
                      <w:rFonts w:hint="eastAsia"/>
                      <w:bCs/>
                      <w:szCs w:val="21"/>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restart"/>
                  <w:vAlign w:val="center"/>
                </w:tcPr>
                <w:p>
                  <w:pPr>
                    <w:adjustRightInd w:val="0"/>
                    <w:snapToGrid w:val="0"/>
                    <w:jc w:val="center"/>
                    <w:rPr>
                      <w:bCs/>
                      <w:kern w:val="0"/>
                      <w:szCs w:val="21"/>
                    </w:rPr>
                  </w:pPr>
                  <w:r>
                    <w:rPr>
                      <w:bCs/>
                      <w:kern w:val="0"/>
                      <w:szCs w:val="21"/>
                    </w:rPr>
                    <w:t>公用</w:t>
                  </w:r>
                </w:p>
                <w:p>
                  <w:pPr>
                    <w:adjustRightInd w:val="0"/>
                    <w:snapToGrid w:val="0"/>
                    <w:jc w:val="center"/>
                    <w:rPr>
                      <w:bCs/>
                      <w:kern w:val="0"/>
                      <w:szCs w:val="21"/>
                    </w:rPr>
                  </w:pPr>
                  <w:r>
                    <w:rPr>
                      <w:bCs/>
                      <w:kern w:val="0"/>
                      <w:szCs w:val="21"/>
                    </w:rPr>
                    <w:t>工程</w:t>
                  </w:r>
                </w:p>
              </w:tc>
              <w:tc>
                <w:tcPr>
                  <w:tcW w:w="1346" w:type="dxa"/>
                  <w:vAlign w:val="center"/>
                </w:tcPr>
                <w:p>
                  <w:pPr>
                    <w:adjustRightInd w:val="0"/>
                    <w:snapToGrid w:val="0"/>
                    <w:jc w:val="center"/>
                    <w:rPr>
                      <w:bCs/>
                      <w:kern w:val="0"/>
                      <w:szCs w:val="21"/>
                    </w:rPr>
                  </w:pPr>
                  <w:r>
                    <w:rPr>
                      <w:bCs/>
                      <w:kern w:val="0"/>
                      <w:szCs w:val="21"/>
                    </w:rPr>
                    <w:t>供水</w:t>
                  </w:r>
                </w:p>
              </w:tc>
              <w:tc>
                <w:tcPr>
                  <w:tcW w:w="5189" w:type="dxa"/>
                  <w:vAlign w:val="center"/>
                </w:tcPr>
                <w:p>
                  <w:pPr>
                    <w:pStyle w:val="40"/>
                    <w:snapToGrid w:val="0"/>
                    <w:spacing w:line="240" w:lineRule="auto"/>
                    <w:jc w:val="both"/>
                    <w:textAlignment w:val="auto"/>
                    <w:rPr>
                      <w:rFonts w:ascii="Times New Roman" w:hAnsi="Times New Roman"/>
                      <w:bCs/>
                      <w:szCs w:val="21"/>
                    </w:rPr>
                  </w:pPr>
                  <w:r>
                    <w:rPr>
                      <w:rFonts w:ascii="Times New Roman" w:hAnsi="Times New Roman"/>
                      <w:bCs/>
                      <w:szCs w:val="21"/>
                    </w:rPr>
                    <w:t>供水管网供水。</w:t>
                  </w:r>
                </w:p>
              </w:tc>
              <w:tc>
                <w:tcPr>
                  <w:tcW w:w="916" w:type="dxa"/>
                  <w:vMerge w:val="restart"/>
                  <w:vAlign w:val="center"/>
                </w:tcPr>
                <w:p>
                  <w:pPr>
                    <w:pStyle w:val="40"/>
                    <w:snapToGrid w:val="0"/>
                    <w:spacing w:line="240" w:lineRule="auto"/>
                    <w:textAlignment w:val="auto"/>
                    <w:rPr>
                      <w:rFonts w:ascii="Times New Roman" w:hAnsi="Times New Roman"/>
                      <w:bCs/>
                      <w:szCs w:val="21"/>
                    </w:rPr>
                  </w:pPr>
                  <w:r>
                    <w:rPr>
                      <w:rFonts w:hint="eastAsia" w:ascii="Times New Roman" w:hAnsi="Times New Roman"/>
                      <w:bCs/>
                      <w:szCs w:val="21"/>
                    </w:rPr>
                    <w:t>与主体</w:t>
                  </w:r>
                  <w:r>
                    <w:rPr>
                      <w:rFonts w:ascii="Times New Roman" w:hAnsi="Times New Roman"/>
                      <w:bCs/>
                      <w:szCs w:val="21"/>
                    </w:rPr>
                    <w:t>、</w:t>
                  </w:r>
                  <w:r>
                    <w:rPr>
                      <w:rFonts w:hint="eastAsia" w:ascii="Times New Roman" w:hAnsi="Times New Roman"/>
                      <w:bCs/>
                      <w:szCs w:val="21"/>
                    </w:rPr>
                    <w:t>辅助工程同步</w:t>
                  </w:r>
                  <w:r>
                    <w:rPr>
                      <w:rFonts w:ascii="Times New Roman" w:hAnsi="Times New Roman"/>
                      <w:bCs/>
                      <w:szCs w:val="21"/>
                    </w:rPr>
                    <w:t>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adjustRightInd w:val="0"/>
                    <w:snapToGrid w:val="0"/>
                    <w:jc w:val="center"/>
                    <w:rPr>
                      <w:bCs/>
                      <w:kern w:val="0"/>
                      <w:szCs w:val="21"/>
                    </w:rPr>
                  </w:pPr>
                </w:p>
              </w:tc>
              <w:tc>
                <w:tcPr>
                  <w:tcW w:w="1346" w:type="dxa"/>
                  <w:vAlign w:val="center"/>
                </w:tcPr>
                <w:p>
                  <w:pPr>
                    <w:adjustRightInd w:val="0"/>
                    <w:snapToGrid w:val="0"/>
                    <w:jc w:val="center"/>
                    <w:rPr>
                      <w:bCs/>
                      <w:kern w:val="0"/>
                      <w:szCs w:val="21"/>
                    </w:rPr>
                  </w:pPr>
                  <w:r>
                    <w:rPr>
                      <w:bCs/>
                      <w:kern w:val="0"/>
                      <w:szCs w:val="21"/>
                    </w:rPr>
                    <w:t>排水</w:t>
                  </w:r>
                </w:p>
              </w:tc>
              <w:tc>
                <w:tcPr>
                  <w:tcW w:w="5189" w:type="dxa"/>
                  <w:vAlign w:val="center"/>
                </w:tcPr>
                <w:p>
                  <w:pPr>
                    <w:pStyle w:val="40"/>
                    <w:snapToGrid w:val="0"/>
                    <w:spacing w:line="240" w:lineRule="auto"/>
                    <w:jc w:val="both"/>
                    <w:rPr>
                      <w:rFonts w:ascii="Times New Roman" w:hAnsi="Times New Roman"/>
                      <w:bCs/>
                      <w:szCs w:val="21"/>
                    </w:rPr>
                  </w:pPr>
                  <w:r>
                    <w:rPr>
                      <w:rFonts w:ascii="Times New Roman" w:hAnsi="Times New Roman"/>
                      <w:bCs/>
                      <w:szCs w:val="21"/>
                    </w:rPr>
                    <w:t>生活污水化粪池收集；生产废水经污水处理站处理后与生活污水一同定期拉运至周至县污水处理厂处理。</w:t>
                  </w:r>
                </w:p>
              </w:tc>
              <w:tc>
                <w:tcPr>
                  <w:tcW w:w="916" w:type="dxa"/>
                  <w:vMerge w:val="continue"/>
                  <w:vAlign w:val="center"/>
                </w:tcPr>
                <w:p>
                  <w:pPr>
                    <w:pStyle w:val="40"/>
                    <w:snapToGrid w:val="0"/>
                    <w:spacing w:line="240" w:lineRule="auto"/>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adjustRightInd w:val="0"/>
                    <w:snapToGrid w:val="0"/>
                    <w:jc w:val="center"/>
                    <w:rPr>
                      <w:bCs/>
                      <w:kern w:val="0"/>
                      <w:szCs w:val="21"/>
                    </w:rPr>
                  </w:pPr>
                </w:p>
              </w:tc>
              <w:tc>
                <w:tcPr>
                  <w:tcW w:w="1346" w:type="dxa"/>
                  <w:vAlign w:val="center"/>
                </w:tcPr>
                <w:p>
                  <w:pPr>
                    <w:adjustRightInd w:val="0"/>
                    <w:snapToGrid w:val="0"/>
                    <w:jc w:val="center"/>
                    <w:rPr>
                      <w:bCs/>
                      <w:kern w:val="0"/>
                      <w:szCs w:val="21"/>
                    </w:rPr>
                  </w:pPr>
                  <w:r>
                    <w:rPr>
                      <w:bCs/>
                      <w:kern w:val="0"/>
                      <w:szCs w:val="21"/>
                    </w:rPr>
                    <w:t>供电</w:t>
                  </w:r>
                </w:p>
              </w:tc>
              <w:tc>
                <w:tcPr>
                  <w:tcW w:w="5189" w:type="dxa"/>
                  <w:vAlign w:val="center"/>
                </w:tcPr>
                <w:p>
                  <w:pPr>
                    <w:pStyle w:val="40"/>
                    <w:snapToGrid w:val="0"/>
                    <w:spacing w:line="240" w:lineRule="auto"/>
                    <w:jc w:val="both"/>
                    <w:textAlignment w:val="auto"/>
                    <w:rPr>
                      <w:rFonts w:ascii="Times New Roman" w:hAnsi="Times New Roman"/>
                      <w:bCs/>
                      <w:szCs w:val="21"/>
                    </w:rPr>
                  </w:pPr>
                  <w:r>
                    <w:rPr>
                      <w:rFonts w:ascii="Times New Roman" w:hAnsi="Times New Roman"/>
                      <w:bCs/>
                      <w:szCs w:val="21"/>
                    </w:rPr>
                    <w:t>采用市政供电。</w:t>
                  </w:r>
                </w:p>
              </w:tc>
              <w:tc>
                <w:tcPr>
                  <w:tcW w:w="916" w:type="dxa"/>
                  <w:vMerge w:val="continue"/>
                  <w:vAlign w:val="center"/>
                </w:tcPr>
                <w:p>
                  <w:pPr>
                    <w:pStyle w:val="40"/>
                    <w:snapToGrid w:val="0"/>
                    <w:spacing w:line="240" w:lineRule="auto"/>
                    <w:textAlignment w:val="auto"/>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adjustRightInd w:val="0"/>
                    <w:snapToGrid w:val="0"/>
                    <w:jc w:val="center"/>
                    <w:rPr>
                      <w:bCs/>
                      <w:kern w:val="0"/>
                      <w:szCs w:val="21"/>
                    </w:rPr>
                  </w:pPr>
                </w:p>
              </w:tc>
              <w:tc>
                <w:tcPr>
                  <w:tcW w:w="1346" w:type="dxa"/>
                  <w:vAlign w:val="center"/>
                </w:tcPr>
                <w:p>
                  <w:pPr>
                    <w:adjustRightInd w:val="0"/>
                    <w:snapToGrid w:val="0"/>
                    <w:jc w:val="center"/>
                    <w:rPr>
                      <w:bCs/>
                      <w:kern w:val="0"/>
                      <w:szCs w:val="21"/>
                    </w:rPr>
                  </w:pPr>
                  <w:r>
                    <w:rPr>
                      <w:bCs/>
                      <w:kern w:val="0"/>
                      <w:szCs w:val="21"/>
                    </w:rPr>
                    <w:t>供暖</w:t>
                  </w:r>
                </w:p>
              </w:tc>
              <w:tc>
                <w:tcPr>
                  <w:tcW w:w="5189" w:type="dxa"/>
                  <w:vAlign w:val="center"/>
                </w:tcPr>
                <w:p>
                  <w:pPr>
                    <w:pStyle w:val="40"/>
                    <w:snapToGrid w:val="0"/>
                    <w:spacing w:line="240" w:lineRule="auto"/>
                    <w:jc w:val="both"/>
                    <w:textAlignment w:val="auto"/>
                    <w:rPr>
                      <w:rFonts w:ascii="Times New Roman" w:hAnsi="Times New Roman"/>
                      <w:bCs/>
                      <w:szCs w:val="21"/>
                    </w:rPr>
                  </w:pPr>
                  <w:r>
                    <w:rPr>
                      <w:rFonts w:ascii="Times New Roman" w:hAnsi="Times New Roman"/>
                      <w:bCs/>
                      <w:szCs w:val="21"/>
                    </w:rPr>
                    <w:t>火化楼、骨灰楼、综合楼冬季采用空调供暖；殡仪馆利用空气源热泵机组系统冬季供热。</w:t>
                  </w:r>
                </w:p>
              </w:tc>
              <w:tc>
                <w:tcPr>
                  <w:tcW w:w="916" w:type="dxa"/>
                  <w:vMerge w:val="continue"/>
                  <w:vAlign w:val="center"/>
                </w:tcPr>
                <w:p>
                  <w:pPr>
                    <w:pStyle w:val="40"/>
                    <w:snapToGrid w:val="0"/>
                    <w:spacing w:line="240" w:lineRule="auto"/>
                    <w:textAlignment w:val="auto"/>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restart"/>
                  <w:vAlign w:val="center"/>
                </w:tcPr>
                <w:p>
                  <w:pPr>
                    <w:adjustRightInd w:val="0"/>
                    <w:snapToGrid w:val="0"/>
                    <w:jc w:val="center"/>
                    <w:rPr>
                      <w:bCs/>
                      <w:kern w:val="0"/>
                      <w:szCs w:val="21"/>
                    </w:rPr>
                  </w:pPr>
                  <w:r>
                    <w:rPr>
                      <w:bCs/>
                      <w:kern w:val="0"/>
                      <w:szCs w:val="21"/>
                    </w:rPr>
                    <w:t>环保</w:t>
                  </w:r>
                </w:p>
                <w:p>
                  <w:pPr>
                    <w:adjustRightInd w:val="0"/>
                    <w:snapToGrid w:val="0"/>
                    <w:jc w:val="center"/>
                    <w:rPr>
                      <w:bCs/>
                      <w:kern w:val="0"/>
                      <w:szCs w:val="21"/>
                    </w:rPr>
                  </w:pPr>
                  <w:r>
                    <w:rPr>
                      <w:bCs/>
                      <w:kern w:val="0"/>
                      <w:szCs w:val="21"/>
                    </w:rPr>
                    <w:t>工程</w:t>
                  </w:r>
                </w:p>
              </w:tc>
              <w:tc>
                <w:tcPr>
                  <w:tcW w:w="1346" w:type="dxa"/>
                  <w:vMerge w:val="restart"/>
                  <w:vAlign w:val="center"/>
                </w:tcPr>
                <w:p>
                  <w:pPr>
                    <w:adjustRightInd w:val="0"/>
                    <w:snapToGrid w:val="0"/>
                    <w:jc w:val="center"/>
                    <w:rPr>
                      <w:bCs/>
                      <w:kern w:val="0"/>
                      <w:szCs w:val="21"/>
                    </w:rPr>
                  </w:pPr>
                  <w:r>
                    <w:rPr>
                      <w:bCs/>
                      <w:kern w:val="0"/>
                      <w:szCs w:val="21"/>
                    </w:rPr>
                    <w:t>废水</w:t>
                  </w:r>
                </w:p>
              </w:tc>
              <w:tc>
                <w:tcPr>
                  <w:tcW w:w="5189" w:type="dxa"/>
                  <w:vAlign w:val="center"/>
                </w:tcPr>
                <w:p>
                  <w:pPr>
                    <w:pStyle w:val="40"/>
                    <w:snapToGrid w:val="0"/>
                    <w:spacing w:line="240" w:lineRule="auto"/>
                    <w:jc w:val="both"/>
                    <w:textAlignment w:val="auto"/>
                    <w:rPr>
                      <w:rFonts w:ascii="Times New Roman" w:hAnsi="Times New Roman"/>
                      <w:bCs/>
                      <w:szCs w:val="21"/>
                    </w:rPr>
                  </w:pPr>
                  <w:r>
                    <w:rPr>
                      <w:rFonts w:ascii="Times New Roman" w:hAnsi="Times New Roman"/>
                      <w:bCs/>
                      <w:szCs w:val="21"/>
                    </w:rPr>
                    <w:t>生活污水化粪池收集，定期拉运至周至县污水处理厂处理。</w:t>
                  </w:r>
                </w:p>
              </w:tc>
              <w:tc>
                <w:tcPr>
                  <w:tcW w:w="916" w:type="dxa"/>
                  <w:vMerge w:val="restart"/>
                  <w:vAlign w:val="center"/>
                </w:tcPr>
                <w:p>
                  <w:pPr>
                    <w:pStyle w:val="40"/>
                    <w:snapToGrid w:val="0"/>
                    <w:spacing w:line="240" w:lineRule="auto"/>
                    <w:textAlignment w:val="auto"/>
                    <w:rPr>
                      <w:rFonts w:ascii="Times New Roman" w:hAnsi="Times New Roman"/>
                      <w:bCs/>
                      <w:szCs w:val="21"/>
                    </w:rPr>
                  </w:pPr>
                  <w:r>
                    <w:rPr>
                      <w:rFonts w:hint="eastAsia" w:ascii="Times New Roman" w:hAnsi="Times New Roman"/>
                      <w:bCs/>
                      <w:szCs w:val="21"/>
                    </w:rPr>
                    <w:t>与主体</w:t>
                  </w:r>
                  <w:r>
                    <w:rPr>
                      <w:rFonts w:ascii="Times New Roman" w:hAnsi="Times New Roman"/>
                      <w:bCs/>
                      <w:szCs w:val="21"/>
                    </w:rPr>
                    <w:t>、</w:t>
                  </w:r>
                  <w:r>
                    <w:rPr>
                      <w:rFonts w:hint="eastAsia" w:ascii="Times New Roman" w:hAnsi="Times New Roman"/>
                      <w:bCs/>
                      <w:szCs w:val="21"/>
                    </w:rPr>
                    <w:t>辅助工程同步</w:t>
                  </w:r>
                  <w:r>
                    <w:rPr>
                      <w:rFonts w:ascii="Times New Roman" w:hAnsi="Times New Roman"/>
                      <w:bCs/>
                      <w:szCs w:val="21"/>
                    </w:rPr>
                    <w:t>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adjustRightInd w:val="0"/>
                    <w:snapToGrid w:val="0"/>
                    <w:jc w:val="center"/>
                    <w:rPr>
                      <w:bCs/>
                      <w:kern w:val="0"/>
                      <w:szCs w:val="21"/>
                    </w:rPr>
                  </w:pPr>
                </w:p>
              </w:tc>
              <w:tc>
                <w:tcPr>
                  <w:tcW w:w="1346" w:type="dxa"/>
                  <w:vMerge w:val="continue"/>
                  <w:vAlign w:val="center"/>
                </w:tcPr>
                <w:p>
                  <w:pPr>
                    <w:adjustRightInd w:val="0"/>
                    <w:snapToGrid w:val="0"/>
                    <w:jc w:val="center"/>
                    <w:rPr>
                      <w:bCs/>
                      <w:kern w:val="0"/>
                      <w:szCs w:val="21"/>
                    </w:rPr>
                  </w:pPr>
                </w:p>
              </w:tc>
              <w:tc>
                <w:tcPr>
                  <w:tcW w:w="5189" w:type="dxa"/>
                  <w:vAlign w:val="center"/>
                </w:tcPr>
                <w:p>
                  <w:pPr>
                    <w:pStyle w:val="40"/>
                    <w:snapToGrid w:val="0"/>
                    <w:spacing w:line="240" w:lineRule="auto"/>
                    <w:jc w:val="both"/>
                    <w:textAlignment w:val="auto"/>
                    <w:rPr>
                      <w:rFonts w:ascii="Times New Roman" w:hAnsi="Times New Roman"/>
                      <w:bCs/>
                      <w:szCs w:val="21"/>
                    </w:rPr>
                  </w:pPr>
                  <w:r>
                    <w:rPr>
                      <w:rFonts w:ascii="Times New Roman" w:hAnsi="Times New Roman"/>
                      <w:bCs/>
                      <w:szCs w:val="21"/>
                    </w:rPr>
                    <w:t>生产废水经污水处理站处理后与生活污水一同定期拉运至周至县污水处理厂处理。</w:t>
                  </w:r>
                </w:p>
              </w:tc>
              <w:tc>
                <w:tcPr>
                  <w:tcW w:w="916" w:type="dxa"/>
                  <w:vMerge w:val="continue"/>
                  <w:vAlign w:val="center"/>
                </w:tcPr>
                <w:p>
                  <w:pPr>
                    <w:pStyle w:val="40"/>
                    <w:snapToGrid w:val="0"/>
                    <w:spacing w:line="240" w:lineRule="auto"/>
                    <w:textAlignment w:val="auto"/>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pStyle w:val="40"/>
                    <w:snapToGrid w:val="0"/>
                    <w:spacing w:line="240" w:lineRule="auto"/>
                    <w:textAlignment w:val="auto"/>
                    <w:rPr>
                      <w:rFonts w:ascii="Times New Roman" w:hAnsi="Times New Roman"/>
                      <w:bCs/>
                      <w:szCs w:val="21"/>
                    </w:rPr>
                  </w:pPr>
                </w:p>
              </w:tc>
              <w:tc>
                <w:tcPr>
                  <w:tcW w:w="1346" w:type="dxa"/>
                  <w:vMerge w:val="restart"/>
                  <w:vAlign w:val="center"/>
                </w:tcPr>
                <w:p>
                  <w:pPr>
                    <w:adjustRightInd w:val="0"/>
                    <w:snapToGrid w:val="0"/>
                    <w:jc w:val="center"/>
                    <w:rPr>
                      <w:bCs/>
                      <w:kern w:val="0"/>
                      <w:szCs w:val="21"/>
                    </w:rPr>
                  </w:pPr>
                  <w:r>
                    <w:rPr>
                      <w:bCs/>
                      <w:kern w:val="0"/>
                      <w:szCs w:val="21"/>
                    </w:rPr>
                    <w:t>废气</w:t>
                  </w:r>
                </w:p>
              </w:tc>
              <w:tc>
                <w:tcPr>
                  <w:tcW w:w="5189" w:type="dxa"/>
                  <w:vAlign w:val="center"/>
                </w:tcPr>
                <w:p>
                  <w:pPr>
                    <w:pStyle w:val="40"/>
                    <w:snapToGrid w:val="0"/>
                    <w:spacing w:line="240" w:lineRule="auto"/>
                    <w:jc w:val="both"/>
                    <w:textAlignment w:val="auto"/>
                    <w:rPr>
                      <w:rFonts w:ascii="Times New Roman" w:hAnsi="Times New Roman"/>
                      <w:bCs/>
                      <w:szCs w:val="21"/>
                    </w:rPr>
                  </w:pPr>
                  <w:r>
                    <w:rPr>
                      <w:rFonts w:ascii="Times New Roman" w:hAnsi="Times New Roman"/>
                      <w:bCs/>
                      <w:szCs w:val="21"/>
                    </w:rPr>
                    <w:t>火化炉废气分别经“</w:t>
                  </w:r>
                  <w:r>
                    <w:rPr>
                      <w:rFonts w:ascii="Times New Roman" w:hAnsi="Times New Roman"/>
                      <w:bCs/>
                    </w:rPr>
                    <w:t>二燃室—初级除尘（火星拦截装置）—热交换器—旋风除尘器—除酸除硫装置（喷淋碱液和尿素溶液）—布袋除尘器—活性炭吸附器</w:t>
                  </w:r>
                  <w:r>
                    <w:rPr>
                      <w:rFonts w:ascii="Times New Roman" w:hAnsi="Times New Roman"/>
                      <w:bCs/>
                      <w:szCs w:val="21"/>
                    </w:rPr>
                    <w:t>”处理后分别经21m高排气筒（DA001~DA010）排放。</w:t>
                  </w:r>
                </w:p>
              </w:tc>
              <w:tc>
                <w:tcPr>
                  <w:tcW w:w="916" w:type="dxa"/>
                  <w:vMerge w:val="continue"/>
                  <w:vAlign w:val="center"/>
                </w:tcPr>
                <w:p>
                  <w:pPr>
                    <w:pStyle w:val="40"/>
                    <w:snapToGrid w:val="0"/>
                    <w:spacing w:line="240" w:lineRule="auto"/>
                    <w:textAlignment w:val="auto"/>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pStyle w:val="40"/>
                    <w:snapToGrid w:val="0"/>
                    <w:spacing w:line="240" w:lineRule="auto"/>
                    <w:textAlignment w:val="auto"/>
                    <w:rPr>
                      <w:rFonts w:ascii="Times New Roman" w:hAnsi="Times New Roman"/>
                      <w:bCs/>
                      <w:szCs w:val="21"/>
                    </w:rPr>
                  </w:pPr>
                </w:p>
              </w:tc>
              <w:tc>
                <w:tcPr>
                  <w:tcW w:w="1346" w:type="dxa"/>
                  <w:vMerge w:val="continue"/>
                  <w:vAlign w:val="center"/>
                </w:tcPr>
                <w:p>
                  <w:pPr>
                    <w:adjustRightInd w:val="0"/>
                    <w:snapToGrid w:val="0"/>
                    <w:jc w:val="center"/>
                    <w:rPr>
                      <w:bCs/>
                      <w:kern w:val="0"/>
                      <w:szCs w:val="21"/>
                    </w:rPr>
                  </w:pPr>
                </w:p>
              </w:tc>
              <w:tc>
                <w:tcPr>
                  <w:tcW w:w="5189" w:type="dxa"/>
                  <w:vAlign w:val="center"/>
                </w:tcPr>
                <w:p>
                  <w:pPr>
                    <w:pStyle w:val="40"/>
                    <w:snapToGrid w:val="0"/>
                    <w:spacing w:line="240" w:lineRule="auto"/>
                    <w:jc w:val="both"/>
                    <w:textAlignment w:val="auto"/>
                    <w:rPr>
                      <w:rFonts w:ascii="Times New Roman" w:hAnsi="Times New Roman"/>
                      <w:bCs/>
                      <w:szCs w:val="21"/>
                    </w:rPr>
                  </w:pPr>
                  <w:r>
                    <w:rPr>
                      <w:rFonts w:ascii="Times New Roman" w:hAnsi="Times New Roman"/>
                      <w:bCs/>
                      <w:szCs w:val="21"/>
                    </w:rPr>
                    <w:t>遗物焚烧炉废气经“</w:t>
                  </w:r>
                  <w:r>
                    <w:rPr>
                      <w:rFonts w:ascii="Times New Roman" w:hAnsi="Times New Roman"/>
                      <w:bCs/>
                    </w:rPr>
                    <w:t>二燃室—初级除尘（火星拦截装置）—热交换器—旋风除尘器—除酸除硫装置（喷淋碱液和尿素溶液）—布袋除尘器—活性炭吸附器</w:t>
                  </w:r>
                  <w:r>
                    <w:rPr>
                      <w:rFonts w:ascii="Times New Roman" w:hAnsi="Times New Roman"/>
                      <w:bCs/>
                      <w:szCs w:val="21"/>
                    </w:rPr>
                    <w:t>”处理后经21m高排气筒（DA0011）排放。</w:t>
                  </w:r>
                </w:p>
              </w:tc>
              <w:tc>
                <w:tcPr>
                  <w:tcW w:w="916" w:type="dxa"/>
                  <w:vMerge w:val="continue"/>
                  <w:vAlign w:val="center"/>
                </w:tcPr>
                <w:p>
                  <w:pPr>
                    <w:pStyle w:val="40"/>
                    <w:snapToGrid w:val="0"/>
                    <w:spacing w:line="240" w:lineRule="auto"/>
                    <w:textAlignment w:val="auto"/>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pStyle w:val="40"/>
                    <w:snapToGrid w:val="0"/>
                    <w:spacing w:line="240" w:lineRule="auto"/>
                    <w:textAlignment w:val="auto"/>
                    <w:rPr>
                      <w:rFonts w:ascii="Times New Roman" w:hAnsi="Times New Roman"/>
                      <w:bCs/>
                      <w:szCs w:val="21"/>
                    </w:rPr>
                  </w:pPr>
                </w:p>
              </w:tc>
              <w:tc>
                <w:tcPr>
                  <w:tcW w:w="1346" w:type="dxa"/>
                  <w:vMerge w:val="continue"/>
                  <w:vAlign w:val="center"/>
                </w:tcPr>
                <w:p>
                  <w:pPr>
                    <w:adjustRightInd w:val="0"/>
                    <w:snapToGrid w:val="0"/>
                    <w:jc w:val="center"/>
                    <w:rPr>
                      <w:szCs w:val="21"/>
                    </w:rPr>
                  </w:pPr>
                </w:p>
              </w:tc>
              <w:tc>
                <w:tcPr>
                  <w:tcW w:w="5189" w:type="dxa"/>
                  <w:vAlign w:val="center"/>
                </w:tcPr>
                <w:p>
                  <w:pPr>
                    <w:pStyle w:val="40"/>
                    <w:snapToGrid w:val="0"/>
                    <w:spacing w:line="240" w:lineRule="auto"/>
                    <w:jc w:val="both"/>
                    <w:textAlignment w:val="auto"/>
                    <w:rPr>
                      <w:rFonts w:ascii="Times New Roman" w:hAnsi="Times New Roman"/>
                      <w:szCs w:val="21"/>
                    </w:rPr>
                  </w:pPr>
                  <w:r>
                    <w:rPr>
                      <w:rFonts w:ascii="Times New Roman" w:hAnsi="Times New Roman"/>
                      <w:szCs w:val="21"/>
                    </w:rPr>
                    <w:t>十二生肖祭祀炉废气经“</w:t>
                  </w:r>
                  <w:r>
                    <w:rPr>
                      <w:rFonts w:ascii="Times New Roman" w:hAnsi="Times New Roman"/>
                      <w:bCs/>
                    </w:rPr>
                    <w:t>二燃室—初级除尘（火星拦截装置）—热交换器—旋风除尘器—除酸除硫装置（喷淋碱液和尿素溶液）—布袋除尘器—活性炭吸附器</w:t>
                  </w:r>
                  <w:r>
                    <w:rPr>
                      <w:rFonts w:ascii="Times New Roman" w:hAnsi="Times New Roman"/>
                      <w:szCs w:val="21"/>
                    </w:rPr>
                    <w:t>”处理后经21m高排气筒（DA012）排放</w:t>
                  </w:r>
                </w:p>
              </w:tc>
              <w:tc>
                <w:tcPr>
                  <w:tcW w:w="916" w:type="dxa"/>
                  <w:vMerge w:val="continue"/>
                  <w:vAlign w:val="center"/>
                </w:tcPr>
                <w:p>
                  <w:pPr>
                    <w:pStyle w:val="40"/>
                    <w:snapToGrid w:val="0"/>
                    <w:spacing w:line="240" w:lineRule="auto"/>
                    <w:textAlignment w:val="auto"/>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adjustRightInd w:val="0"/>
                    <w:snapToGrid w:val="0"/>
                    <w:jc w:val="center"/>
                    <w:rPr>
                      <w:bCs/>
                      <w:szCs w:val="21"/>
                    </w:rPr>
                  </w:pPr>
                </w:p>
              </w:tc>
              <w:tc>
                <w:tcPr>
                  <w:tcW w:w="1346" w:type="dxa"/>
                  <w:vMerge w:val="continue"/>
                  <w:vAlign w:val="center"/>
                </w:tcPr>
                <w:p>
                  <w:pPr>
                    <w:adjustRightInd w:val="0"/>
                    <w:snapToGrid w:val="0"/>
                    <w:jc w:val="center"/>
                    <w:rPr>
                      <w:bCs/>
                      <w:kern w:val="0"/>
                      <w:szCs w:val="21"/>
                    </w:rPr>
                  </w:pPr>
                </w:p>
              </w:tc>
              <w:tc>
                <w:tcPr>
                  <w:tcW w:w="5189" w:type="dxa"/>
                  <w:vAlign w:val="center"/>
                </w:tcPr>
                <w:p>
                  <w:pPr>
                    <w:adjustRightInd w:val="0"/>
                    <w:snapToGrid w:val="0"/>
                    <w:rPr>
                      <w:bCs/>
                      <w:kern w:val="0"/>
                      <w:szCs w:val="21"/>
                    </w:rPr>
                  </w:pPr>
                  <w:r>
                    <w:rPr>
                      <w:bCs/>
                      <w:kern w:val="0"/>
                      <w:szCs w:val="21"/>
                    </w:rPr>
                    <w:t>食堂油烟</w:t>
                  </w:r>
                  <w:r>
                    <w:rPr>
                      <w:rFonts w:hint="eastAsia"/>
                      <w:bCs/>
                      <w:kern w:val="0"/>
                      <w:szCs w:val="21"/>
                    </w:rPr>
                    <w:t>经</w:t>
                  </w:r>
                  <w:r>
                    <w:rPr>
                      <w:bCs/>
                      <w:kern w:val="0"/>
                      <w:szCs w:val="21"/>
                    </w:rPr>
                    <w:t>油烟净化器处理。</w:t>
                  </w:r>
                </w:p>
              </w:tc>
              <w:tc>
                <w:tcPr>
                  <w:tcW w:w="916" w:type="dxa"/>
                  <w:vMerge w:val="continue"/>
                  <w:vAlign w:val="center"/>
                </w:tcPr>
                <w:p>
                  <w:pPr>
                    <w:adjustRightInd w:val="0"/>
                    <w:snapToGrid w:val="0"/>
                    <w:jc w:val="center"/>
                    <w:rPr>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pStyle w:val="40"/>
                    <w:snapToGrid w:val="0"/>
                    <w:spacing w:line="240" w:lineRule="auto"/>
                    <w:textAlignment w:val="auto"/>
                    <w:rPr>
                      <w:rFonts w:ascii="Times New Roman" w:hAnsi="Times New Roman"/>
                      <w:bCs/>
                      <w:szCs w:val="21"/>
                    </w:rPr>
                  </w:pPr>
                </w:p>
              </w:tc>
              <w:tc>
                <w:tcPr>
                  <w:tcW w:w="1346" w:type="dxa"/>
                  <w:vMerge w:val="restart"/>
                  <w:vAlign w:val="center"/>
                </w:tcPr>
                <w:p>
                  <w:pPr>
                    <w:adjustRightInd w:val="0"/>
                    <w:snapToGrid w:val="0"/>
                    <w:jc w:val="center"/>
                    <w:rPr>
                      <w:bCs/>
                      <w:kern w:val="0"/>
                      <w:szCs w:val="21"/>
                    </w:rPr>
                  </w:pPr>
                  <w:r>
                    <w:rPr>
                      <w:bCs/>
                      <w:kern w:val="0"/>
                      <w:szCs w:val="21"/>
                    </w:rPr>
                    <w:t>固废治理</w:t>
                  </w:r>
                </w:p>
              </w:tc>
              <w:tc>
                <w:tcPr>
                  <w:tcW w:w="5189" w:type="dxa"/>
                  <w:vAlign w:val="center"/>
                </w:tcPr>
                <w:p>
                  <w:pPr>
                    <w:widowControl/>
                    <w:tabs>
                      <w:tab w:val="left" w:pos="1260"/>
                    </w:tabs>
                    <w:adjustRightInd w:val="0"/>
                    <w:snapToGrid w:val="0"/>
                    <w:rPr>
                      <w:szCs w:val="21"/>
                    </w:rPr>
                  </w:pPr>
                  <w:r>
                    <w:rPr>
                      <w:szCs w:val="21"/>
                    </w:rPr>
                    <w:t>生活垃圾：生活垃圾垃圾桶收集，定期环卫清运；餐厨垃圾交由有相关资质的单位处理。</w:t>
                  </w:r>
                </w:p>
              </w:tc>
              <w:tc>
                <w:tcPr>
                  <w:tcW w:w="916" w:type="dxa"/>
                  <w:vMerge w:val="continue"/>
                  <w:vAlign w:val="center"/>
                </w:tcPr>
                <w:p>
                  <w:pPr>
                    <w:pStyle w:val="40"/>
                    <w:snapToGrid w:val="0"/>
                    <w:spacing w:line="240" w:lineRule="auto"/>
                    <w:textAlignment w:val="auto"/>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pStyle w:val="40"/>
                    <w:snapToGrid w:val="0"/>
                    <w:spacing w:line="240" w:lineRule="auto"/>
                    <w:textAlignment w:val="auto"/>
                    <w:rPr>
                      <w:rFonts w:ascii="Times New Roman" w:hAnsi="Times New Roman"/>
                      <w:bCs/>
                      <w:szCs w:val="21"/>
                    </w:rPr>
                  </w:pPr>
                </w:p>
              </w:tc>
              <w:tc>
                <w:tcPr>
                  <w:tcW w:w="1346" w:type="dxa"/>
                  <w:vMerge w:val="continue"/>
                  <w:vAlign w:val="center"/>
                </w:tcPr>
                <w:p>
                  <w:pPr>
                    <w:adjustRightInd w:val="0"/>
                    <w:snapToGrid w:val="0"/>
                    <w:jc w:val="center"/>
                    <w:rPr>
                      <w:bCs/>
                      <w:kern w:val="0"/>
                      <w:szCs w:val="21"/>
                    </w:rPr>
                  </w:pPr>
                </w:p>
              </w:tc>
              <w:tc>
                <w:tcPr>
                  <w:tcW w:w="5189" w:type="dxa"/>
                  <w:vAlign w:val="center"/>
                </w:tcPr>
                <w:p>
                  <w:pPr>
                    <w:widowControl/>
                    <w:tabs>
                      <w:tab w:val="left" w:pos="1260"/>
                    </w:tabs>
                    <w:adjustRightInd w:val="0"/>
                    <w:snapToGrid w:val="0"/>
                    <w:rPr>
                      <w:szCs w:val="21"/>
                    </w:rPr>
                  </w:pPr>
                  <w:r>
                    <w:rPr>
                      <w:szCs w:val="21"/>
                    </w:rPr>
                    <w:t>一般固废：遗物焚烧炉和祭祀炉焚烧灰渣交由环卫部门清运；污泥</w:t>
                  </w:r>
                  <w:r>
                    <w:rPr>
                      <w:rFonts w:hint="eastAsia"/>
                      <w:szCs w:val="21"/>
                    </w:rPr>
                    <w:t>消毒后委托</w:t>
                  </w:r>
                  <w:r>
                    <w:rPr>
                      <w:szCs w:val="21"/>
                    </w:rPr>
                    <w:t>有资质</w:t>
                  </w:r>
                  <w:r>
                    <w:rPr>
                      <w:rFonts w:hint="eastAsia"/>
                      <w:szCs w:val="21"/>
                    </w:rPr>
                    <w:t>单位</w:t>
                  </w:r>
                  <w:r>
                    <w:rPr>
                      <w:szCs w:val="21"/>
                    </w:rPr>
                    <w:t>处置。</w:t>
                  </w:r>
                </w:p>
              </w:tc>
              <w:tc>
                <w:tcPr>
                  <w:tcW w:w="916" w:type="dxa"/>
                  <w:vMerge w:val="continue"/>
                  <w:vAlign w:val="center"/>
                </w:tcPr>
                <w:p>
                  <w:pPr>
                    <w:pStyle w:val="40"/>
                    <w:snapToGrid w:val="0"/>
                    <w:spacing w:line="240" w:lineRule="auto"/>
                    <w:textAlignment w:val="auto"/>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pStyle w:val="40"/>
                    <w:snapToGrid w:val="0"/>
                    <w:spacing w:line="240" w:lineRule="auto"/>
                    <w:textAlignment w:val="auto"/>
                    <w:rPr>
                      <w:rFonts w:ascii="Times New Roman" w:hAnsi="Times New Roman"/>
                      <w:bCs/>
                      <w:szCs w:val="21"/>
                    </w:rPr>
                  </w:pPr>
                </w:p>
              </w:tc>
              <w:tc>
                <w:tcPr>
                  <w:tcW w:w="1346" w:type="dxa"/>
                  <w:vMerge w:val="continue"/>
                  <w:vAlign w:val="center"/>
                </w:tcPr>
                <w:p>
                  <w:pPr>
                    <w:adjustRightInd w:val="0"/>
                    <w:snapToGrid w:val="0"/>
                    <w:jc w:val="center"/>
                    <w:rPr>
                      <w:bCs/>
                      <w:kern w:val="0"/>
                      <w:szCs w:val="21"/>
                    </w:rPr>
                  </w:pPr>
                </w:p>
              </w:tc>
              <w:tc>
                <w:tcPr>
                  <w:tcW w:w="5189" w:type="dxa"/>
                  <w:vAlign w:val="center"/>
                </w:tcPr>
                <w:p>
                  <w:pPr>
                    <w:widowControl/>
                    <w:tabs>
                      <w:tab w:val="left" w:pos="1260"/>
                    </w:tabs>
                    <w:adjustRightInd w:val="0"/>
                    <w:snapToGrid w:val="0"/>
                    <w:rPr>
                      <w:szCs w:val="21"/>
                    </w:rPr>
                  </w:pPr>
                  <w:r>
                    <w:rPr>
                      <w:szCs w:val="21"/>
                    </w:rPr>
                    <w:t>危险废物：除尘器灰渣、废活性炭、解剖废物暂存于危废暂存间内定期交由有资质的单位处理。</w:t>
                  </w:r>
                </w:p>
              </w:tc>
              <w:tc>
                <w:tcPr>
                  <w:tcW w:w="916" w:type="dxa"/>
                  <w:vMerge w:val="continue"/>
                  <w:vAlign w:val="center"/>
                </w:tcPr>
                <w:p>
                  <w:pPr>
                    <w:pStyle w:val="40"/>
                    <w:snapToGrid w:val="0"/>
                    <w:spacing w:line="240" w:lineRule="auto"/>
                    <w:textAlignment w:val="auto"/>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pStyle w:val="40"/>
                    <w:snapToGrid w:val="0"/>
                    <w:spacing w:line="240" w:lineRule="auto"/>
                    <w:textAlignment w:val="auto"/>
                    <w:rPr>
                      <w:rFonts w:ascii="Times New Roman" w:hAnsi="Times New Roman"/>
                      <w:bCs/>
                      <w:szCs w:val="21"/>
                    </w:rPr>
                  </w:pPr>
                </w:p>
              </w:tc>
              <w:tc>
                <w:tcPr>
                  <w:tcW w:w="1346" w:type="dxa"/>
                  <w:vAlign w:val="center"/>
                </w:tcPr>
                <w:p>
                  <w:pPr>
                    <w:adjustRightInd w:val="0"/>
                    <w:snapToGrid w:val="0"/>
                    <w:jc w:val="center"/>
                    <w:rPr>
                      <w:bCs/>
                      <w:kern w:val="0"/>
                      <w:szCs w:val="21"/>
                    </w:rPr>
                  </w:pPr>
                  <w:r>
                    <w:rPr>
                      <w:bCs/>
                      <w:kern w:val="0"/>
                      <w:szCs w:val="21"/>
                    </w:rPr>
                    <w:t>噪声治理</w:t>
                  </w:r>
                </w:p>
              </w:tc>
              <w:tc>
                <w:tcPr>
                  <w:tcW w:w="5189" w:type="dxa"/>
                  <w:vAlign w:val="center"/>
                </w:tcPr>
                <w:p>
                  <w:pPr>
                    <w:pStyle w:val="40"/>
                    <w:snapToGrid w:val="0"/>
                    <w:spacing w:line="240" w:lineRule="auto"/>
                    <w:jc w:val="both"/>
                    <w:textAlignment w:val="auto"/>
                    <w:rPr>
                      <w:rFonts w:ascii="Times New Roman" w:hAnsi="Times New Roman"/>
                      <w:bCs/>
                      <w:szCs w:val="21"/>
                    </w:rPr>
                  </w:pPr>
                  <w:r>
                    <w:rPr>
                      <w:rFonts w:ascii="Times New Roman" w:hAnsi="Times New Roman"/>
                      <w:bCs/>
                      <w:szCs w:val="21"/>
                    </w:rPr>
                    <w:t>选用低噪设备，设备进行基础减震，建筑物隔声，加强设备保养。</w:t>
                  </w:r>
                </w:p>
              </w:tc>
              <w:tc>
                <w:tcPr>
                  <w:tcW w:w="916" w:type="dxa"/>
                  <w:vMerge w:val="continue"/>
                  <w:vAlign w:val="center"/>
                </w:tcPr>
                <w:p>
                  <w:pPr>
                    <w:pStyle w:val="40"/>
                    <w:snapToGrid w:val="0"/>
                    <w:spacing w:line="240" w:lineRule="auto"/>
                    <w:textAlignment w:val="auto"/>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692" w:type="dxa"/>
                  <w:vMerge w:val="continue"/>
                  <w:vAlign w:val="center"/>
                </w:tcPr>
                <w:p>
                  <w:pPr>
                    <w:pStyle w:val="40"/>
                    <w:snapToGrid w:val="0"/>
                    <w:spacing w:line="240" w:lineRule="auto"/>
                    <w:textAlignment w:val="auto"/>
                    <w:rPr>
                      <w:rFonts w:ascii="Times New Roman" w:hAnsi="Times New Roman"/>
                      <w:bCs/>
                      <w:szCs w:val="21"/>
                    </w:rPr>
                  </w:pPr>
                </w:p>
              </w:tc>
              <w:tc>
                <w:tcPr>
                  <w:tcW w:w="1346" w:type="dxa"/>
                  <w:vAlign w:val="center"/>
                </w:tcPr>
                <w:p>
                  <w:pPr>
                    <w:adjustRightInd w:val="0"/>
                    <w:snapToGrid w:val="0"/>
                    <w:jc w:val="center"/>
                    <w:rPr>
                      <w:bCs/>
                      <w:kern w:val="0"/>
                      <w:szCs w:val="21"/>
                    </w:rPr>
                  </w:pPr>
                  <w:r>
                    <w:rPr>
                      <w:bCs/>
                      <w:kern w:val="0"/>
                      <w:szCs w:val="21"/>
                    </w:rPr>
                    <w:t>绿化</w:t>
                  </w:r>
                </w:p>
              </w:tc>
              <w:tc>
                <w:tcPr>
                  <w:tcW w:w="5189" w:type="dxa"/>
                  <w:vAlign w:val="center"/>
                </w:tcPr>
                <w:p>
                  <w:pPr>
                    <w:pStyle w:val="40"/>
                    <w:snapToGrid w:val="0"/>
                    <w:spacing w:line="240" w:lineRule="auto"/>
                    <w:jc w:val="both"/>
                    <w:textAlignment w:val="auto"/>
                    <w:rPr>
                      <w:rFonts w:ascii="Times New Roman" w:hAnsi="Times New Roman"/>
                      <w:bCs/>
                      <w:szCs w:val="21"/>
                    </w:rPr>
                  </w:pPr>
                  <w:r>
                    <w:rPr>
                      <w:rFonts w:ascii="Times New Roman" w:hAnsi="Times New Roman"/>
                      <w:bCs/>
                      <w:szCs w:val="21"/>
                    </w:rPr>
                    <w:t>绿化面积13936.67m</w:t>
                  </w:r>
                  <w:r>
                    <w:rPr>
                      <w:rFonts w:ascii="Times New Roman" w:hAnsi="Times New Roman"/>
                      <w:bCs/>
                      <w:szCs w:val="21"/>
                      <w:vertAlign w:val="superscript"/>
                    </w:rPr>
                    <w:t>2</w:t>
                  </w:r>
                  <w:r>
                    <w:rPr>
                      <w:rFonts w:ascii="Times New Roman" w:hAnsi="Times New Roman"/>
                      <w:bCs/>
                      <w:szCs w:val="21"/>
                    </w:rPr>
                    <w:t>。</w:t>
                  </w:r>
                </w:p>
              </w:tc>
              <w:tc>
                <w:tcPr>
                  <w:tcW w:w="916" w:type="dxa"/>
                  <w:vMerge w:val="continue"/>
                  <w:vAlign w:val="center"/>
                </w:tcPr>
                <w:p>
                  <w:pPr>
                    <w:pStyle w:val="40"/>
                    <w:snapToGrid w:val="0"/>
                    <w:spacing w:line="240" w:lineRule="auto"/>
                    <w:textAlignment w:val="auto"/>
                    <w:rPr>
                      <w:rFonts w:ascii="Times New Roman" w:hAnsi="Times New Roman"/>
                      <w:bCs/>
                      <w:szCs w:val="21"/>
                    </w:rPr>
                  </w:pPr>
                </w:p>
              </w:tc>
            </w:tr>
          </w:tbl>
          <w:p>
            <w:pPr>
              <w:kinsoku w:val="0"/>
              <w:overflowPunct w:val="0"/>
              <w:autoSpaceDE w:val="0"/>
              <w:autoSpaceDN w:val="0"/>
              <w:adjustRightInd w:val="0"/>
              <w:snapToGrid w:val="0"/>
              <w:spacing w:line="360" w:lineRule="auto"/>
              <w:ind w:firstLine="482" w:firstLineChars="200"/>
              <w:rPr>
                <w:b/>
                <w:sz w:val="24"/>
              </w:rPr>
            </w:pPr>
            <w:r>
              <w:rPr>
                <w:rFonts w:hint="eastAsia"/>
                <w:b/>
                <w:sz w:val="24"/>
              </w:rPr>
              <w:t>3</w:t>
            </w:r>
            <w:r>
              <w:rPr>
                <w:b/>
                <w:sz w:val="24"/>
              </w:rPr>
              <w:t>、主要设备</w:t>
            </w:r>
          </w:p>
          <w:p>
            <w:pPr>
              <w:kinsoku w:val="0"/>
              <w:overflowPunct w:val="0"/>
              <w:autoSpaceDE w:val="0"/>
              <w:autoSpaceDN w:val="0"/>
              <w:adjustRightInd w:val="0"/>
              <w:snapToGrid w:val="0"/>
              <w:spacing w:line="360" w:lineRule="auto"/>
              <w:ind w:firstLine="480" w:firstLineChars="200"/>
              <w:rPr>
                <w:sz w:val="24"/>
              </w:rPr>
            </w:pPr>
            <w:r>
              <w:rPr>
                <w:sz w:val="24"/>
              </w:rPr>
              <w:t>本项目主要设备如下表：</w:t>
            </w:r>
          </w:p>
          <w:p>
            <w:pPr>
              <w:jc w:val="center"/>
              <w:outlineLvl w:val="0"/>
              <w:rPr>
                <w:b/>
                <w:bCs/>
                <w:sz w:val="24"/>
              </w:rPr>
            </w:pPr>
            <w:r>
              <w:rPr>
                <w:b/>
                <w:bCs/>
                <w:sz w:val="24"/>
              </w:rPr>
              <w:t>表2-2项目设备清单一览表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2820"/>
              <w:gridCol w:w="1865"/>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pct"/>
                  <w:vAlign w:val="center"/>
                </w:tcPr>
                <w:p>
                  <w:pPr>
                    <w:adjustRightInd w:val="0"/>
                    <w:snapToGrid w:val="0"/>
                    <w:jc w:val="center"/>
                    <w:rPr>
                      <w:b/>
                      <w:szCs w:val="21"/>
                    </w:rPr>
                  </w:pPr>
                  <w:r>
                    <w:rPr>
                      <w:b/>
                      <w:szCs w:val="21"/>
                    </w:rPr>
                    <w:t>序号</w:t>
                  </w:r>
                </w:p>
              </w:tc>
              <w:tc>
                <w:tcPr>
                  <w:tcW w:w="1723" w:type="pct"/>
                  <w:vAlign w:val="center"/>
                </w:tcPr>
                <w:p>
                  <w:pPr>
                    <w:adjustRightInd w:val="0"/>
                    <w:snapToGrid w:val="0"/>
                    <w:jc w:val="center"/>
                    <w:rPr>
                      <w:b/>
                      <w:szCs w:val="21"/>
                    </w:rPr>
                  </w:pPr>
                  <w:r>
                    <w:rPr>
                      <w:b/>
                      <w:szCs w:val="21"/>
                    </w:rPr>
                    <w:t>设备名称</w:t>
                  </w:r>
                </w:p>
              </w:tc>
              <w:tc>
                <w:tcPr>
                  <w:tcW w:w="1140" w:type="pct"/>
                  <w:vAlign w:val="center"/>
                </w:tcPr>
                <w:p>
                  <w:pPr>
                    <w:adjustRightInd w:val="0"/>
                    <w:snapToGrid w:val="0"/>
                    <w:jc w:val="center"/>
                    <w:rPr>
                      <w:b/>
                      <w:szCs w:val="21"/>
                    </w:rPr>
                  </w:pPr>
                  <w:r>
                    <w:rPr>
                      <w:b/>
                      <w:szCs w:val="21"/>
                    </w:rPr>
                    <w:t>设备型号</w:t>
                  </w:r>
                </w:p>
              </w:tc>
              <w:tc>
                <w:tcPr>
                  <w:tcW w:w="1482" w:type="pct"/>
                  <w:vAlign w:val="center"/>
                </w:tcPr>
                <w:p>
                  <w:pPr>
                    <w:adjustRightInd w:val="0"/>
                    <w:snapToGrid w:val="0"/>
                    <w:jc w:val="center"/>
                    <w:rPr>
                      <w:b/>
                      <w:szCs w:val="21"/>
                    </w:rPr>
                  </w:pPr>
                  <w:r>
                    <w:rPr>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1</w:t>
                  </w:r>
                </w:p>
              </w:tc>
              <w:tc>
                <w:tcPr>
                  <w:tcW w:w="1723" w:type="pct"/>
                  <w:vAlign w:val="center"/>
                </w:tcPr>
                <w:p>
                  <w:pPr>
                    <w:adjustRightInd w:val="0"/>
                    <w:snapToGrid w:val="0"/>
                    <w:jc w:val="center"/>
                    <w:rPr>
                      <w:szCs w:val="21"/>
                    </w:rPr>
                  </w:pPr>
                  <w:r>
                    <w:rPr>
                      <w:szCs w:val="21"/>
                    </w:rPr>
                    <w:t>平板式火化炉</w:t>
                  </w:r>
                </w:p>
              </w:tc>
              <w:tc>
                <w:tcPr>
                  <w:tcW w:w="1140" w:type="pct"/>
                  <w:vAlign w:val="center"/>
                </w:tcPr>
                <w:p>
                  <w:pPr>
                    <w:adjustRightInd w:val="0"/>
                    <w:snapToGrid w:val="0"/>
                    <w:jc w:val="center"/>
                    <w:rPr>
                      <w:szCs w:val="21"/>
                    </w:rPr>
                  </w:pPr>
                  <w:r>
                    <w:rPr>
                      <w:szCs w:val="21"/>
                    </w:rPr>
                    <w:t>GX-PB型</w:t>
                  </w:r>
                </w:p>
              </w:tc>
              <w:tc>
                <w:tcPr>
                  <w:tcW w:w="1482" w:type="pct"/>
                  <w:vAlign w:val="center"/>
                </w:tcPr>
                <w:p>
                  <w:pPr>
                    <w:adjustRightInd w:val="0"/>
                    <w:snapToGrid w:val="0"/>
                    <w:jc w:val="center"/>
                    <w:rPr>
                      <w:szCs w:val="21"/>
                    </w:rPr>
                  </w:pPr>
                  <w:r>
                    <w:rPr>
                      <w:szCs w:val="21"/>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2</w:t>
                  </w:r>
                </w:p>
              </w:tc>
              <w:tc>
                <w:tcPr>
                  <w:tcW w:w="1723" w:type="pct"/>
                  <w:vAlign w:val="center"/>
                </w:tcPr>
                <w:p>
                  <w:pPr>
                    <w:adjustRightInd w:val="0"/>
                    <w:snapToGrid w:val="0"/>
                    <w:jc w:val="center"/>
                    <w:rPr>
                      <w:szCs w:val="21"/>
                    </w:rPr>
                  </w:pPr>
                  <w:r>
                    <w:rPr>
                      <w:szCs w:val="21"/>
                    </w:rPr>
                    <w:t>拣灰式火化炉</w:t>
                  </w:r>
                </w:p>
              </w:tc>
              <w:tc>
                <w:tcPr>
                  <w:tcW w:w="1140" w:type="pct"/>
                  <w:vAlign w:val="center"/>
                </w:tcPr>
                <w:p>
                  <w:pPr>
                    <w:adjustRightInd w:val="0"/>
                    <w:snapToGrid w:val="0"/>
                    <w:jc w:val="center"/>
                    <w:rPr>
                      <w:szCs w:val="21"/>
                    </w:rPr>
                  </w:pPr>
                  <w:r>
                    <w:rPr>
                      <w:szCs w:val="21"/>
                    </w:rPr>
                    <w:t>GX-JH型</w:t>
                  </w:r>
                </w:p>
              </w:tc>
              <w:tc>
                <w:tcPr>
                  <w:tcW w:w="1482" w:type="pct"/>
                  <w:vAlign w:val="center"/>
                </w:tcPr>
                <w:p>
                  <w:pPr>
                    <w:adjustRightInd w:val="0"/>
                    <w:snapToGrid w:val="0"/>
                    <w:jc w:val="center"/>
                    <w:rPr>
                      <w:szCs w:val="21"/>
                    </w:rPr>
                  </w:pPr>
                  <w:r>
                    <w:rPr>
                      <w:szCs w:val="21"/>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3</w:t>
                  </w:r>
                </w:p>
              </w:tc>
              <w:tc>
                <w:tcPr>
                  <w:tcW w:w="1723" w:type="pct"/>
                  <w:vAlign w:val="center"/>
                </w:tcPr>
                <w:p>
                  <w:pPr>
                    <w:adjustRightInd w:val="0"/>
                    <w:snapToGrid w:val="0"/>
                    <w:jc w:val="center"/>
                    <w:rPr>
                      <w:szCs w:val="21"/>
                    </w:rPr>
                  </w:pPr>
                  <w:r>
                    <w:rPr>
                      <w:szCs w:val="21"/>
                    </w:rPr>
                    <w:t>遗物焚烧炉</w:t>
                  </w:r>
                </w:p>
              </w:tc>
              <w:tc>
                <w:tcPr>
                  <w:tcW w:w="1140" w:type="pct"/>
                  <w:vAlign w:val="center"/>
                </w:tcPr>
                <w:p>
                  <w:pPr>
                    <w:adjustRightInd w:val="0"/>
                    <w:snapToGrid w:val="0"/>
                    <w:jc w:val="center"/>
                    <w:rPr>
                      <w:szCs w:val="21"/>
                    </w:rPr>
                  </w:pPr>
                  <w:r>
                    <w:rPr>
                      <w:szCs w:val="21"/>
                    </w:rPr>
                    <w:t>GX-FS型</w:t>
                  </w:r>
                </w:p>
              </w:tc>
              <w:tc>
                <w:tcPr>
                  <w:tcW w:w="1482" w:type="pct"/>
                  <w:vAlign w:val="center"/>
                </w:tcPr>
                <w:p>
                  <w:pPr>
                    <w:adjustRightInd w:val="0"/>
                    <w:snapToGrid w:val="0"/>
                    <w:jc w:val="center"/>
                    <w:rPr>
                      <w:szCs w:val="21"/>
                    </w:rPr>
                  </w:pPr>
                  <w:r>
                    <w:rPr>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4</w:t>
                  </w:r>
                </w:p>
              </w:tc>
              <w:tc>
                <w:tcPr>
                  <w:tcW w:w="1723" w:type="pct"/>
                  <w:vAlign w:val="center"/>
                </w:tcPr>
                <w:p>
                  <w:pPr>
                    <w:adjustRightInd w:val="0"/>
                    <w:snapToGrid w:val="0"/>
                    <w:jc w:val="center"/>
                    <w:rPr>
                      <w:szCs w:val="21"/>
                    </w:rPr>
                  </w:pPr>
                  <w:r>
                    <w:rPr>
                      <w:szCs w:val="21"/>
                    </w:rPr>
                    <w:t>十二生肖记祭祀炉</w:t>
                  </w:r>
                </w:p>
              </w:tc>
              <w:tc>
                <w:tcPr>
                  <w:tcW w:w="1140" w:type="pct"/>
                  <w:vAlign w:val="center"/>
                </w:tcPr>
                <w:p>
                  <w:pPr>
                    <w:adjustRightInd w:val="0"/>
                    <w:snapToGrid w:val="0"/>
                    <w:jc w:val="center"/>
                    <w:rPr>
                      <w:szCs w:val="21"/>
                    </w:rPr>
                  </w:pPr>
                  <w:r>
                    <w:rPr>
                      <w:szCs w:val="21"/>
                    </w:rPr>
                    <w:t>GX-JS型</w:t>
                  </w:r>
                </w:p>
              </w:tc>
              <w:tc>
                <w:tcPr>
                  <w:tcW w:w="1482" w:type="pct"/>
                  <w:vAlign w:val="center"/>
                </w:tcPr>
                <w:p>
                  <w:pPr>
                    <w:adjustRightInd w:val="0"/>
                    <w:snapToGrid w:val="0"/>
                    <w:jc w:val="center"/>
                    <w:rPr>
                      <w:szCs w:val="21"/>
                    </w:rPr>
                  </w:pPr>
                  <w:r>
                    <w:rPr>
                      <w:szCs w:val="21"/>
                    </w:rPr>
                    <w:t>1组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5</w:t>
                  </w:r>
                </w:p>
              </w:tc>
              <w:tc>
                <w:tcPr>
                  <w:tcW w:w="1723" w:type="pct"/>
                  <w:vAlign w:val="center"/>
                </w:tcPr>
                <w:p>
                  <w:pPr>
                    <w:adjustRightInd w:val="0"/>
                    <w:snapToGrid w:val="0"/>
                    <w:jc w:val="center"/>
                    <w:rPr>
                      <w:szCs w:val="21"/>
                    </w:rPr>
                  </w:pPr>
                  <w:r>
                    <w:rPr>
                      <w:szCs w:val="21"/>
                    </w:rPr>
                    <w:t>火化炉消烟除尘设备</w:t>
                  </w:r>
                </w:p>
              </w:tc>
              <w:tc>
                <w:tcPr>
                  <w:tcW w:w="1140" w:type="pct"/>
                  <w:vAlign w:val="center"/>
                </w:tcPr>
                <w:p>
                  <w:pPr>
                    <w:adjustRightInd w:val="0"/>
                    <w:snapToGrid w:val="0"/>
                    <w:jc w:val="center"/>
                    <w:rPr>
                      <w:szCs w:val="21"/>
                    </w:rPr>
                  </w:pPr>
                  <w:r>
                    <w:rPr>
                      <w:szCs w:val="21"/>
                    </w:rPr>
                    <w:t>GX-WQ18型</w:t>
                  </w:r>
                </w:p>
              </w:tc>
              <w:tc>
                <w:tcPr>
                  <w:tcW w:w="1482" w:type="pct"/>
                  <w:vAlign w:val="center"/>
                </w:tcPr>
                <w:p>
                  <w:pPr>
                    <w:adjustRightInd w:val="0"/>
                    <w:snapToGrid w:val="0"/>
                    <w:jc w:val="center"/>
                    <w:rPr>
                      <w:szCs w:val="21"/>
                    </w:rPr>
                  </w:pPr>
                  <w:r>
                    <w:rPr>
                      <w:szCs w:val="21"/>
                    </w:rPr>
                    <w:t>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6</w:t>
                  </w:r>
                </w:p>
              </w:tc>
              <w:tc>
                <w:tcPr>
                  <w:tcW w:w="1723" w:type="pct"/>
                  <w:vAlign w:val="center"/>
                </w:tcPr>
                <w:p>
                  <w:pPr>
                    <w:adjustRightInd w:val="0"/>
                    <w:snapToGrid w:val="0"/>
                    <w:jc w:val="center"/>
                    <w:rPr>
                      <w:szCs w:val="21"/>
                    </w:rPr>
                  </w:pPr>
                  <w:r>
                    <w:rPr>
                      <w:szCs w:val="21"/>
                    </w:rPr>
                    <w:t>焚烧炉消烟除尘设备</w:t>
                  </w:r>
                </w:p>
              </w:tc>
              <w:tc>
                <w:tcPr>
                  <w:tcW w:w="1140" w:type="pct"/>
                  <w:vAlign w:val="center"/>
                </w:tcPr>
                <w:p>
                  <w:pPr>
                    <w:adjustRightInd w:val="0"/>
                    <w:snapToGrid w:val="0"/>
                    <w:jc w:val="center"/>
                    <w:rPr>
                      <w:szCs w:val="21"/>
                    </w:rPr>
                  </w:pPr>
                  <w:r>
                    <w:rPr>
                      <w:szCs w:val="21"/>
                    </w:rPr>
                    <w:t>GX-WQ22型</w:t>
                  </w:r>
                </w:p>
              </w:tc>
              <w:tc>
                <w:tcPr>
                  <w:tcW w:w="1482" w:type="pct"/>
                  <w:vAlign w:val="center"/>
                </w:tcPr>
                <w:p>
                  <w:pPr>
                    <w:adjustRightInd w:val="0"/>
                    <w:snapToGrid w:val="0"/>
                    <w:jc w:val="center"/>
                    <w:rPr>
                      <w:szCs w:val="21"/>
                    </w:rPr>
                  </w:pPr>
                  <w:r>
                    <w:rPr>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7</w:t>
                  </w:r>
                </w:p>
              </w:tc>
              <w:tc>
                <w:tcPr>
                  <w:tcW w:w="1723" w:type="pct"/>
                  <w:vAlign w:val="center"/>
                </w:tcPr>
                <w:p>
                  <w:pPr>
                    <w:adjustRightInd w:val="0"/>
                    <w:snapToGrid w:val="0"/>
                    <w:jc w:val="center"/>
                    <w:rPr>
                      <w:szCs w:val="21"/>
                    </w:rPr>
                  </w:pPr>
                  <w:r>
                    <w:rPr>
                      <w:szCs w:val="21"/>
                    </w:rPr>
                    <w:t>祭祀炉消烟除尘设备</w:t>
                  </w:r>
                </w:p>
              </w:tc>
              <w:tc>
                <w:tcPr>
                  <w:tcW w:w="1140" w:type="pct"/>
                  <w:vAlign w:val="center"/>
                </w:tcPr>
                <w:p>
                  <w:pPr>
                    <w:adjustRightInd w:val="0"/>
                    <w:snapToGrid w:val="0"/>
                    <w:jc w:val="center"/>
                    <w:rPr>
                      <w:szCs w:val="21"/>
                    </w:rPr>
                  </w:pPr>
                  <w:r>
                    <w:rPr>
                      <w:szCs w:val="21"/>
                    </w:rPr>
                    <w:t>GX-WQ18型</w:t>
                  </w:r>
                </w:p>
              </w:tc>
              <w:tc>
                <w:tcPr>
                  <w:tcW w:w="1482" w:type="pct"/>
                  <w:vAlign w:val="center"/>
                </w:tcPr>
                <w:p>
                  <w:pPr>
                    <w:adjustRightInd w:val="0"/>
                    <w:snapToGrid w:val="0"/>
                    <w:jc w:val="center"/>
                    <w:rPr>
                      <w:szCs w:val="21"/>
                    </w:rPr>
                  </w:pPr>
                  <w:r>
                    <w:rPr>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8</w:t>
                  </w:r>
                </w:p>
              </w:tc>
              <w:tc>
                <w:tcPr>
                  <w:tcW w:w="1723" w:type="pct"/>
                  <w:vAlign w:val="center"/>
                </w:tcPr>
                <w:p>
                  <w:pPr>
                    <w:adjustRightInd w:val="0"/>
                    <w:snapToGrid w:val="0"/>
                    <w:jc w:val="center"/>
                    <w:rPr>
                      <w:szCs w:val="21"/>
                    </w:rPr>
                  </w:pPr>
                  <w:r>
                    <w:rPr>
                      <w:szCs w:val="21"/>
                    </w:rPr>
                    <w:t>殡仪车</w:t>
                  </w:r>
                </w:p>
              </w:tc>
              <w:tc>
                <w:tcPr>
                  <w:tcW w:w="1140" w:type="pct"/>
                  <w:vAlign w:val="center"/>
                </w:tcPr>
                <w:p>
                  <w:pPr>
                    <w:adjustRightInd w:val="0"/>
                    <w:snapToGrid w:val="0"/>
                    <w:jc w:val="center"/>
                    <w:rPr>
                      <w:szCs w:val="21"/>
                    </w:rPr>
                  </w:pPr>
                  <w:r>
                    <w:rPr>
                      <w:szCs w:val="21"/>
                    </w:rPr>
                    <w:t>/</w:t>
                  </w:r>
                </w:p>
              </w:tc>
              <w:tc>
                <w:tcPr>
                  <w:tcW w:w="1482" w:type="pct"/>
                  <w:vAlign w:val="center"/>
                </w:tcPr>
                <w:p>
                  <w:pPr>
                    <w:adjustRightInd w:val="0"/>
                    <w:snapToGrid w:val="0"/>
                    <w:jc w:val="center"/>
                    <w:rPr>
                      <w:szCs w:val="21"/>
                    </w:rPr>
                  </w:pPr>
                  <w:r>
                    <w:rPr>
                      <w:szCs w:val="21"/>
                    </w:rPr>
                    <w:t>10辆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9</w:t>
                  </w:r>
                </w:p>
              </w:tc>
              <w:tc>
                <w:tcPr>
                  <w:tcW w:w="1723" w:type="pct"/>
                  <w:vAlign w:val="center"/>
                </w:tcPr>
                <w:p>
                  <w:pPr>
                    <w:adjustRightInd w:val="0"/>
                    <w:snapToGrid w:val="0"/>
                    <w:jc w:val="center"/>
                    <w:rPr>
                      <w:szCs w:val="21"/>
                    </w:rPr>
                  </w:pPr>
                  <w:r>
                    <w:rPr>
                      <w:szCs w:val="21"/>
                    </w:rPr>
                    <w:t>遗体冷冻冷藏设备</w:t>
                  </w:r>
                </w:p>
              </w:tc>
              <w:tc>
                <w:tcPr>
                  <w:tcW w:w="1140" w:type="pct"/>
                  <w:vAlign w:val="center"/>
                </w:tcPr>
                <w:p>
                  <w:pPr>
                    <w:adjustRightInd w:val="0"/>
                    <w:snapToGrid w:val="0"/>
                    <w:jc w:val="center"/>
                    <w:rPr>
                      <w:szCs w:val="21"/>
                    </w:rPr>
                  </w:pPr>
                  <w:r>
                    <w:rPr>
                      <w:szCs w:val="21"/>
                    </w:rPr>
                    <w:t>/</w:t>
                  </w:r>
                </w:p>
              </w:tc>
              <w:tc>
                <w:tcPr>
                  <w:tcW w:w="1482" w:type="pct"/>
                  <w:vAlign w:val="center"/>
                </w:tcPr>
                <w:p>
                  <w:pPr>
                    <w:adjustRightInd w:val="0"/>
                    <w:snapToGrid w:val="0"/>
                    <w:jc w:val="center"/>
                    <w:rPr>
                      <w:szCs w:val="21"/>
                    </w:rPr>
                  </w:pPr>
                  <w:r>
                    <w:rPr>
                      <w:szCs w:val="21"/>
                    </w:rPr>
                    <w:t>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10</w:t>
                  </w:r>
                </w:p>
              </w:tc>
              <w:tc>
                <w:tcPr>
                  <w:tcW w:w="1723" w:type="pct"/>
                  <w:vAlign w:val="center"/>
                </w:tcPr>
                <w:p>
                  <w:pPr>
                    <w:adjustRightInd w:val="0"/>
                    <w:snapToGrid w:val="0"/>
                    <w:jc w:val="center"/>
                    <w:rPr>
                      <w:szCs w:val="21"/>
                    </w:rPr>
                  </w:pPr>
                  <w:r>
                    <w:rPr>
                      <w:szCs w:val="21"/>
                    </w:rPr>
                    <w:t>室内空气净化消毒专用设备</w:t>
                  </w:r>
                </w:p>
              </w:tc>
              <w:tc>
                <w:tcPr>
                  <w:tcW w:w="1140" w:type="pct"/>
                  <w:vAlign w:val="center"/>
                </w:tcPr>
                <w:p>
                  <w:pPr>
                    <w:adjustRightInd w:val="0"/>
                    <w:snapToGrid w:val="0"/>
                    <w:jc w:val="center"/>
                    <w:rPr>
                      <w:szCs w:val="21"/>
                    </w:rPr>
                  </w:pPr>
                  <w:r>
                    <w:rPr>
                      <w:szCs w:val="21"/>
                    </w:rPr>
                    <w:t>/</w:t>
                  </w:r>
                </w:p>
              </w:tc>
              <w:tc>
                <w:tcPr>
                  <w:tcW w:w="1482" w:type="pct"/>
                  <w:vAlign w:val="center"/>
                </w:tcPr>
                <w:p>
                  <w:pPr>
                    <w:adjustRightInd w:val="0"/>
                    <w:snapToGrid w:val="0"/>
                    <w:jc w:val="center"/>
                    <w:rPr>
                      <w:szCs w:val="21"/>
                    </w:rPr>
                  </w:pPr>
                  <w:r>
                    <w:rPr>
                      <w:szCs w:val="21"/>
                    </w:rPr>
                    <w:t>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11</w:t>
                  </w:r>
                </w:p>
              </w:tc>
              <w:tc>
                <w:tcPr>
                  <w:tcW w:w="1723" w:type="pct"/>
                  <w:vAlign w:val="center"/>
                </w:tcPr>
                <w:p>
                  <w:pPr>
                    <w:adjustRightInd w:val="0"/>
                    <w:snapToGrid w:val="0"/>
                    <w:jc w:val="center"/>
                    <w:rPr>
                      <w:szCs w:val="21"/>
                    </w:rPr>
                  </w:pPr>
                  <w:r>
                    <w:rPr>
                      <w:szCs w:val="21"/>
                    </w:rPr>
                    <w:t>遗体防腐整容设备</w:t>
                  </w:r>
                </w:p>
              </w:tc>
              <w:tc>
                <w:tcPr>
                  <w:tcW w:w="1140" w:type="pct"/>
                  <w:vAlign w:val="center"/>
                </w:tcPr>
                <w:p>
                  <w:pPr>
                    <w:adjustRightInd w:val="0"/>
                    <w:snapToGrid w:val="0"/>
                    <w:jc w:val="center"/>
                    <w:rPr>
                      <w:szCs w:val="21"/>
                    </w:rPr>
                  </w:pPr>
                  <w:r>
                    <w:rPr>
                      <w:szCs w:val="21"/>
                    </w:rPr>
                    <w:t>/</w:t>
                  </w:r>
                </w:p>
              </w:tc>
              <w:tc>
                <w:tcPr>
                  <w:tcW w:w="1482" w:type="pct"/>
                  <w:vAlign w:val="center"/>
                </w:tcPr>
                <w:p>
                  <w:pPr>
                    <w:adjustRightInd w:val="0"/>
                    <w:snapToGrid w:val="0"/>
                    <w:jc w:val="center"/>
                    <w:rPr>
                      <w:szCs w:val="21"/>
                    </w:rPr>
                  </w:pPr>
                  <w:r>
                    <w:rPr>
                      <w:szCs w:val="21"/>
                    </w:rPr>
                    <w:t>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12</w:t>
                  </w:r>
                </w:p>
              </w:tc>
              <w:tc>
                <w:tcPr>
                  <w:tcW w:w="1723" w:type="pct"/>
                  <w:vAlign w:val="center"/>
                </w:tcPr>
                <w:p>
                  <w:pPr>
                    <w:adjustRightInd w:val="0"/>
                    <w:snapToGrid w:val="0"/>
                    <w:jc w:val="center"/>
                    <w:rPr>
                      <w:szCs w:val="21"/>
                    </w:rPr>
                  </w:pPr>
                  <w:r>
                    <w:rPr>
                      <w:szCs w:val="21"/>
                    </w:rPr>
                    <w:t>遗体瞻仰棺</w:t>
                  </w:r>
                </w:p>
              </w:tc>
              <w:tc>
                <w:tcPr>
                  <w:tcW w:w="1140" w:type="pct"/>
                  <w:vAlign w:val="center"/>
                </w:tcPr>
                <w:p>
                  <w:pPr>
                    <w:adjustRightInd w:val="0"/>
                    <w:snapToGrid w:val="0"/>
                    <w:jc w:val="center"/>
                    <w:rPr>
                      <w:szCs w:val="21"/>
                    </w:rPr>
                  </w:pPr>
                  <w:r>
                    <w:rPr>
                      <w:szCs w:val="21"/>
                    </w:rPr>
                    <w:t>/</w:t>
                  </w:r>
                </w:p>
              </w:tc>
              <w:tc>
                <w:tcPr>
                  <w:tcW w:w="1482" w:type="pct"/>
                  <w:vAlign w:val="center"/>
                </w:tcPr>
                <w:p>
                  <w:pPr>
                    <w:adjustRightInd w:val="0"/>
                    <w:snapToGrid w:val="0"/>
                    <w:jc w:val="center"/>
                    <w:rPr>
                      <w:szCs w:val="21"/>
                    </w:rPr>
                  </w:pPr>
                  <w:r>
                    <w:rPr>
                      <w:szCs w:val="21"/>
                    </w:rPr>
                    <w:t>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13</w:t>
                  </w:r>
                </w:p>
              </w:tc>
              <w:tc>
                <w:tcPr>
                  <w:tcW w:w="1723" w:type="pct"/>
                  <w:vAlign w:val="center"/>
                </w:tcPr>
                <w:p>
                  <w:pPr>
                    <w:adjustRightInd w:val="0"/>
                    <w:snapToGrid w:val="0"/>
                    <w:jc w:val="center"/>
                    <w:rPr>
                      <w:szCs w:val="21"/>
                    </w:rPr>
                  </w:pPr>
                  <w:r>
                    <w:rPr>
                      <w:szCs w:val="21"/>
                    </w:rPr>
                    <w:t>遗体清洗消毒设备</w:t>
                  </w:r>
                </w:p>
              </w:tc>
              <w:tc>
                <w:tcPr>
                  <w:tcW w:w="1140" w:type="pct"/>
                  <w:vAlign w:val="center"/>
                </w:tcPr>
                <w:p>
                  <w:pPr>
                    <w:adjustRightInd w:val="0"/>
                    <w:snapToGrid w:val="0"/>
                    <w:jc w:val="center"/>
                    <w:rPr>
                      <w:szCs w:val="21"/>
                    </w:rPr>
                  </w:pPr>
                  <w:r>
                    <w:rPr>
                      <w:szCs w:val="21"/>
                    </w:rPr>
                    <w:t>/</w:t>
                  </w:r>
                </w:p>
              </w:tc>
              <w:tc>
                <w:tcPr>
                  <w:tcW w:w="1482" w:type="pct"/>
                  <w:vAlign w:val="center"/>
                </w:tcPr>
                <w:p>
                  <w:pPr>
                    <w:adjustRightInd w:val="0"/>
                    <w:snapToGrid w:val="0"/>
                    <w:jc w:val="center"/>
                    <w:rPr>
                      <w:szCs w:val="21"/>
                    </w:rPr>
                  </w:pPr>
                  <w:r>
                    <w:rPr>
                      <w:szCs w:val="21"/>
                    </w:rPr>
                    <w:t>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14</w:t>
                  </w:r>
                </w:p>
              </w:tc>
              <w:tc>
                <w:tcPr>
                  <w:tcW w:w="1723" w:type="pct"/>
                  <w:vAlign w:val="center"/>
                </w:tcPr>
                <w:p>
                  <w:pPr>
                    <w:adjustRightInd w:val="0"/>
                    <w:snapToGrid w:val="0"/>
                    <w:jc w:val="center"/>
                    <w:rPr>
                      <w:szCs w:val="21"/>
                    </w:rPr>
                  </w:pPr>
                  <w:r>
                    <w:rPr>
                      <w:szCs w:val="21"/>
                    </w:rPr>
                    <w:t>推尸车</w:t>
                  </w:r>
                </w:p>
              </w:tc>
              <w:tc>
                <w:tcPr>
                  <w:tcW w:w="1140" w:type="pct"/>
                  <w:vAlign w:val="center"/>
                </w:tcPr>
                <w:p>
                  <w:pPr>
                    <w:adjustRightInd w:val="0"/>
                    <w:snapToGrid w:val="0"/>
                    <w:jc w:val="center"/>
                    <w:rPr>
                      <w:szCs w:val="21"/>
                    </w:rPr>
                  </w:pPr>
                  <w:r>
                    <w:rPr>
                      <w:szCs w:val="21"/>
                    </w:rPr>
                    <w:t>/</w:t>
                  </w:r>
                </w:p>
              </w:tc>
              <w:tc>
                <w:tcPr>
                  <w:tcW w:w="1482" w:type="pct"/>
                  <w:vAlign w:val="center"/>
                </w:tcPr>
                <w:p>
                  <w:pPr>
                    <w:adjustRightInd w:val="0"/>
                    <w:snapToGrid w:val="0"/>
                    <w:jc w:val="center"/>
                    <w:rPr>
                      <w:szCs w:val="21"/>
                    </w:rPr>
                  </w:pPr>
                  <w:r>
                    <w:rPr>
                      <w:szCs w:val="21"/>
                    </w:rPr>
                    <w:t>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Align w:val="center"/>
                </w:tcPr>
                <w:p>
                  <w:pPr>
                    <w:adjustRightInd w:val="0"/>
                    <w:snapToGrid w:val="0"/>
                    <w:jc w:val="center"/>
                    <w:rPr>
                      <w:szCs w:val="21"/>
                    </w:rPr>
                  </w:pPr>
                  <w:r>
                    <w:rPr>
                      <w:szCs w:val="21"/>
                    </w:rPr>
                    <w:t>15</w:t>
                  </w:r>
                </w:p>
              </w:tc>
              <w:tc>
                <w:tcPr>
                  <w:tcW w:w="1723" w:type="pct"/>
                  <w:vAlign w:val="center"/>
                </w:tcPr>
                <w:p>
                  <w:pPr>
                    <w:adjustRightInd w:val="0"/>
                    <w:snapToGrid w:val="0"/>
                    <w:jc w:val="center"/>
                    <w:rPr>
                      <w:szCs w:val="21"/>
                    </w:rPr>
                  </w:pPr>
                  <w:r>
                    <w:rPr>
                      <w:szCs w:val="21"/>
                    </w:rPr>
                    <w:t>悼念用影音设备</w:t>
                  </w:r>
                </w:p>
              </w:tc>
              <w:tc>
                <w:tcPr>
                  <w:tcW w:w="1140" w:type="pct"/>
                  <w:vAlign w:val="center"/>
                </w:tcPr>
                <w:p>
                  <w:pPr>
                    <w:adjustRightInd w:val="0"/>
                    <w:snapToGrid w:val="0"/>
                    <w:jc w:val="center"/>
                    <w:rPr>
                      <w:szCs w:val="21"/>
                    </w:rPr>
                  </w:pPr>
                  <w:r>
                    <w:rPr>
                      <w:szCs w:val="21"/>
                    </w:rPr>
                    <w:t>/</w:t>
                  </w:r>
                </w:p>
              </w:tc>
              <w:tc>
                <w:tcPr>
                  <w:tcW w:w="1482" w:type="pct"/>
                  <w:vAlign w:val="center"/>
                </w:tcPr>
                <w:p>
                  <w:pPr>
                    <w:adjustRightInd w:val="0"/>
                    <w:snapToGrid w:val="0"/>
                    <w:jc w:val="center"/>
                    <w:rPr>
                      <w:szCs w:val="21"/>
                    </w:rPr>
                  </w:pPr>
                  <w:r>
                    <w:rPr>
                      <w:szCs w:val="21"/>
                    </w:rPr>
                    <w:t>6套</w:t>
                  </w:r>
                </w:p>
              </w:tc>
            </w:tr>
          </w:tbl>
          <w:p>
            <w:pPr>
              <w:kinsoku w:val="0"/>
              <w:overflowPunct w:val="0"/>
              <w:autoSpaceDE w:val="0"/>
              <w:autoSpaceDN w:val="0"/>
              <w:adjustRightInd w:val="0"/>
              <w:snapToGrid w:val="0"/>
              <w:spacing w:line="360" w:lineRule="auto"/>
              <w:ind w:firstLine="482" w:firstLineChars="200"/>
              <w:rPr>
                <w:b/>
                <w:sz w:val="24"/>
              </w:rPr>
            </w:pPr>
            <w:r>
              <w:rPr>
                <w:rFonts w:hint="eastAsia"/>
                <w:b/>
                <w:sz w:val="24"/>
              </w:rPr>
              <w:t>4</w:t>
            </w:r>
            <w:r>
              <w:rPr>
                <w:b/>
                <w:sz w:val="24"/>
              </w:rPr>
              <w:t>、主要原辅料及能源动力消耗</w:t>
            </w:r>
          </w:p>
          <w:p>
            <w:pPr>
              <w:adjustRightInd w:val="0"/>
              <w:snapToGrid w:val="0"/>
              <w:spacing w:line="360" w:lineRule="auto"/>
              <w:ind w:firstLine="480" w:firstLineChars="200"/>
              <w:jc w:val="left"/>
              <w:rPr>
                <w:sz w:val="24"/>
              </w:rPr>
            </w:pPr>
            <w:r>
              <w:rPr>
                <w:sz w:val="24"/>
              </w:rPr>
              <w:t>本项目运营期主要原辅材料及动力消耗情况见下表。</w:t>
            </w:r>
          </w:p>
          <w:p>
            <w:pPr>
              <w:jc w:val="center"/>
              <w:outlineLvl w:val="0"/>
              <w:rPr>
                <w:b/>
                <w:bCs/>
                <w:sz w:val="24"/>
              </w:rPr>
            </w:pPr>
            <w:r>
              <w:rPr>
                <w:b/>
                <w:bCs/>
                <w:sz w:val="24"/>
              </w:rPr>
              <w:t>表2-3主要原辅材料及能源消耗表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681"/>
              <w:gridCol w:w="2131"/>
              <w:gridCol w:w="903"/>
              <w:gridCol w:w="846"/>
              <w:gridCol w:w="1417"/>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Align w:val="center"/>
                </w:tcPr>
                <w:p>
                  <w:pPr>
                    <w:adjustRightInd w:val="0"/>
                    <w:snapToGrid w:val="0"/>
                    <w:jc w:val="center"/>
                    <w:rPr>
                      <w:b/>
                      <w:szCs w:val="21"/>
                    </w:rPr>
                  </w:pPr>
                  <w:r>
                    <w:rPr>
                      <w:b/>
                      <w:szCs w:val="21"/>
                    </w:rPr>
                    <w:t>序号</w:t>
                  </w:r>
                </w:p>
              </w:tc>
              <w:tc>
                <w:tcPr>
                  <w:tcW w:w="416" w:type="pct"/>
                  <w:vAlign w:val="center"/>
                </w:tcPr>
                <w:p>
                  <w:pPr>
                    <w:adjustRightInd w:val="0"/>
                    <w:snapToGrid w:val="0"/>
                    <w:jc w:val="center"/>
                    <w:rPr>
                      <w:b/>
                      <w:szCs w:val="21"/>
                    </w:rPr>
                  </w:pPr>
                  <w:r>
                    <w:rPr>
                      <w:b/>
                      <w:szCs w:val="21"/>
                    </w:rPr>
                    <w:t>类别</w:t>
                  </w:r>
                </w:p>
              </w:tc>
              <w:tc>
                <w:tcPr>
                  <w:tcW w:w="1302" w:type="pct"/>
                  <w:vAlign w:val="center"/>
                </w:tcPr>
                <w:p>
                  <w:pPr>
                    <w:adjustRightInd w:val="0"/>
                    <w:snapToGrid w:val="0"/>
                    <w:jc w:val="center"/>
                    <w:rPr>
                      <w:b/>
                      <w:szCs w:val="21"/>
                    </w:rPr>
                  </w:pPr>
                  <w:r>
                    <w:rPr>
                      <w:b/>
                      <w:szCs w:val="21"/>
                    </w:rPr>
                    <w:t>材料名称</w:t>
                  </w:r>
                </w:p>
              </w:tc>
              <w:tc>
                <w:tcPr>
                  <w:tcW w:w="552" w:type="pct"/>
                  <w:vAlign w:val="center"/>
                </w:tcPr>
                <w:p>
                  <w:pPr>
                    <w:adjustRightInd w:val="0"/>
                    <w:snapToGrid w:val="0"/>
                    <w:jc w:val="center"/>
                    <w:rPr>
                      <w:b/>
                      <w:szCs w:val="21"/>
                    </w:rPr>
                  </w:pPr>
                  <w:r>
                    <w:rPr>
                      <w:b/>
                      <w:szCs w:val="21"/>
                    </w:rPr>
                    <w:t>年用量</w:t>
                  </w:r>
                </w:p>
              </w:tc>
              <w:tc>
                <w:tcPr>
                  <w:tcW w:w="517" w:type="pct"/>
                  <w:vAlign w:val="center"/>
                </w:tcPr>
                <w:p>
                  <w:pPr>
                    <w:adjustRightInd w:val="0"/>
                    <w:snapToGrid w:val="0"/>
                    <w:jc w:val="center"/>
                    <w:rPr>
                      <w:b/>
                      <w:szCs w:val="21"/>
                    </w:rPr>
                  </w:pPr>
                  <w:r>
                    <w:rPr>
                      <w:b/>
                      <w:szCs w:val="21"/>
                    </w:rPr>
                    <w:t>单位</w:t>
                  </w:r>
                </w:p>
              </w:tc>
              <w:tc>
                <w:tcPr>
                  <w:tcW w:w="866" w:type="pct"/>
                  <w:vAlign w:val="center"/>
                </w:tcPr>
                <w:p>
                  <w:pPr>
                    <w:adjustRightInd w:val="0"/>
                    <w:snapToGrid w:val="0"/>
                    <w:jc w:val="center"/>
                    <w:rPr>
                      <w:b/>
                      <w:szCs w:val="21"/>
                    </w:rPr>
                  </w:pPr>
                  <w:r>
                    <w:rPr>
                      <w:b/>
                      <w:szCs w:val="21"/>
                    </w:rPr>
                    <w:t>来源</w:t>
                  </w:r>
                </w:p>
              </w:tc>
              <w:tc>
                <w:tcPr>
                  <w:tcW w:w="912" w:type="pct"/>
                  <w:vAlign w:val="center"/>
                </w:tcPr>
                <w:p>
                  <w:pPr>
                    <w:adjustRightInd w:val="0"/>
                    <w:snapToGrid w:val="0"/>
                    <w:jc w:val="center"/>
                    <w:rPr>
                      <w:b/>
                      <w:szCs w:val="21"/>
                    </w:rPr>
                  </w:pPr>
                  <w:r>
                    <w:rPr>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Align w:val="center"/>
                </w:tcPr>
                <w:p>
                  <w:pPr>
                    <w:adjustRightInd w:val="0"/>
                    <w:snapToGrid w:val="0"/>
                    <w:jc w:val="center"/>
                    <w:rPr>
                      <w:szCs w:val="21"/>
                    </w:rPr>
                  </w:pPr>
                  <w:r>
                    <w:rPr>
                      <w:szCs w:val="21"/>
                    </w:rPr>
                    <w:t>1</w:t>
                  </w:r>
                </w:p>
              </w:tc>
              <w:tc>
                <w:tcPr>
                  <w:tcW w:w="416" w:type="pct"/>
                  <w:vMerge w:val="restart"/>
                  <w:vAlign w:val="center"/>
                </w:tcPr>
                <w:p>
                  <w:pPr>
                    <w:adjustRightInd w:val="0"/>
                    <w:snapToGrid w:val="0"/>
                    <w:jc w:val="center"/>
                    <w:rPr>
                      <w:szCs w:val="21"/>
                    </w:rPr>
                  </w:pPr>
                  <w:r>
                    <w:rPr>
                      <w:szCs w:val="21"/>
                    </w:rPr>
                    <w:t>原辅料</w:t>
                  </w:r>
                </w:p>
              </w:tc>
              <w:tc>
                <w:tcPr>
                  <w:tcW w:w="1302" w:type="pct"/>
                  <w:vAlign w:val="center"/>
                </w:tcPr>
                <w:p>
                  <w:pPr>
                    <w:adjustRightInd w:val="0"/>
                    <w:snapToGrid w:val="0"/>
                    <w:jc w:val="center"/>
                    <w:rPr>
                      <w:szCs w:val="21"/>
                    </w:rPr>
                  </w:pPr>
                  <w:r>
                    <w:rPr>
                      <w:szCs w:val="21"/>
                    </w:rPr>
                    <w:t>活性炭</w:t>
                  </w:r>
                </w:p>
              </w:tc>
              <w:tc>
                <w:tcPr>
                  <w:tcW w:w="552" w:type="pct"/>
                  <w:vAlign w:val="center"/>
                </w:tcPr>
                <w:p>
                  <w:pPr>
                    <w:adjustRightInd w:val="0"/>
                    <w:snapToGrid w:val="0"/>
                    <w:jc w:val="center"/>
                    <w:rPr>
                      <w:szCs w:val="21"/>
                    </w:rPr>
                  </w:pPr>
                  <w:r>
                    <w:rPr>
                      <w:szCs w:val="21"/>
                    </w:rPr>
                    <w:t>3</w:t>
                  </w:r>
                </w:p>
              </w:tc>
              <w:tc>
                <w:tcPr>
                  <w:tcW w:w="517" w:type="pct"/>
                  <w:vAlign w:val="center"/>
                </w:tcPr>
                <w:p>
                  <w:pPr>
                    <w:adjustRightInd w:val="0"/>
                    <w:snapToGrid w:val="0"/>
                    <w:jc w:val="center"/>
                    <w:rPr>
                      <w:szCs w:val="21"/>
                    </w:rPr>
                  </w:pPr>
                  <w:r>
                    <w:rPr>
                      <w:szCs w:val="21"/>
                    </w:rPr>
                    <w:t>t</w:t>
                  </w:r>
                </w:p>
              </w:tc>
              <w:tc>
                <w:tcPr>
                  <w:tcW w:w="866" w:type="pct"/>
                  <w:vAlign w:val="center"/>
                </w:tcPr>
                <w:p>
                  <w:pPr>
                    <w:adjustRightInd w:val="0"/>
                    <w:snapToGrid w:val="0"/>
                    <w:jc w:val="center"/>
                    <w:rPr>
                      <w:szCs w:val="21"/>
                    </w:rPr>
                  </w:pPr>
                  <w:r>
                    <w:rPr>
                      <w:szCs w:val="21"/>
                    </w:rPr>
                    <w:t>外购</w:t>
                  </w:r>
                </w:p>
              </w:tc>
              <w:tc>
                <w:tcPr>
                  <w:tcW w:w="912" w:type="pct"/>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35" w:type="pct"/>
                  <w:vAlign w:val="center"/>
                </w:tcPr>
                <w:p>
                  <w:pPr>
                    <w:adjustRightInd w:val="0"/>
                    <w:snapToGrid w:val="0"/>
                    <w:jc w:val="center"/>
                    <w:rPr>
                      <w:szCs w:val="21"/>
                    </w:rPr>
                  </w:pPr>
                  <w:r>
                    <w:rPr>
                      <w:szCs w:val="21"/>
                    </w:rPr>
                    <w:t>2</w:t>
                  </w:r>
                </w:p>
              </w:tc>
              <w:tc>
                <w:tcPr>
                  <w:tcW w:w="416" w:type="pct"/>
                  <w:vMerge w:val="continue"/>
                  <w:vAlign w:val="center"/>
                </w:tcPr>
                <w:p>
                  <w:pPr>
                    <w:adjustRightInd w:val="0"/>
                    <w:snapToGrid w:val="0"/>
                    <w:jc w:val="center"/>
                    <w:rPr>
                      <w:szCs w:val="21"/>
                    </w:rPr>
                  </w:pPr>
                </w:p>
              </w:tc>
              <w:tc>
                <w:tcPr>
                  <w:tcW w:w="1302" w:type="pct"/>
                  <w:vAlign w:val="center"/>
                </w:tcPr>
                <w:p>
                  <w:pPr>
                    <w:adjustRightInd w:val="0"/>
                    <w:snapToGrid w:val="0"/>
                    <w:jc w:val="center"/>
                    <w:rPr>
                      <w:szCs w:val="21"/>
                    </w:rPr>
                  </w:pPr>
                  <w:r>
                    <w:rPr>
                      <w:szCs w:val="21"/>
                    </w:rPr>
                    <w:t>片碱（氢氧化钠）</w:t>
                  </w:r>
                </w:p>
              </w:tc>
              <w:tc>
                <w:tcPr>
                  <w:tcW w:w="552" w:type="pct"/>
                  <w:vAlign w:val="center"/>
                </w:tcPr>
                <w:p>
                  <w:pPr>
                    <w:adjustRightInd w:val="0"/>
                    <w:snapToGrid w:val="0"/>
                    <w:jc w:val="center"/>
                    <w:rPr>
                      <w:szCs w:val="21"/>
                    </w:rPr>
                  </w:pPr>
                  <w:r>
                    <w:rPr>
                      <w:szCs w:val="21"/>
                    </w:rPr>
                    <w:t>1</w:t>
                  </w:r>
                </w:p>
              </w:tc>
              <w:tc>
                <w:tcPr>
                  <w:tcW w:w="517" w:type="pct"/>
                  <w:vAlign w:val="center"/>
                </w:tcPr>
                <w:p>
                  <w:pPr>
                    <w:adjustRightInd w:val="0"/>
                    <w:snapToGrid w:val="0"/>
                    <w:jc w:val="center"/>
                    <w:rPr>
                      <w:szCs w:val="21"/>
                    </w:rPr>
                  </w:pPr>
                  <w:r>
                    <w:rPr>
                      <w:szCs w:val="21"/>
                    </w:rPr>
                    <w:t>t</w:t>
                  </w:r>
                </w:p>
              </w:tc>
              <w:tc>
                <w:tcPr>
                  <w:tcW w:w="866" w:type="pct"/>
                  <w:vAlign w:val="center"/>
                </w:tcPr>
                <w:p>
                  <w:pPr>
                    <w:adjustRightInd w:val="0"/>
                    <w:snapToGrid w:val="0"/>
                    <w:jc w:val="center"/>
                    <w:rPr>
                      <w:szCs w:val="21"/>
                    </w:rPr>
                  </w:pPr>
                  <w:r>
                    <w:rPr>
                      <w:szCs w:val="21"/>
                    </w:rPr>
                    <w:t>外购</w:t>
                  </w:r>
                </w:p>
              </w:tc>
              <w:tc>
                <w:tcPr>
                  <w:tcW w:w="912" w:type="pct"/>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Align w:val="center"/>
                </w:tcPr>
                <w:p>
                  <w:pPr>
                    <w:adjustRightInd w:val="0"/>
                    <w:snapToGrid w:val="0"/>
                    <w:jc w:val="center"/>
                    <w:rPr>
                      <w:szCs w:val="21"/>
                    </w:rPr>
                  </w:pPr>
                  <w:r>
                    <w:rPr>
                      <w:szCs w:val="21"/>
                    </w:rPr>
                    <w:t>3</w:t>
                  </w:r>
                </w:p>
              </w:tc>
              <w:tc>
                <w:tcPr>
                  <w:tcW w:w="416" w:type="pct"/>
                  <w:vMerge w:val="continue"/>
                  <w:vAlign w:val="center"/>
                </w:tcPr>
                <w:p>
                  <w:pPr>
                    <w:adjustRightInd w:val="0"/>
                    <w:snapToGrid w:val="0"/>
                    <w:jc w:val="center"/>
                    <w:rPr>
                      <w:szCs w:val="21"/>
                    </w:rPr>
                  </w:pPr>
                </w:p>
              </w:tc>
              <w:tc>
                <w:tcPr>
                  <w:tcW w:w="1302" w:type="pct"/>
                  <w:vAlign w:val="center"/>
                </w:tcPr>
                <w:p>
                  <w:pPr>
                    <w:adjustRightInd w:val="0"/>
                    <w:snapToGrid w:val="0"/>
                    <w:jc w:val="center"/>
                    <w:rPr>
                      <w:szCs w:val="21"/>
                    </w:rPr>
                  </w:pPr>
                  <w:r>
                    <w:rPr>
                      <w:szCs w:val="21"/>
                    </w:rPr>
                    <w:t>车用尿素</w:t>
                  </w:r>
                </w:p>
              </w:tc>
              <w:tc>
                <w:tcPr>
                  <w:tcW w:w="552" w:type="pct"/>
                  <w:vAlign w:val="center"/>
                </w:tcPr>
                <w:p>
                  <w:pPr>
                    <w:adjustRightInd w:val="0"/>
                    <w:snapToGrid w:val="0"/>
                    <w:jc w:val="center"/>
                    <w:rPr>
                      <w:szCs w:val="21"/>
                    </w:rPr>
                  </w:pPr>
                  <w:r>
                    <w:rPr>
                      <w:szCs w:val="21"/>
                    </w:rPr>
                    <w:t>5</w:t>
                  </w:r>
                </w:p>
              </w:tc>
              <w:tc>
                <w:tcPr>
                  <w:tcW w:w="517" w:type="pct"/>
                  <w:vAlign w:val="center"/>
                </w:tcPr>
                <w:p>
                  <w:pPr>
                    <w:adjustRightInd w:val="0"/>
                    <w:snapToGrid w:val="0"/>
                    <w:jc w:val="center"/>
                    <w:rPr>
                      <w:szCs w:val="21"/>
                    </w:rPr>
                  </w:pPr>
                  <w:r>
                    <w:rPr>
                      <w:szCs w:val="21"/>
                    </w:rPr>
                    <w:t>t</w:t>
                  </w:r>
                </w:p>
              </w:tc>
              <w:tc>
                <w:tcPr>
                  <w:tcW w:w="866" w:type="pct"/>
                  <w:vAlign w:val="center"/>
                </w:tcPr>
                <w:p>
                  <w:pPr>
                    <w:adjustRightInd w:val="0"/>
                    <w:snapToGrid w:val="0"/>
                    <w:jc w:val="center"/>
                    <w:rPr>
                      <w:szCs w:val="21"/>
                    </w:rPr>
                  </w:pPr>
                  <w:r>
                    <w:rPr>
                      <w:szCs w:val="21"/>
                    </w:rPr>
                    <w:t>外购</w:t>
                  </w:r>
                </w:p>
              </w:tc>
              <w:tc>
                <w:tcPr>
                  <w:tcW w:w="912" w:type="pct"/>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Align w:val="center"/>
                </w:tcPr>
                <w:p>
                  <w:pPr>
                    <w:adjustRightInd w:val="0"/>
                    <w:snapToGrid w:val="0"/>
                    <w:jc w:val="center"/>
                    <w:rPr>
                      <w:snapToGrid w:val="0"/>
                      <w:szCs w:val="21"/>
                    </w:rPr>
                  </w:pPr>
                  <w:r>
                    <w:rPr>
                      <w:szCs w:val="21"/>
                    </w:rPr>
                    <w:t>4</w:t>
                  </w:r>
                </w:p>
              </w:tc>
              <w:tc>
                <w:tcPr>
                  <w:tcW w:w="416" w:type="pct"/>
                  <w:vMerge w:val="continue"/>
                  <w:vAlign w:val="center"/>
                </w:tcPr>
                <w:p>
                  <w:pPr>
                    <w:adjustRightInd w:val="0"/>
                    <w:snapToGrid w:val="0"/>
                    <w:jc w:val="center"/>
                    <w:rPr>
                      <w:szCs w:val="21"/>
                    </w:rPr>
                  </w:pPr>
                </w:p>
              </w:tc>
              <w:tc>
                <w:tcPr>
                  <w:tcW w:w="1302" w:type="pct"/>
                  <w:vAlign w:val="center"/>
                </w:tcPr>
                <w:p>
                  <w:pPr>
                    <w:adjustRightInd w:val="0"/>
                    <w:snapToGrid w:val="0"/>
                    <w:jc w:val="center"/>
                    <w:rPr>
                      <w:szCs w:val="21"/>
                    </w:rPr>
                  </w:pPr>
                  <w:r>
                    <w:rPr>
                      <w:szCs w:val="21"/>
                    </w:rPr>
                    <w:t>柴油</w:t>
                  </w:r>
                </w:p>
              </w:tc>
              <w:tc>
                <w:tcPr>
                  <w:tcW w:w="552" w:type="pct"/>
                  <w:vAlign w:val="center"/>
                </w:tcPr>
                <w:p>
                  <w:pPr>
                    <w:adjustRightInd w:val="0"/>
                    <w:snapToGrid w:val="0"/>
                    <w:jc w:val="center"/>
                    <w:rPr>
                      <w:szCs w:val="21"/>
                    </w:rPr>
                  </w:pPr>
                  <w:r>
                    <w:rPr>
                      <w:szCs w:val="21"/>
                    </w:rPr>
                    <w:t>/</w:t>
                  </w:r>
                </w:p>
              </w:tc>
              <w:tc>
                <w:tcPr>
                  <w:tcW w:w="517" w:type="pct"/>
                  <w:vAlign w:val="center"/>
                </w:tcPr>
                <w:p>
                  <w:pPr>
                    <w:adjustRightInd w:val="0"/>
                    <w:snapToGrid w:val="0"/>
                    <w:jc w:val="center"/>
                    <w:rPr>
                      <w:szCs w:val="21"/>
                    </w:rPr>
                  </w:pPr>
                  <w:r>
                    <w:rPr>
                      <w:szCs w:val="21"/>
                    </w:rPr>
                    <w:t>t</w:t>
                  </w:r>
                </w:p>
              </w:tc>
              <w:tc>
                <w:tcPr>
                  <w:tcW w:w="866" w:type="pct"/>
                  <w:vAlign w:val="center"/>
                </w:tcPr>
                <w:p>
                  <w:pPr>
                    <w:adjustRightInd w:val="0"/>
                    <w:snapToGrid w:val="0"/>
                    <w:jc w:val="center"/>
                    <w:rPr>
                      <w:szCs w:val="21"/>
                    </w:rPr>
                  </w:pPr>
                  <w:r>
                    <w:rPr>
                      <w:szCs w:val="21"/>
                    </w:rPr>
                    <w:t>外购</w:t>
                  </w:r>
                </w:p>
              </w:tc>
              <w:tc>
                <w:tcPr>
                  <w:tcW w:w="912" w:type="pct"/>
                  <w:vAlign w:val="center"/>
                </w:tcPr>
                <w:p>
                  <w:pPr>
                    <w:adjustRightInd w:val="0"/>
                    <w:snapToGrid w:val="0"/>
                    <w:jc w:val="center"/>
                    <w:rPr>
                      <w:szCs w:val="21"/>
                    </w:rPr>
                  </w:pPr>
                  <w:r>
                    <w:rPr>
                      <w:szCs w:val="21"/>
                    </w:rPr>
                    <w:t>柴油发电机备用，最大存储量0.87t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Align w:val="center"/>
                </w:tcPr>
                <w:p>
                  <w:pPr>
                    <w:adjustRightInd w:val="0"/>
                    <w:snapToGrid w:val="0"/>
                    <w:jc w:val="center"/>
                    <w:rPr>
                      <w:szCs w:val="21"/>
                    </w:rPr>
                  </w:pPr>
                  <w:r>
                    <w:rPr>
                      <w:szCs w:val="21"/>
                    </w:rPr>
                    <w:t>5</w:t>
                  </w:r>
                </w:p>
              </w:tc>
              <w:tc>
                <w:tcPr>
                  <w:tcW w:w="416" w:type="pct"/>
                  <w:vMerge w:val="restart"/>
                  <w:vAlign w:val="center"/>
                </w:tcPr>
                <w:p>
                  <w:pPr>
                    <w:adjustRightInd w:val="0"/>
                    <w:snapToGrid w:val="0"/>
                    <w:jc w:val="center"/>
                    <w:rPr>
                      <w:szCs w:val="21"/>
                    </w:rPr>
                  </w:pPr>
                  <w:r>
                    <w:rPr>
                      <w:szCs w:val="21"/>
                    </w:rPr>
                    <w:t>能源</w:t>
                  </w:r>
                </w:p>
              </w:tc>
              <w:tc>
                <w:tcPr>
                  <w:tcW w:w="1302" w:type="pct"/>
                  <w:vAlign w:val="center"/>
                </w:tcPr>
                <w:p>
                  <w:pPr>
                    <w:adjustRightInd w:val="0"/>
                    <w:snapToGrid w:val="0"/>
                    <w:jc w:val="center"/>
                    <w:rPr>
                      <w:szCs w:val="21"/>
                    </w:rPr>
                  </w:pPr>
                  <w:r>
                    <w:rPr>
                      <w:szCs w:val="21"/>
                    </w:rPr>
                    <w:t>水</w:t>
                  </w:r>
                </w:p>
              </w:tc>
              <w:tc>
                <w:tcPr>
                  <w:tcW w:w="552" w:type="pct"/>
                  <w:vAlign w:val="center"/>
                </w:tcPr>
                <w:p>
                  <w:pPr>
                    <w:adjustRightInd w:val="0"/>
                    <w:snapToGrid w:val="0"/>
                    <w:jc w:val="center"/>
                    <w:rPr>
                      <w:szCs w:val="21"/>
                    </w:rPr>
                  </w:pPr>
                  <w:r>
                    <w:rPr>
                      <w:rFonts w:eastAsia="等线"/>
                      <w:szCs w:val="21"/>
                    </w:rPr>
                    <w:t>6919.13</w:t>
                  </w:r>
                </w:p>
              </w:tc>
              <w:tc>
                <w:tcPr>
                  <w:tcW w:w="517" w:type="pct"/>
                  <w:vAlign w:val="center"/>
                </w:tcPr>
                <w:p>
                  <w:pPr>
                    <w:adjustRightInd w:val="0"/>
                    <w:snapToGrid w:val="0"/>
                    <w:jc w:val="center"/>
                    <w:rPr>
                      <w:szCs w:val="21"/>
                    </w:rPr>
                  </w:pPr>
                  <w:r>
                    <w:rPr>
                      <w:szCs w:val="21"/>
                    </w:rPr>
                    <w:t>m</w:t>
                  </w:r>
                  <w:r>
                    <w:rPr>
                      <w:szCs w:val="21"/>
                      <w:vertAlign w:val="superscript"/>
                    </w:rPr>
                    <w:t>3</w:t>
                  </w:r>
                </w:p>
              </w:tc>
              <w:tc>
                <w:tcPr>
                  <w:tcW w:w="866" w:type="pct"/>
                  <w:vAlign w:val="center"/>
                </w:tcPr>
                <w:p>
                  <w:pPr>
                    <w:adjustRightInd w:val="0"/>
                    <w:snapToGrid w:val="0"/>
                    <w:jc w:val="center"/>
                    <w:rPr>
                      <w:szCs w:val="21"/>
                    </w:rPr>
                  </w:pPr>
                  <w:r>
                    <w:rPr>
                      <w:szCs w:val="21"/>
                    </w:rPr>
                    <w:t>自来水管网</w:t>
                  </w:r>
                </w:p>
              </w:tc>
              <w:tc>
                <w:tcPr>
                  <w:tcW w:w="912" w:type="pct"/>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Align w:val="center"/>
                </w:tcPr>
                <w:p>
                  <w:pPr>
                    <w:adjustRightInd w:val="0"/>
                    <w:snapToGrid w:val="0"/>
                    <w:jc w:val="center"/>
                    <w:rPr>
                      <w:szCs w:val="21"/>
                    </w:rPr>
                  </w:pPr>
                  <w:r>
                    <w:rPr>
                      <w:szCs w:val="21"/>
                    </w:rPr>
                    <w:t>6</w:t>
                  </w:r>
                </w:p>
              </w:tc>
              <w:tc>
                <w:tcPr>
                  <w:tcW w:w="416" w:type="pct"/>
                  <w:vMerge w:val="continue"/>
                  <w:vAlign w:val="center"/>
                </w:tcPr>
                <w:p>
                  <w:pPr>
                    <w:adjustRightInd w:val="0"/>
                    <w:snapToGrid w:val="0"/>
                    <w:jc w:val="center"/>
                    <w:rPr>
                      <w:szCs w:val="21"/>
                    </w:rPr>
                  </w:pPr>
                </w:p>
              </w:tc>
              <w:tc>
                <w:tcPr>
                  <w:tcW w:w="1302" w:type="pct"/>
                  <w:vAlign w:val="center"/>
                </w:tcPr>
                <w:p>
                  <w:pPr>
                    <w:adjustRightInd w:val="0"/>
                    <w:snapToGrid w:val="0"/>
                    <w:jc w:val="center"/>
                    <w:rPr>
                      <w:szCs w:val="21"/>
                    </w:rPr>
                  </w:pPr>
                  <w:r>
                    <w:rPr>
                      <w:szCs w:val="21"/>
                    </w:rPr>
                    <w:t>天然气</w:t>
                  </w:r>
                </w:p>
              </w:tc>
              <w:tc>
                <w:tcPr>
                  <w:tcW w:w="552" w:type="pct"/>
                  <w:vAlign w:val="center"/>
                </w:tcPr>
                <w:p>
                  <w:pPr>
                    <w:adjustRightInd w:val="0"/>
                    <w:snapToGrid w:val="0"/>
                    <w:jc w:val="center"/>
                    <w:rPr>
                      <w:rFonts w:eastAsia="等线"/>
                      <w:szCs w:val="21"/>
                    </w:rPr>
                  </w:pPr>
                  <w:r>
                    <w:rPr>
                      <w:szCs w:val="21"/>
                    </w:rPr>
                    <w:t>501825</w:t>
                  </w:r>
                </w:p>
              </w:tc>
              <w:tc>
                <w:tcPr>
                  <w:tcW w:w="517" w:type="pct"/>
                  <w:vAlign w:val="center"/>
                </w:tcPr>
                <w:p>
                  <w:pPr>
                    <w:adjustRightInd w:val="0"/>
                    <w:snapToGrid w:val="0"/>
                    <w:jc w:val="center"/>
                    <w:rPr>
                      <w:szCs w:val="21"/>
                    </w:rPr>
                  </w:pPr>
                  <w:r>
                    <w:rPr>
                      <w:szCs w:val="21"/>
                    </w:rPr>
                    <w:t>m</w:t>
                  </w:r>
                  <w:r>
                    <w:rPr>
                      <w:szCs w:val="21"/>
                      <w:vertAlign w:val="superscript"/>
                    </w:rPr>
                    <w:t>3</w:t>
                  </w:r>
                </w:p>
              </w:tc>
              <w:tc>
                <w:tcPr>
                  <w:tcW w:w="866" w:type="pct"/>
                  <w:vAlign w:val="center"/>
                </w:tcPr>
                <w:p>
                  <w:pPr>
                    <w:adjustRightInd w:val="0"/>
                    <w:snapToGrid w:val="0"/>
                    <w:jc w:val="center"/>
                    <w:rPr>
                      <w:szCs w:val="21"/>
                    </w:rPr>
                  </w:pPr>
                  <w:r>
                    <w:rPr>
                      <w:szCs w:val="21"/>
                    </w:rPr>
                    <w:t>天然气管网</w:t>
                  </w:r>
                </w:p>
              </w:tc>
              <w:tc>
                <w:tcPr>
                  <w:tcW w:w="912" w:type="pct"/>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Align w:val="center"/>
                </w:tcPr>
                <w:p>
                  <w:pPr>
                    <w:adjustRightInd w:val="0"/>
                    <w:snapToGrid w:val="0"/>
                    <w:jc w:val="center"/>
                    <w:rPr>
                      <w:szCs w:val="21"/>
                    </w:rPr>
                  </w:pPr>
                  <w:r>
                    <w:rPr>
                      <w:szCs w:val="21"/>
                    </w:rPr>
                    <w:t>7</w:t>
                  </w:r>
                </w:p>
              </w:tc>
              <w:tc>
                <w:tcPr>
                  <w:tcW w:w="416" w:type="pct"/>
                  <w:vMerge w:val="continue"/>
                  <w:vAlign w:val="center"/>
                </w:tcPr>
                <w:p>
                  <w:pPr>
                    <w:adjustRightInd w:val="0"/>
                    <w:snapToGrid w:val="0"/>
                    <w:jc w:val="center"/>
                    <w:rPr>
                      <w:szCs w:val="21"/>
                    </w:rPr>
                  </w:pPr>
                </w:p>
              </w:tc>
              <w:tc>
                <w:tcPr>
                  <w:tcW w:w="1302" w:type="pct"/>
                  <w:vAlign w:val="center"/>
                </w:tcPr>
                <w:p>
                  <w:pPr>
                    <w:adjustRightInd w:val="0"/>
                    <w:snapToGrid w:val="0"/>
                    <w:jc w:val="center"/>
                    <w:rPr>
                      <w:szCs w:val="21"/>
                    </w:rPr>
                  </w:pPr>
                  <w:r>
                    <w:rPr>
                      <w:szCs w:val="21"/>
                    </w:rPr>
                    <w:t>电</w:t>
                  </w:r>
                </w:p>
              </w:tc>
              <w:tc>
                <w:tcPr>
                  <w:tcW w:w="552" w:type="pct"/>
                  <w:vAlign w:val="center"/>
                </w:tcPr>
                <w:p>
                  <w:pPr>
                    <w:adjustRightInd w:val="0"/>
                    <w:snapToGrid w:val="0"/>
                    <w:jc w:val="center"/>
                    <w:rPr>
                      <w:szCs w:val="21"/>
                    </w:rPr>
                  </w:pPr>
                  <w:r>
                    <w:rPr>
                      <w:szCs w:val="21"/>
                    </w:rPr>
                    <w:t>172.73</w:t>
                  </w:r>
                </w:p>
              </w:tc>
              <w:tc>
                <w:tcPr>
                  <w:tcW w:w="517" w:type="pct"/>
                  <w:vAlign w:val="center"/>
                </w:tcPr>
                <w:p>
                  <w:pPr>
                    <w:adjustRightInd w:val="0"/>
                    <w:snapToGrid w:val="0"/>
                    <w:jc w:val="center"/>
                    <w:rPr>
                      <w:szCs w:val="21"/>
                    </w:rPr>
                  </w:pPr>
                  <w:r>
                    <w:rPr>
                      <w:szCs w:val="21"/>
                    </w:rPr>
                    <w:t>万KWh</w:t>
                  </w:r>
                </w:p>
              </w:tc>
              <w:tc>
                <w:tcPr>
                  <w:tcW w:w="866" w:type="pct"/>
                  <w:vAlign w:val="center"/>
                </w:tcPr>
                <w:p>
                  <w:pPr>
                    <w:adjustRightInd w:val="0"/>
                    <w:snapToGrid w:val="0"/>
                    <w:jc w:val="center"/>
                    <w:rPr>
                      <w:szCs w:val="21"/>
                    </w:rPr>
                  </w:pPr>
                  <w:r>
                    <w:rPr>
                      <w:szCs w:val="21"/>
                    </w:rPr>
                    <w:t>当地电网</w:t>
                  </w:r>
                </w:p>
              </w:tc>
              <w:tc>
                <w:tcPr>
                  <w:tcW w:w="912" w:type="pct"/>
                  <w:vAlign w:val="center"/>
                </w:tcPr>
                <w:p>
                  <w:pPr>
                    <w:adjustRightInd w:val="0"/>
                    <w:snapToGrid w:val="0"/>
                    <w:jc w:val="center"/>
                    <w:rPr>
                      <w:szCs w:val="21"/>
                    </w:rPr>
                  </w:pPr>
                </w:p>
              </w:tc>
            </w:tr>
          </w:tbl>
          <w:p>
            <w:pPr>
              <w:adjustRightInd w:val="0"/>
              <w:snapToGrid w:val="0"/>
              <w:spacing w:line="360" w:lineRule="auto"/>
              <w:ind w:firstLine="482" w:firstLineChars="200"/>
              <w:jc w:val="left"/>
              <w:rPr>
                <w:b/>
                <w:sz w:val="24"/>
              </w:rPr>
            </w:pPr>
            <w:r>
              <w:rPr>
                <w:b/>
                <w:sz w:val="24"/>
              </w:rPr>
              <w:t>5、公用工程</w:t>
            </w:r>
          </w:p>
          <w:p>
            <w:pPr>
              <w:kinsoku w:val="0"/>
              <w:overflowPunct w:val="0"/>
              <w:autoSpaceDE w:val="0"/>
              <w:autoSpaceDN w:val="0"/>
              <w:adjustRightInd w:val="0"/>
              <w:snapToGrid w:val="0"/>
              <w:spacing w:line="360" w:lineRule="auto"/>
              <w:ind w:firstLine="480" w:firstLineChars="200"/>
              <w:rPr>
                <w:sz w:val="24"/>
              </w:rPr>
            </w:pPr>
            <w:r>
              <w:rPr>
                <w:sz w:val="24"/>
              </w:rPr>
              <w:t>（1）供电</w:t>
            </w:r>
          </w:p>
          <w:p>
            <w:pPr>
              <w:kinsoku w:val="0"/>
              <w:overflowPunct w:val="0"/>
              <w:autoSpaceDE w:val="0"/>
              <w:autoSpaceDN w:val="0"/>
              <w:adjustRightInd w:val="0"/>
              <w:snapToGrid w:val="0"/>
              <w:spacing w:line="360" w:lineRule="auto"/>
              <w:ind w:firstLine="480" w:firstLineChars="200"/>
              <w:rPr>
                <w:sz w:val="24"/>
              </w:rPr>
            </w:pPr>
            <w:r>
              <w:rPr>
                <w:sz w:val="24"/>
              </w:rPr>
              <w:t>电源由附近电网就近引入，年用量约172.73万KWh。</w:t>
            </w:r>
          </w:p>
          <w:p>
            <w:pPr>
              <w:kinsoku w:val="0"/>
              <w:overflowPunct w:val="0"/>
              <w:autoSpaceDE w:val="0"/>
              <w:autoSpaceDN w:val="0"/>
              <w:adjustRightInd w:val="0"/>
              <w:snapToGrid w:val="0"/>
              <w:spacing w:line="360" w:lineRule="auto"/>
              <w:ind w:firstLine="480" w:firstLineChars="200"/>
              <w:rPr>
                <w:sz w:val="24"/>
              </w:rPr>
            </w:pPr>
            <w:r>
              <w:rPr>
                <w:sz w:val="24"/>
              </w:rPr>
              <w:t>（2）给排水</w:t>
            </w:r>
          </w:p>
          <w:p>
            <w:pPr>
              <w:kinsoku w:val="0"/>
              <w:overflowPunct w:val="0"/>
              <w:autoSpaceDE w:val="0"/>
              <w:autoSpaceDN w:val="0"/>
              <w:adjustRightInd w:val="0"/>
              <w:snapToGrid w:val="0"/>
              <w:spacing w:line="360" w:lineRule="auto"/>
              <w:ind w:firstLine="480" w:firstLineChars="200"/>
              <w:rPr>
                <w:sz w:val="24"/>
              </w:rPr>
            </w:pPr>
            <w:bookmarkStart w:id="3" w:name="_Hlk38360560"/>
            <w:r>
              <w:rPr>
                <w:sz w:val="24"/>
              </w:rPr>
              <w:t>1）给水</w:t>
            </w:r>
          </w:p>
          <w:p>
            <w:pPr>
              <w:kinsoku w:val="0"/>
              <w:overflowPunct w:val="0"/>
              <w:autoSpaceDE w:val="0"/>
              <w:autoSpaceDN w:val="0"/>
              <w:adjustRightInd w:val="0"/>
              <w:snapToGrid w:val="0"/>
              <w:spacing w:line="360" w:lineRule="auto"/>
              <w:ind w:firstLine="480" w:firstLineChars="200"/>
              <w:rPr>
                <w:sz w:val="24"/>
              </w:rPr>
            </w:pPr>
            <w:r>
              <w:rPr>
                <w:sz w:val="24"/>
              </w:rPr>
              <w:t>本项目生产用水来自市政供应自来水。本项目</w:t>
            </w:r>
            <w:r>
              <w:rPr>
                <w:bCs/>
                <w:sz w:val="24"/>
              </w:rPr>
              <w:t>用水主要包括生活用水、生产用水和绿化用水。生产用水主要包括消毒用水、环保设施用水、解剖用水、地面清洗用水。</w:t>
            </w:r>
          </w:p>
          <w:p>
            <w:pPr>
              <w:adjustRightInd w:val="0"/>
              <w:snapToGrid w:val="0"/>
              <w:spacing w:line="360" w:lineRule="auto"/>
              <w:ind w:firstLine="480" w:firstLineChars="200"/>
              <w:rPr>
                <w:bCs/>
                <w:sz w:val="24"/>
              </w:rPr>
            </w:pPr>
            <w:r>
              <w:rPr>
                <w:bCs/>
                <w:sz w:val="24"/>
                <w:lang w:eastAsia="ja-JP"/>
              </w:rPr>
              <w:fldChar w:fldCharType="begin"/>
            </w:r>
            <w:r>
              <w:rPr>
                <w:bCs/>
                <w:sz w:val="24"/>
              </w:rPr>
              <w:instrText xml:space="preserve"> = 1 \* GB3 </w:instrText>
            </w:r>
            <w:r>
              <w:rPr>
                <w:bCs/>
                <w:sz w:val="24"/>
                <w:lang w:eastAsia="ja-JP"/>
              </w:rPr>
              <w:fldChar w:fldCharType="separate"/>
            </w:r>
            <w:r>
              <w:rPr>
                <w:rFonts w:hint="eastAsia" w:ascii="宋体" w:hAnsi="宋体" w:cs="宋体"/>
                <w:bCs/>
                <w:sz w:val="24"/>
              </w:rPr>
              <w:t>①</w:t>
            </w:r>
            <w:r>
              <w:rPr>
                <w:bCs/>
                <w:sz w:val="24"/>
                <w:lang w:eastAsia="ja-JP"/>
              </w:rPr>
              <w:fldChar w:fldCharType="end"/>
            </w:r>
            <w:r>
              <w:rPr>
                <w:bCs/>
                <w:sz w:val="24"/>
              </w:rPr>
              <w:t>生活用水</w:t>
            </w:r>
          </w:p>
          <w:p>
            <w:pPr>
              <w:adjustRightInd w:val="0"/>
              <w:snapToGrid w:val="0"/>
              <w:spacing w:line="360" w:lineRule="auto"/>
              <w:ind w:firstLine="480" w:firstLineChars="200"/>
              <w:rPr>
                <w:sz w:val="24"/>
              </w:rPr>
            </w:pPr>
            <w:r>
              <w:rPr>
                <w:sz w:val="24"/>
              </w:rPr>
              <w:t>生活用水主要包括职工日常生活用水，外来治丧人员用水、餐饮用水。</w:t>
            </w:r>
          </w:p>
          <w:p>
            <w:pPr>
              <w:adjustRightInd w:val="0"/>
              <w:snapToGrid w:val="0"/>
              <w:spacing w:line="360" w:lineRule="auto"/>
              <w:ind w:firstLine="480" w:firstLineChars="200"/>
              <w:rPr>
                <w:sz w:val="24"/>
              </w:rPr>
            </w:pPr>
            <w:r>
              <w:rPr>
                <w:sz w:val="24"/>
              </w:rPr>
              <w:t>厂内设有食宿，建成后人员数量为50人。参照《行业用水定额》（DB61/T943-2020）中关中地区农村居民生活用水定额，并结合项目实际情况，除餐饮用水</w:t>
            </w:r>
            <w:r>
              <w:rPr>
                <w:rFonts w:hint="eastAsia"/>
                <w:sz w:val="24"/>
              </w:rPr>
              <w:t>外职工</w:t>
            </w:r>
            <w:r>
              <w:rPr>
                <w:sz w:val="24"/>
              </w:rPr>
              <w:t>生活用水按照50L/（人</w:t>
            </w:r>
            <w:r>
              <w:rPr>
                <w:rFonts w:eastAsia="微软雅黑"/>
                <w:bCs/>
                <w:snapToGrid w:val="0"/>
                <w:kern w:val="0"/>
                <w:sz w:val="24"/>
              </w:rPr>
              <w:t>·</w:t>
            </w:r>
            <w:r>
              <w:rPr>
                <w:bCs/>
                <w:snapToGrid w:val="0"/>
                <w:kern w:val="0"/>
                <w:sz w:val="24"/>
              </w:rPr>
              <w:t>天</w:t>
            </w:r>
            <w:r>
              <w:rPr>
                <w:sz w:val="24"/>
              </w:rPr>
              <w:t>）计，则职工生活用水量为2.5m</w:t>
            </w:r>
            <w:r>
              <w:rPr>
                <w:sz w:val="24"/>
                <w:vertAlign w:val="superscript"/>
              </w:rPr>
              <w:t>3</w:t>
            </w:r>
            <w:r>
              <w:rPr>
                <w:sz w:val="24"/>
              </w:rPr>
              <w:t>/d（912.5m</w:t>
            </w:r>
            <w:r>
              <w:rPr>
                <w:sz w:val="24"/>
                <w:vertAlign w:val="superscript"/>
              </w:rPr>
              <w:t>3</w:t>
            </w:r>
            <w:r>
              <w:rPr>
                <w:sz w:val="24"/>
              </w:rPr>
              <w:t>/a）。</w:t>
            </w:r>
          </w:p>
          <w:p>
            <w:pPr>
              <w:adjustRightInd w:val="0"/>
              <w:snapToGrid w:val="0"/>
              <w:spacing w:line="360" w:lineRule="auto"/>
              <w:ind w:firstLine="480" w:firstLineChars="200"/>
              <w:rPr>
                <w:bCs/>
                <w:snapToGrid w:val="0"/>
                <w:kern w:val="0"/>
                <w:sz w:val="24"/>
              </w:rPr>
            </w:pPr>
            <w:r>
              <w:rPr>
                <w:bCs/>
                <w:snapToGrid w:val="0"/>
                <w:kern w:val="0"/>
                <w:sz w:val="24"/>
              </w:rPr>
              <w:t>治丧人员生活用水，根据同规模项目治丧人员约250人次/d，按10L/人次，治丧人员如厕用水量约为2.5m</w:t>
            </w:r>
            <w:r>
              <w:rPr>
                <w:bCs/>
                <w:snapToGrid w:val="0"/>
                <w:kern w:val="0"/>
                <w:sz w:val="24"/>
                <w:vertAlign w:val="superscript"/>
              </w:rPr>
              <w:t>3</w:t>
            </w:r>
            <w:r>
              <w:rPr>
                <w:bCs/>
                <w:snapToGrid w:val="0"/>
                <w:kern w:val="0"/>
                <w:sz w:val="24"/>
              </w:rPr>
              <w:t>/d（即912.5m</w:t>
            </w:r>
            <w:r>
              <w:rPr>
                <w:bCs/>
                <w:snapToGrid w:val="0"/>
                <w:kern w:val="0"/>
                <w:sz w:val="24"/>
                <w:vertAlign w:val="superscript"/>
              </w:rPr>
              <w:t>3</w:t>
            </w:r>
            <w:r>
              <w:rPr>
                <w:bCs/>
                <w:snapToGrid w:val="0"/>
                <w:kern w:val="0"/>
                <w:sz w:val="24"/>
              </w:rPr>
              <w:t>/a）。</w:t>
            </w:r>
          </w:p>
          <w:p>
            <w:pPr>
              <w:adjustRightInd w:val="0"/>
              <w:snapToGrid w:val="0"/>
              <w:spacing w:line="360" w:lineRule="auto"/>
              <w:ind w:firstLine="480" w:firstLineChars="200"/>
              <w:rPr>
                <w:bCs/>
                <w:snapToGrid w:val="0"/>
                <w:kern w:val="0"/>
                <w:sz w:val="24"/>
              </w:rPr>
            </w:pPr>
            <w:r>
              <w:rPr>
                <w:bCs/>
                <w:snapToGrid w:val="0"/>
                <w:kern w:val="0"/>
                <w:sz w:val="24"/>
              </w:rPr>
              <w:t>餐饮用水参考《行业用水定额》（DB61/T943-2020）中快餐服务的先进值以及结合项目特点，按7m</w:t>
            </w:r>
            <w:r>
              <w:rPr>
                <w:bCs/>
                <w:snapToGrid w:val="0"/>
                <w:kern w:val="0"/>
                <w:sz w:val="24"/>
                <w:vertAlign w:val="superscript"/>
              </w:rPr>
              <w:t>3</w:t>
            </w:r>
            <w:r>
              <w:rPr>
                <w:bCs/>
                <w:snapToGrid w:val="0"/>
                <w:kern w:val="0"/>
                <w:sz w:val="24"/>
              </w:rPr>
              <w:t>/（m</w:t>
            </w:r>
            <w:r>
              <w:rPr>
                <w:bCs/>
                <w:snapToGrid w:val="0"/>
                <w:kern w:val="0"/>
                <w:sz w:val="24"/>
                <w:vertAlign w:val="superscript"/>
              </w:rPr>
              <w:t>2</w:t>
            </w:r>
            <w:r>
              <w:rPr>
                <w:rFonts w:eastAsia="微软雅黑"/>
                <w:bCs/>
                <w:snapToGrid w:val="0"/>
                <w:kern w:val="0"/>
                <w:sz w:val="24"/>
              </w:rPr>
              <w:t>·</w:t>
            </w:r>
            <w:r>
              <w:rPr>
                <w:bCs/>
                <w:snapToGrid w:val="0"/>
                <w:kern w:val="0"/>
                <w:sz w:val="24"/>
              </w:rPr>
              <w:t>a），餐厅及厨房建筑面积为291.6m</w:t>
            </w:r>
            <w:r>
              <w:rPr>
                <w:bCs/>
                <w:snapToGrid w:val="0"/>
                <w:kern w:val="0"/>
                <w:sz w:val="24"/>
                <w:vertAlign w:val="superscript"/>
              </w:rPr>
              <w:t>2</w:t>
            </w:r>
            <w:r>
              <w:rPr>
                <w:bCs/>
                <w:snapToGrid w:val="0"/>
                <w:kern w:val="0"/>
                <w:sz w:val="24"/>
              </w:rPr>
              <w:t>，经计算餐厅用水量约5.59m</w:t>
            </w:r>
            <w:r>
              <w:rPr>
                <w:bCs/>
                <w:snapToGrid w:val="0"/>
                <w:kern w:val="0"/>
                <w:sz w:val="24"/>
                <w:vertAlign w:val="superscript"/>
              </w:rPr>
              <w:t>3</w:t>
            </w:r>
            <w:r>
              <w:rPr>
                <w:bCs/>
                <w:snapToGrid w:val="0"/>
                <w:kern w:val="0"/>
                <w:sz w:val="24"/>
              </w:rPr>
              <w:t>/a（即2041.2m</w:t>
            </w:r>
            <w:r>
              <w:rPr>
                <w:bCs/>
                <w:snapToGrid w:val="0"/>
                <w:kern w:val="0"/>
                <w:sz w:val="24"/>
                <w:vertAlign w:val="superscript"/>
              </w:rPr>
              <w:t>3</w:t>
            </w:r>
            <w:r>
              <w:rPr>
                <w:bCs/>
                <w:snapToGrid w:val="0"/>
                <w:kern w:val="0"/>
                <w:sz w:val="24"/>
              </w:rPr>
              <w:t>/d）。</w:t>
            </w:r>
          </w:p>
          <w:p>
            <w:pPr>
              <w:adjustRightInd w:val="0"/>
              <w:snapToGrid w:val="0"/>
              <w:spacing w:line="360" w:lineRule="auto"/>
              <w:ind w:firstLine="480" w:firstLineChars="200"/>
              <w:rPr>
                <w:bCs/>
                <w:sz w:val="24"/>
              </w:rPr>
            </w:pPr>
            <w:r>
              <w:rPr>
                <w:bCs/>
                <w:snapToGrid w:val="0"/>
                <w:kern w:val="0"/>
                <w:sz w:val="24"/>
              </w:rPr>
              <w:t>则本项目建成后生活用水量为10.59m</w:t>
            </w:r>
            <w:r>
              <w:rPr>
                <w:bCs/>
                <w:snapToGrid w:val="0"/>
                <w:kern w:val="0"/>
                <w:sz w:val="24"/>
                <w:vertAlign w:val="superscript"/>
              </w:rPr>
              <w:t>3</w:t>
            </w:r>
            <w:r>
              <w:rPr>
                <w:bCs/>
                <w:snapToGrid w:val="0"/>
                <w:kern w:val="0"/>
                <w:sz w:val="24"/>
              </w:rPr>
              <w:t>/d（3866.2m</w:t>
            </w:r>
            <w:r>
              <w:rPr>
                <w:bCs/>
                <w:snapToGrid w:val="0"/>
                <w:kern w:val="0"/>
                <w:sz w:val="24"/>
                <w:vertAlign w:val="superscript"/>
              </w:rPr>
              <w:t>3</w:t>
            </w:r>
            <w:r>
              <w:rPr>
                <w:bCs/>
                <w:snapToGrid w:val="0"/>
                <w:kern w:val="0"/>
                <w:sz w:val="24"/>
              </w:rPr>
              <w:t>/a）。</w:t>
            </w:r>
          </w:p>
          <w:p>
            <w:pPr>
              <w:adjustRightInd w:val="0"/>
              <w:snapToGrid w:val="0"/>
              <w:spacing w:line="360" w:lineRule="auto"/>
              <w:ind w:firstLine="480" w:firstLineChars="200"/>
              <w:rPr>
                <w:bCs/>
                <w:sz w:val="24"/>
              </w:rPr>
            </w:pPr>
            <w:r>
              <w:rPr>
                <w:bCs/>
                <w:sz w:val="24"/>
                <w:lang w:eastAsia="ja-JP"/>
              </w:rPr>
              <w:fldChar w:fldCharType="begin"/>
            </w:r>
            <w:r>
              <w:rPr>
                <w:bCs/>
                <w:sz w:val="24"/>
              </w:rPr>
              <w:instrText xml:space="preserve"> = 2 \* GB3 </w:instrText>
            </w:r>
            <w:r>
              <w:rPr>
                <w:bCs/>
                <w:sz w:val="24"/>
                <w:lang w:eastAsia="ja-JP"/>
              </w:rPr>
              <w:fldChar w:fldCharType="separate"/>
            </w:r>
            <w:r>
              <w:rPr>
                <w:rFonts w:hint="eastAsia" w:ascii="宋体" w:hAnsi="宋体" w:cs="宋体"/>
                <w:bCs/>
                <w:sz w:val="24"/>
              </w:rPr>
              <w:t>②</w:t>
            </w:r>
            <w:r>
              <w:rPr>
                <w:bCs/>
                <w:sz w:val="24"/>
                <w:lang w:eastAsia="ja-JP"/>
              </w:rPr>
              <w:fldChar w:fldCharType="end"/>
            </w:r>
            <w:r>
              <w:rPr>
                <w:bCs/>
                <w:sz w:val="24"/>
              </w:rPr>
              <w:t>消毒用水</w:t>
            </w:r>
          </w:p>
          <w:p>
            <w:pPr>
              <w:adjustRightInd w:val="0"/>
              <w:snapToGrid w:val="0"/>
              <w:spacing w:line="360" w:lineRule="auto"/>
              <w:ind w:firstLine="480" w:firstLineChars="200"/>
              <w:rPr>
                <w:bCs/>
                <w:sz w:val="24"/>
              </w:rPr>
            </w:pPr>
            <w:r>
              <w:rPr>
                <w:sz w:val="24"/>
              </w:rPr>
              <w:t>本项目采用过氧乙酸溶液进行消毒，遗体采用喷洒和擦拭消毒，办公区域</w:t>
            </w:r>
            <w:r>
              <w:rPr>
                <w:rFonts w:hint="eastAsia"/>
                <w:sz w:val="24"/>
              </w:rPr>
              <w:t>及殡仪车</w:t>
            </w:r>
            <w:r>
              <w:rPr>
                <w:sz w:val="24"/>
              </w:rPr>
              <w:t>采用喷雾消毒，不排水。平均配比约1:300，过氧乙酸消耗量约100L/a，用水量约0.08m</w:t>
            </w:r>
            <w:r>
              <w:rPr>
                <w:sz w:val="24"/>
                <w:vertAlign w:val="superscript"/>
              </w:rPr>
              <w:t>3</w:t>
            </w:r>
            <w:r>
              <w:rPr>
                <w:sz w:val="24"/>
              </w:rPr>
              <w:t>/d（30 m</w:t>
            </w:r>
            <w:r>
              <w:rPr>
                <w:sz w:val="24"/>
                <w:vertAlign w:val="superscript"/>
              </w:rPr>
              <w:t>3</w:t>
            </w:r>
            <w:r>
              <w:rPr>
                <w:sz w:val="24"/>
              </w:rPr>
              <w:t>/a）。</w:t>
            </w:r>
          </w:p>
          <w:p>
            <w:pPr>
              <w:adjustRightInd w:val="0"/>
              <w:snapToGrid w:val="0"/>
              <w:spacing w:line="360" w:lineRule="auto"/>
              <w:ind w:firstLine="480" w:firstLineChars="200"/>
              <w:rPr>
                <w:bCs/>
                <w:sz w:val="24"/>
              </w:rPr>
            </w:pPr>
            <w:r>
              <w:rPr>
                <w:bCs/>
                <w:sz w:val="24"/>
              </w:rPr>
              <w:fldChar w:fldCharType="begin"/>
            </w:r>
            <w:r>
              <w:rPr>
                <w:bCs/>
                <w:sz w:val="24"/>
              </w:rPr>
              <w:instrText xml:space="preserve"> = 3 \* GB3 </w:instrText>
            </w:r>
            <w:r>
              <w:rPr>
                <w:bCs/>
                <w:sz w:val="24"/>
              </w:rPr>
              <w:fldChar w:fldCharType="separate"/>
            </w:r>
            <w:r>
              <w:rPr>
                <w:rFonts w:hint="eastAsia" w:ascii="宋体" w:hAnsi="宋体" w:cs="宋体"/>
                <w:bCs/>
                <w:sz w:val="24"/>
              </w:rPr>
              <w:t>③</w:t>
            </w:r>
            <w:r>
              <w:rPr>
                <w:bCs/>
                <w:sz w:val="24"/>
              </w:rPr>
              <w:fldChar w:fldCharType="end"/>
            </w:r>
            <w:r>
              <w:rPr>
                <w:bCs/>
                <w:sz w:val="24"/>
              </w:rPr>
              <w:t>环保设施用水</w:t>
            </w:r>
          </w:p>
          <w:p>
            <w:pPr>
              <w:spacing w:line="360" w:lineRule="auto"/>
              <w:ind w:firstLine="480" w:firstLineChars="200"/>
              <w:rPr>
                <w:sz w:val="24"/>
              </w:rPr>
            </w:pPr>
            <w:r>
              <w:rPr>
                <w:sz w:val="24"/>
              </w:rPr>
              <w:t>依据设备供应单位提供，设备除酸除硫装置</w:t>
            </w:r>
            <w:r>
              <w:rPr>
                <w:rFonts w:hint="eastAsia"/>
                <w:sz w:val="24"/>
              </w:rPr>
              <w:t>需配置</w:t>
            </w:r>
            <w:r>
              <w:rPr>
                <w:sz w:val="24"/>
              </w:rPr>
              <w:t>尿素溶液</w:t>
            </w:r>
            <w:r>
              <w:rPr>
                <w:rFonts w:hint="eastAsia"/>
                <w:sz w:val="24"/>
              </w:rPr>
              <w:t>和</w:t>
            </w:r>
            <w:r>
              <w:rPr>
                <w:sz w:val="24"/>
              </w:rPr>
              <w:t>片碱溶液</w:t>
            </w:r>
            <w:r>
              <w:rPr>
                <w:rFonts w:hint="eastAsia"/>
                <w:sz w:val="24"/>
              </w:rPr>
              <w:t>，</w:t>
            </w:r>
            <w:r>
              <w:rPr>
                <w:sz w:val="24"/>
              </w:rPr>
              <w:t>每台</w:t>
            </w:r>
            <w:r>
              <w:rPr>
                <w:rFonts w:hint="eastAsia"/>
                <w:sz w:val="24"/>
              </w:rPr>
              <w:t>设备配置</w:t>
            </w:r>
            <w:r>
              <w:rPr>
                <w:sz w:val="24"/>
              </w:rPr>
              <w:t>溶液</w:t>
            </w:r>
            <w:r>
              <w:rPr>
                <w:rFonts w:hint="eastAsia"/>
                <w:sz w:val="24"/>
              </w:rPr>
              <w:t>用水</w:t>
            </w:r>
            <w:r>
              <w:rPr>
                <w:sz w:val="24"/>
              </w:rPr>
              <w:t>量约为3.2L/h，10台火化炉年工作共10000h，遗物焚烧炉年工作1460h，祭祀炉年工作2920h，则环保设施用水量为0.13m</w:t>
            </w:r>
            <w:r>
              <w:rPr>
                <w:sz w:val="24"/>
                <w:vertAlign w:val="superscript"/>
              </w:rPr>
              <w:t>3</w:t>
            </w:r>
            <w:r>
              <w:rPr>
                <w:sz w:val="24"/>
              </w:rPr>
              <w:t>/d（46.02m</w:t>
            </w:r>
            <w:r>
              <w:rPr>
                <w:sz w:val="24"/>
                <w:vertAlign w:val="superscript"/>
              </w:rPr>
              <w:t>3</w:t>
            </w:r>
            <w:r>
              <w:rPr>
                <w:sz w:val="24"/>
              </w:rPr>
              <w:t>/a）喷淋为雾状喷淋，水雾遇高温烟气全部气化，不产生废水。</w:t>
            </w:r>
          </w:p>
          <w:p>
            <w:pPr>
              <w:adjustRightInd w:val="0"/>
              <w:snapToGrid w:val="0"/>
              <w:spacing w:line="360" w:lineRule="auto"/>
              <w:ind w:firstLine="480" w:firstLineChars="200"/>
              <w:rPr>
                <w:bCs/>
                <w:sz w:val="24"/>
              </w:rPr>
            </w:pPr>
            <w:r>
              <w:rPr>
                <w:bCs/>
                <w:sz w:val="24"/>
              </w:rPr>
              <w:fldChar w:fldCharType="begin"/>
            </w:r>
            <w:r>
              <w:rPr>
                <w:bCs/>
                <w:sz w:val="24"/>
              </w:rPr>
              <w:instrText xml:space="preserve"> = 4 \* GB3 </w:instrText>
            </w:r>
            <w:r>
              <w:rPr>
                <w:bCs/>
                <w:sz w:val="24"/>
              </w:rPr>
              <w:fldChar w:fldCharType="separate"/>
            </w:r>
            <w:r>
              <w:rPr>
                <w:rFonts w:hint="eastAsia" w:ascii="宋体" w:hAnsi="宋体" w:cs="宋体"/>
                <w:bCs/>
                <w:sz w:val="24"/>
              </w:rPr>
              <w:t>④</w:t>
            </w:r>
            <w:r>
              <w:rPr>
                <w:bCs/>
                <w:sz w:val="24"/>
              </w:rPr>
              <w:fldChar w:fldCharType="end"/>
            </w:r>
            <w:r>
              <w:rPr>
                <w:bCs/>
                <w:sz w:val="24"/>
              </w:rPr>
              <w:t>解剖用水</w:t>
            </w:r>
          </w:p>
          <w:p>
            <w:pPr>
              <w:adjustRightInd w:val="0"/>
              <w:snapToGrid w:val="0"/>
              <w:spacing w:line="360" w:lineRule="auto"/>
              <w:ind w:firstLine="480" w:firstLineChars="200"/>
              <w:rPr>
                <w:bCs/>
                <w:sz w:val="24"/>
              </w:rPr>
            </w:pPr>
            <w:r>
              <w:rPr>
                <w:sz w:val="24"/>
              </w:rPr>
              <w:t>解剖用水：殡仪馆内的解剖室主要进行体表检查，偶尔进行简单的尸体解剖，该过程会使用少量的水，解剖的情况很少，根据同规模殡仪馆经验估算，用水量约60</w:t>
            </w:r>
            <w:r>
              <w:rPr>
                <w:rFonts w:eastAsia="Times New Roman"/>
                <w:sz w:val="24"/>
              </w:rPr>
              <w:t>m</w:t>
            </w:r>
            <w:r>
              <w:rPr>
                <w:szCs w:val="21"/>
                <w:vertAlign w:val="superscript"/>
              </w:rPr>
              <w:t>3</w:t>
            </w:r>
            <w:r>
              <w:rPr>
                <w:rFonts w:eastAsia="Times New Roman"/>
                <w:sz w:val="24"/>
              </w:rPr>
              <w:t>/a</w:t>
            </w:r>
            <w:r>
              <w:rPr>
                <w:sz w:val="24"/>
              </w:rPr>
              <w:t>。</w:t>
            </w:r>
          </w:p>
          <w:p>
            <w:pPr>
              <w:adjustRightInd w:val="0"/>
              <w:snapToGrid w:val="0"/>
              <w:spacing w:line="360" w:lineRule="auto"/>
              <w:ind w:firstLine="480" w:firstLineChars="200"/>
              <w:rPr>
                <w:bCs/>
                <w:sz w:val="24"/>
              </w:rPr>
            </w:pPr>
            <w:r>
              <w:rPr>
                <w:bCs/>
                <w:sz w:val="24"/>
              </w:rPr>
              <w:fldChar w:fldCharType="begin"/>
            </w:r>
            <w:r>
              <w:rPr>
                <w:bCs/>
                <w:sz w:val="24"/>
              </w:rPr>
              <w:instrText xml:space="preserve"> = 5 \* GB3 </w:instrText>
            </w:r>
            <w:r>
              <w:rPr>
                <w:bCs/>
                <w:sz w:val="24"/>
              </w:rPr>
              <w:fldChar w:fldCharType="separate"/>
            </w:r>
            <w:r>
              <w:rPr>
                <w:rFonts w:hint="eastAsia" w:ascii="宋体" w:hAnsi="宋体" w:cs="宋体"/>
                <w:bCs/>
                <w:sz w:val="24"/>
              </w:rPr>
              <w:t>⑤</w:t>
            </w:r>
            <w:r>
              <w:rPr>
                <w:bCs/>
                <w:sz w:val="24"/>
              </w:rPr>
              <w:fldChar w:fldCharType="end"/>
            </w:r>
            <w:r>
              <w:rPr>
                <w:bCs/>
                <w:sz w:val="24"/>
              </w:rPr>
              <w:t>地面清洗用水</w:t>
            </w:r>
          </w:p>
          <w:p>
            <w:pPr>
              <w:adjustRightInd w:val="0"/>
              <w:snapToGrid w:val="0"/>
              <w:spacing w:line="360" w:lineRule="auto"/>
              <w:ind w:firstLine="480" w:firstLineChars="200"/>
              <w:rPr>
                <w:bCs/>
                <w:sz w:val="24"/>
              </w:rPr>
            </w:pPr>
            <w:r>
              <w:rPr>
                <w:sz w:val="24"/>
              </w:rPr>
              <w:t>火化楼内地面清洗用水：火化楼地面面积2910.8</w:t>
            </w:r>
            <w:r>
              <w:rPr>
                <w:rFonts w:eastAsia="Times New Roman"/>
                <w:sz w:val="24"/>
              </w:rPr>
              <w:t>m</w:t>
            </w:r>
            <w:r>
              <w:rPr>
                <w:szCs w:val="21"/>
                <w:vertAlign w:val="superscript"/>
              </w:rPr>
              <w:t>2</w:t>
            </w:r>
            <w:r>
              <w:rPr>
                <w:sz w:val="24"/>
              </w:rPr>
              <w:t>，按每周清洗2次，年清洗约100次，水量定额取2L/</w:t>
            </w:r>
            <w:r>
              <w:rPr>
                <w:rFonts w:eastAsia="Times New Roman"/>
                <w:sz w:val="24"/>
              </w:rPr>
              <w:t>m</w:t>
            </w:r>
            <w:r>
              <w:rPr>
                <w:szCs w:val="21"/>
                <w:vertAlign w:val="superscript"/>
              </w:rPr>
              <w:t>2</w:t>
            </w:r>
            <w:r>
              <w:rPr>
                <w:rFonts w:eastAsia="Times New Roman"/>
                <w:sz w:val="24"/>
              </w:rPr>
              <w:t>·</w:t>
            </w:r>
            <w:r>
              <w:rPr>
                <w:sz w:val="24"/>
              </w:rPr>
              <w:t>次计，则火化楼清洗用水量为582.16</w:t>
            </w:r>
            <w:r>
              <w:rPr>
                <w:rFonts w:eastAsia="Times New Roman"/>
                <w:sz w:val="24"/>
              </w:rPr>
              <w:t>m</w:t>
            </w:r>
            <w:r>
              <w:rPr>
                <w:szCs w:val="21"/>
                <w:vertAlign w:val="superscript"/>
              </w:rPr>
              <w:t>3</w:t>
            </w:r>
            <w:r>
              <w:rPr>
                <w:rFonts w:eastAsia="Times New Roman"/>
                <w:sz w:val="24"/>
              </w:rPr>
              <w:t>/a</w:t>
            </w:r>
            <w:r>
              <w:rPr>
                <w:sz w:val="24"/>
              </w:rPr>
              <w:t>。</w:t>
            </w:r>
          </w:p>
          <w:p>
            <w:pPr>
              <w:adjustRightInd w:val="0"/>
              <w:snapToGrid w:val="0"/>
              <w:spacing w:line="360" w:lineRule="auto"/>
              <w:ind w:firstLine="480" w:firstLineChars="200"/>
              <w:rPr>
                <w:bCs/>
                <w:sz w:val="24"/>
              </w:rPr>
            </w:pPr>
            <w:r>
              <w:rPr>
                <w:bCs/>
                <w:sz w:val="24"/>
              </w:rPr>
              <w:fldChar w:fldCharType="begin"/>
            </w:r>
            <w:r>
              <w:rPr>
                <w:bCs/>
                <w:sz w:val="24"/>
              </w:rPr>
              <w:instrText xml:space="preserve"> = 6 \* GB3 </w:instrText>
            </w:r>
            <w:r>
              <w:rPr>
                <w:bCs/>
                <w:sz w:val="24"/>
              </w:rPr>
              <w:fldChar w:fldCharType="separate"/>
            </w:r>
            <w:r>
              <w:rPr>
                <w:rFonts w:hint="eastAsia" w:ascii="宋体" w:hAnsi="宋体" w:cs="宋体"/>
                <w:bCs/>
                <w:sz w:val="24"/>
              </w:rPr>
              <w:t>⑥</w:t>
            </w:r>
            <w:r>
              <w:rPr>
                <w:bCs/>
                <w:sz w:val="24"/>
              </w:rPr>
              <w:fldChar w:fldCharType="end"/>
            </w:r>
            <w:r>
              <w:rPr>
                <w:bCs/>
                <w:sz w:val="24"/>
              </w:rPr>
              <w:t>洗车用水</w:t>
            </w:r>
          </w:p>
          <w:p>
            <w:pPr>
              <w:adjustRightInd w:val="0"/>
              <w:snapToGrid w:val="0"/>
              <w:spacing w:line="360" w:lineRule="auto"/>
              <w:ind w:firstLine="480" w:firstLineChars="200"/>
              <w:rPr>
                <w:bCs/>
                <w:sz w:val="24"/>
              </w:rPr>
            </w:pPr>
            <w:r>
              <w:rPr>
                <w:sz w:val="24"/>
              </w:rPr>
              <w:t>运遗体车辆清洗用水：根据殡仪馆拉运遗体数量及清洗消毒要求，要求每次拉运遗体后均进行消毒，不定期对车辆进行清洗。根据同类型殡仪馆清洗车辆次数统计，运遗体车辆年清洗约60次，清洗用水量约0.5</w:t>
            </w:r>
            <w:r>
              <w:rPr>
                <w:rFonts w:eastAsia="Times New Roman"/>
                <w:sz w:val="24"/>
              </w:rPr>
              <w:t>m</w:t>
            </w:r>
            <w:r>
              <w:rPr>
                <w:szCs w:val="21"/>
                <w:vertAlign w:val="superscript"/>
              </w:rPr>
              <w:t>3</w:t>
            </w:r>
            <w:r>
              <w:rPr>
                <w:rFonts w:eastAsia="Times New Roman"/>
                <w:sz w:val="24"/>
              </w:rPr>
              <w:t>/</w:t>
            </w:r>
            <w:r>
              <w:rPr>
                <w:sz w:val="24"/>
              </w:rPr>
              <w:t>次，则运遗体车辆清洗用水量为30</w:t>
            </w:r>
            <w:r>
              <w:rPr>
                <w:rFonts w:eastAsia="Times New Roman"/>
                <w:sz w:val="24"/>
              </w:rPr>
              <w:t>m</w:t>
            </w:r>
            <w:r>
              <w:rPr>
                <w:szCs w:val="21"/>
                <w:vertAlign w:val="superscript"/>
              </w:rPr>
              <w:t>3</w:t>
            </w:r>
            <w:r>
              <w:rPr>
                <w:rFonts w:eastAsia="Times New Roman"/>
                <w:sz w:val="24"/>
              </w:rPr>
              <w:t>/a</w:t>
            </w:r>
            <w:r>
              <w:rPr>
                <w:sz w:val="24"/>
              </w:rPr>
              <w:t>。</w:t>
            </w:r>
          </w:p>
          <w:p>
            <w:pPr>
              <w:adjustRightInd w:val="0"/>
              <w:snapToGrid w:val="0"/>
              <w:spacing w:line="360" w:lineRule="auto"/>
              <w:ind w:firstLine="480" w:firstLineChars="200"/>
              <w:rPr>
                <w:bCs/>
                <w:sz w:val="24"/>
              </w:rPr>
            </w:pPr>
            <w:r>
              <w:rPr>
                <w:bCs/>
                <w:sz w:val="24"/>
              </w:rPr>
              <w:fldChar w:fldCharType="begin"/>
            </w:r>
            <w:r>
              <w:rPr>
                <w:bCs/>
                <w:sz w:val="24"/>
              </w:rPr>
              <w:instrText xml:space="preserve"> = 7 \* GB3 </w:instrText>
            </w:r>
            <w:r>
              <w:rPr>
                <w:bCs/>
                <w:sz w:val="24"/>
              </w:rPr>
              <w:fldChar w:fldCharType="separate"/>
            </w:r>
            <w:r>
              <w:rPr>
                <w:rFonts w:hint="eastAsia" w:ascii="宋体" w:hAnsi="宋体" w:cs="宋体"/>
                <w:bCs/>
                <w:sz w:val="24"/>
              </w:rPr>
              <w:t>⑦</w:t>
            </w:r>
            <w:r>
              <w:rPr>
                <w:bCs/>
                <w:sz w:val="24"/>
              </w:rPr>
              <w:fldChar w:fldCharType="end"/>
            </w:r>
            <w:r>
              <w:rPr>
                <w:bCs/>
                <w:sz w:val="24"/>
              </w:rPr>
              <w:t>绿化用水</w:t>
            </w:r>
          </w:p>
          <w:p>
            <w:pPr>
              <w:adjustRightInd w:val="0"/>
              <w:snapToGrid w:val="0"/>
              <w:spacing w:line="360" w:lineRule="auto"/>
              <w:ind w:firstLine="480" w:firstLineChars="200"/>
              <w:rPr>
                <w:bCs/>
                <w:sz w:val="24"/>
              </w:rPr>
            </w:pPr>
            <w:r>
              <w:rPr>
                <w:bCs/>
                <w:sz w:val="24"/>
              </w:rPr>
              <w:t>厂区内绿化面积约为13936.67m</w:t>
            </w:r>
            <w:r>
              <w:rPr>
                <w:bCs/>
                <w:sz w:val="24"/>
                <w:vertAlign w:val="superscript"/>
              </w:rPr>
              <w:t>2</w:t>
            </w:r>
            <w:r>
              <w:rPr>
                <w:bCs/>
                <w:sz w:val="24"/>
              </w:rPr>
              <w:t>，用水量参照《行业用水定额》（DB61/T943-2020）附属绿地先进值，按照1.2L/（m</w:t>
            </w:r>
            <w:r>
              <w:rPr>
                <w:bCs/>
                <w:sz w:val="24"/>
                <w:vertAlign w:val="superscript"/>
              </w:rPr>
              <w:t>2</w:t>
            </w:r>
            <w:r>
              <w:rPr>
                <w:sz w:val="24"/>
              </w:rPr>
              <w:t>·</w:t>
            </w:r>
            <w:r>
              <w:rPr>
                <w:bCs/>
                <w:sz w:val="24"/>
              </w:rPr>
              <w:t>d），以每3天浇一次水计，则本项目绿化用水量为2034.75m</w:t>
            </w:r>
            <w:r>
              <w:rPr>
                <w:bCs/>
                <w:sz w:val="24"/>
                <w:vertAlign w:val="superscript"/>
              </w:rPr>
              <w:t>3</w:t>
            </w:r>
            <w:r>
              <w:rPr>
                <w:bCs/>
                <w:sz w:val="24"/>
              </w:rPr>
              <w:t>/a。</w:t>
            </w:r>
          </w:p>
          <w:bookmarkEnd w:id="3"/>
          <w:p>
            <w:pPr>
              <w:adjustRightInd w:val="0"/>
              <w:snapToGrid w:val="0"/>
              <w:spacing w:line="360" w:lineRule="auto"/>
              <w:ind w:firstLine="480" w:firstLineChars="200"/>
              <w:rPr>
                <w:bCs/>
                <w:sz w:val="24"/>
              </w:rPr>
            </w:pPr>
            <w:r>
              <w:rPr>
                <w:bCs/>
                <w:sz w:val="24"/>
              </w:rPr>
              <w:t>2）排水</w:t>
            </w:r>
          </w:p>
          <w:p>
            <w:pPr>
              <w:adjustRightInd w:val="0"/>
              <w:snapToGrid w:val="0"/>
              <w:spacing w:line="360" w:lineRule="auto"/>
              <w:ind w:firstLine="480" w:firstLineChars="200"/>
              <w:rPr>
                <w:bCs/>
                <w:sz w:val="24"/>
              </w:rPr>
            </w:pPr>
            <w:r>
              <w:rPr>
                <w:bCs/>
                <w:sz w:val="24"/>
              </w:rPr>
              <w:t>项目产生废水主要为生活污水、解剖废水、地面清洗废水、洗车废水。</w:t>
            </w:r>
          </w:p>
          <w:p>
            <w:pPr>
              <w:adjustRightInd w:val="0"/>
              <w:snapToGrid w:val="0"/>
              <w:spacing w:line="360" w:lineRule="auto"/>
              <w:ind w:firstLine="480" w:firstLineChars="200"/>
              <w:rPr>
                <w:bCs/>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sz w:val="24"/>
              </w:rPr>
              <w:t>生活用水量约为</w:t>
            </w:r>
            <w:r>
              <w:rPr>
                <w:bCs/>
                <w:snapToGrid w:val="0"/>
                <w:kern w:val="0"/>
                <w:sz w:val="24"/>
              </w:rPr>
              <w:t>10.59m</w:t>
            </w:r>
            <w:r>
              <w:rPr>
                <w:bCs/>
                <w:snapToGrid w:val="0"/>
                <w:kern w:val="0"/>
                <w:sz w:val="24"/>
                <w:vertAlign w:val="superscript"/>
              </w:rPr>
              <w:t>3</w:t>
            </w:r>
            <w:r>
              <w:rPr>
                <w:bCs/>
                <w:snapToGrid w:val="0"/>
                <w:kern w:val="0"/>
                <w:sz w:val="24"/>
              </w:rPr>
              <w:t>/d（3866.2m</w:t>
            </w:r>
            <w:r>
              <w:rPr>
                <w:bCs/>
                <w:snapToGrid w:val="0"/>
                <w:kern w:val="0"/>
                <w:sz w:val="24"/>
                <w:vertAlign w:val="superscript"/>
              </w:rPr>
              <w:t>3</w:t>
            </w:r>
            <w:r>
              <w:rPr>
                <w:bCs/>
                <w:snapToGrid w:val="0"/>
                <w:kern w:val="0"/>
                <w:sz w:val="24"/>
              </w:rPr>
              <w:t>/a）</w:t>
            </w:r>
            <w:r>
              <w:rPr>
                <w:sz w:val="24"/>
              </w:rPr>
              <w:t>，排放系数按0.8计，则废水量为8.47m</w:t>
            </w:r>
            <w:r>
              <w:rPr>
                <w:sz w:val="24"/>
                <w:vertAlign w:val="superscript"/>
              </w:rPr>
              <w:t>3</w:t>
            </w:r>
            <w:r>
              <w:rPr>
                <w:sz w:val="24"/>
              </w:rPr>
              <w:t>/d（3092.96m</w:t>
            </w:r>
            <w:r>
              <w:rPr>
                <w:sz w:val="24"/>
                <w:vertAlign w:val="superscript"/>
              </w:rPr>
              <w:t>3</w:t>
            </w:r>
            <w:r>
              <w:rPr>
                <w:sz w:val="24"/>
              </w:rPr>
              <w:t>/a），经餐厅废水经隔油池预处理后与其他生活污水一同排入化粪池处理后</w:t>
            </w:r>
            <w:r>
              <w:rPr>
                <w:bCs/>
                <w:sz w:val="24"/>
              </w:rPr>
              <w:t>定期拉运至周至县污水处理厂处理。</w:t>
            </w:r>
          </w:p>
          <w:p>
            <w:pPr>
              <w:adjustRightInd w:val="0"/>
              <w:snapToGrid w:val="0"/>
              <w:spacing w:line="360" w:lineRule="auto"/>
              <w:ind w:firstLine="480" w:firstLineChars="200"/>
              <w:rPr>
                <w:bCs/>
                <w:sz w:val="24"/>
              </w:rPr>
            </w:pP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sz w:val="24"/>
              </w:rPr>
              <w:t>解剖用水量约为60</w:t>
            </w:r>
            <w:r>
              <w:rPr>
                <w:rFonts w:eastAsia="Times New Roman"/>
                <w:sz w:val="24"/>
              </w:rPr>
              <w:t>m</w:t>
            </w:r>
            <w:r>
              <w:rPr>
                <w:szCs w:val="21"/>
                <w:vertAlign w:val="superscript"/>
              </w:rPr>
              <w:t>3</w:t>
            </w:r>
            <w:r>
              <w:rPr>
                <w:rFonts w:eastAsia="Times New Roman"/>
                <w:sz w:val="24"/>
              </w:rPr>
              <w:t>/a</w:t>
            </w:r>
            <w:r>
              <w:rPr>
                <w:sz w:val="24"/>
              </w:rPr>
              <w:t>，排放系数按0.8计，则废水量为48m</w:t>
            </w:r>
            <w:r>
              <w:rPr>
                <w:sz w:val="24"/>
                <w:vertAlign w:val="superscript"/>
              </w:rPr>
              <w:t>3</w:t>
            </w:r>
            <w:r>
              <w:rPr>
                <w:sz w:val="24"/>
              </w:rPr>
              <w:t>/a，经污水处理站预处理后与生活污水一同</w:t>
            </w:r>
            <w:r>
              <w:rPr>
                <w:bCs/>
                <w:sz w:val="24"/>
              </w:rPr>
              <w:t>定期拉运至周至县污水处理厂处理。</w:t>
            </w:r>
          </w:p>
          <w:bookmarkEnd w:id="2"/>
          <w:p>
            <w:pPr>
              <w:adjustRightInd w:val="0"/>
              <w:snapToGrid w:val="0"/>
              <w:spacing w:line="360" w:lineRule="auto"/>
              <w:ind w:firstLine="480" w:firstLineChars="200"/>
              <w:rPr>
                <w:bCs/>
                <w:sz w:val="24"/>
              </w:rPr>
            </w:pPr>
            <w:r>
              <w:rPr>
                <w:bCs/>
                <w:sz w:val="24"/>
              </w:rPr>
              <w:fldChar w:fldCharType="begin"/>
            </w:r>
            <w:r>
              <w:rPr>
                <w:bCs/>
                <w:sz w:val="24"/>
              </w:rPr>
              <w:instrText xml:space="preserve"> = 3 \* GB3 </w:instrText>
            </w:r>
            <w:r>
              <w:rPr>
                <w:bCs/>
                <w:sz w:val="24"/>
              </w:rPr>
              <w:fldChar w:fldCharType="separate"/>
            </w:r>
            <w:r>
              <w:rPr>
                <w:rFonts w:hint="eastAsia" w:ascii="宋体" w:hAnsi="宋体" w:cs="宋体"/>
                <w:bCs/>
                <w:sz w:val="24"/>
              </w:rPr>
              <w:t>③</w:t>
            </w:r>
            <w:r>
              <w:rPr>
                <w:bCs/>
                <w:sz w:val="24"/>
              </w:rPr>
              <w:fldChar w:fldCharType="end"/>
            </w:r>
            <w:r>
              <w:rPr>
                <w:bCs/>
                <w:sz w:val="24"/>
              </w:rPr>
              <w:t>地面清洗用水约为</w:t>
            </w:r>
            <w:r>
              <w:rPr>
                <w:sz w:val="24"/>
              </w:rPr>
              <w:t>582.16</w:t>
            </w:r>
            <w:r>
              <w:rPr>
                <w:rFonts w:eastAsia="Times New Roman"/>
                <w:sz w:val="24"/>
              </w:rPr>
              <w:t>m</w:t>
            </w:r>
            <w:r>
              <w:rPr>
                <w:szCs w:val="21"/>
                <w:vertAlign w:val="superscript"/>
              </w:rPr>
              <w:t>3</w:t>
            </w:r>
            <w:r>
              <w:rPr>
                <w:rFonts w:eastAsia="Times New Roman"/>
                <w:sz w:val="24"/>
              </w:rPr>
              <w:t>/a</w:t>
            </w:r>
            <w:r>
              <w:rPr>
                <w:sz w:val="24"/>
              </w:rPr>
              <w:t>，排放系数按0.9计，则废水量为523.94m</w:t>
            </w:r>
            <w:r>
              <w:rPr>
                <w:sz w:val="24"/>
                <w:vertAlign w:val="superscript"/>
              </w:rPr>
              <w:t>3</w:t>
            </w:r>
            <w:r>
              <w:rPr>
                <w:sz w:val="24"/>
              </w:rPr>
              <w:t>/a，经污水处理站预处理后与生活污水一同</w:t>
            </w:r>
            <w:r>
              <w:rPr>
                <w:bCs/>
                <w:sz w:val="24"/>
              </w:rPr>
              <w:t>定期拉运至周至县污水处理厂处理。</w:t>
            </w:r>
          </w:p>
          <w:p>
            <w:pPr>
              <w:adjustRightInd w:val="0"/>
              <w:snapToGrid w:val="0"/>
              <w:spacing w:line="360" w:lineRule="auto"/>
              <w:ind w:firstLine="480" w:firstLineChars="200"/>
              <w:rPr>
                <w:bCs/>
                <w:sz w:val="24"/>
              </w:rPr>
            </w:pPr>
            <w:r>
              <w:rPr>
                <w:bCs/>
                <w:sz w:val="24"/>
              </w:rPr>
              <w:fldChar w:fldCharType="begin"/>
            </w:r>
            <w:r>
              <w:rPr>
                <w:bCs/>
                <w:sz w:val="24"/>
              </w:rPr>
              <w:instrText xml:space="preserve"> = 4 \* GB3 </w:instrText>
            </w:r>
            <w:r>
              <w:rPr>
                <w:bCs/>
                <w:sz w:val="24"/>
              </w:rPr>
              <w:fldChar w:fldCharType="separate"/>
            </w:r>
            <w:r>
              <w:rPr>
                <w:rFonts w:hint="eastAsia" w:ascii="宋体" w:hAnsi="宋体" w:cs="宋体"/>
                <w:bCs/>
                <w:sz w:val="24"/>
              </w:rPr>
              <w:t>④</w:t>
            </w:r>
            <w:r>
              <w:rPr>
                <w:bCs/>
                <w:sz w:val="24"/>
              </w:rPr>
              <w:fldChar w:fldCharType="end"/>
            </w:r>
            <w:r>
              <w:rPr>
                <w:rFonts w:hint="eastAsia"/>
                <w:sz w:val="24"/>
              </w:rPr>
              <w:t>洗车</w:t>
            </w:r>
            <w:r>
              <w:rPr>
                <w:sz w:val="24"/>
              </w:rPr>
              <w:t>水量为30</w:t>
            </w:r>
            <w:r>
              <w:rPr>
                <w:rFonts w:eastAsia="Times New Roman"/>
                <w:sz w:val="24"/>
              </w:rPr>
              <w:t>m</w:t>
            </w:r>
            <w:r>
              <w:rPr>
                <w:szCs w:val="21"/>
                <w:vertAlign w:val="superscript"/>
              </w:rPr>
              <w:t>3</w:t>
            </w:r>
            <w:r>
              <w:rPr>
                <w:rFonts w:eastAsia="Times New Roman"/>
                <w:sz w:val="24"/>
              </w:rPr>
              <w:t>/a</w:t>
            </w:r>
            <w:r>
              <w:rPr>
                <w:sz w:val="24"/>
              </w:rPr>
              <w:t>，排放系数按0.9计，则废水量为270m</w:t>
            </w:r>
            <w:r>
              <w:rPr>
                <w:sz w:val="24"/>
                <w:vertAlign w:val="superscript"/>
              </w:rPr>
              <w:t>3</w:t>
            </w:r>
            <w:r>
              <w:rPr>
                <w:sz w:val="24"/>
              </w:rPr>
              <w:t>/a，经污水处理站预处理后与生活污水一同</w:t>
            </w:r>
            <w:r>
              <w:rPr>
                <w:bCs/>
                <w:sz w:val="24"/>
              </w:rPr>
              <w:t>定期拉运至周至县污水处理厂处理。</w:t>
            </w:r>
          </w:p>
          <w:p>
            <w:pPr>
              <w:adjustRightInd w:val="0"/>
              <w:snapToGrid w:val="0"/>
              <w:spacing w:line="360" w:lineRule="auto"/>
              <w:ind w:firstLine="480" w:firstLineChars="200"/>
              <w:jc w:val="left"/>
              <w:rPr>
                <w:sz w:val="24"/>
              </w:rPr>
            </w:pPr>
            <w:r>
              <w:rPr>
                <w:bCs/>
                <w:sz w:val="24"/>
              </w:rPr>
              <w:t>项目水平衡一览表见表2-4，本项目水平衡图见图2-1。</w:t>
            </w:r>
          </w:p>
          <w:p>
            <w:pPr>
              <w:jc w:val="center"/>
              <w:outlineLvl w:val="1"/>
              <w:rPr>
                <w:b/>
                <w:kern w:val="0"/>
                <w:sz w:val="24"/>
              </w:rPr>
            </w:pPr>
            <w:r>
              <w:rPr>
                <w:b/>
                <w:kern w:val="0"/>
                <w:sz w:val="24"/>
              </w:rPr>
              <w:t>表2-4项目水平衡一览表</w:t>
            </w:r>
          </w:p>
          <w:tbl>
            <w:tblPr>
              <w:tblStyle w:val="17"/>
              <w:tblW w:w="8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1316"/>
              <w:gridCol w:w="1659"/>
              <w:gridCol w:w="969"/>
              <w:gridCol w:w="969"/>
              <w:gridCol w:w="969"/>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adjustRightInd w:val="0"/>
                    <w:snapToGrid w:val="0"/>
                    <w:ind w:left="-105" w:leftChars="-50" w:right="-105" w:rightChars="-50"/>
                    <w:jc w:val="center"/>
                    <w:rPr>
                      <w:b/>
                      <w:snapToGrid w:val="0"/>
                      <w:kern w:val="0"/>
                      <w:szCs w:val="21"/>
                    </w:rPr>
                  </w:pPr>
                  <w:r>
                    <w:rPr>
                      <w:b/>
                      <w:snapToGrid w:val="0"/>
                      <w:kern w:val="0"/>
                      <w:szCs w:val="21"/>
                    </w:rPr>
                    <w:t>项目</w:t>
                  </w:r>
                </w:p>
              </w:tc>
              <w:tc>
                <w:tcPr>
                  <w:tcW w:w="804" w:type="pct"/>
                  <w:vAlign w:val="center"/>
                </w:tcPr>
                <w:p>
                  <w:pPr>
                    <w:adjustRightInd w:val="0"/>
                    <w:snapToGrid w:val="0"/>
                    <w:ind w:left="-105" w:leftChars="-50" w:right="-105" w:rightChars="-50"/>
                    <w:jc w:val="center"/>
                    <w:rPr>
                      <w:b/>
                      <w:snapToGrid w:val="0"/>
                      <w:kern w:val="0"/>
                      <w:szCs w:val="21"/>
                    </w:rPr>
                  </w:pPr>
                  <w:r>
                    <w:rPr>
                      <w:b/>
                      <w:snapToGrid w:val="0"/>
                      <w:kern w:val="0"/>
                      <w:szCs w:val="21"/>
                    </w:rPr>
                    <w:t>数量</w:t>
                  </w:r>
                </w:p>
              </w:tc>
              <w:tc>
                <w:tcPr>
                  <w:tcW w:w="1014" w:type="pct"/>
                  <w:vAlign w:val="center"/>
                </w:tcPr>
                <w:p>
                  <w:pPr>
                    <w:adjustRightInd w:val="0"/>
                    <w:snapToGrid w:val="0"/>
                    <w:ind w:left="-105" w:leftChars="-50" w:right="-105" w:rightChars="-50"/>
                    <w:jc w:val="center"/>
                    <w:rPr>
                      <w:b/>
                      <w:snapToGrid w:val="0"/>
                      <w:kern w:val="0"/>
                      <w:szCs w:val="21"/>
                    </w:rPr>
                  </w:pPr>
                  <w:r>
                    <w:rPr>
                      <w:b/>
                      <w:snapToGrid w:val="0"/>
                      <w:kern w:val="0"/>
                      <w:szCs w:val="21"/>
                    </w:rPr>
                    <w:t>用水标准</w:t>
                  </w:r>
                </w:p>
              </w:tc>
              <w:tc>
                <w:tcPr>
                  <w:tcW w:w="592" w:type="pct"/>
                  <w:vAlign w:val="center"/>
                </w:tcPr>
                <w:p>
                  <w:pPr>
                    <w:adjustRightInd w:val="0"/>
                    <w:snapToGrid w:val="0"/>
                    <w:ind w:left="-105" w:leftChars="-50" w:right="-105" w:rightChars="-50"/>
                    <w:jc w:val="center"/>
                    <w:rPr>
                      <w:b/>
                      <w:snapToGrid w:val="0"/>
                      <w:kern w:val="0"/>
                      <w:szCs w:val="21"/>
                    </w:rPr>
                  </w:pPr>
                  <w:r>
                    <w:rPr>
                      <w:b/>
                      <w:snapToGrid w:val="0"/>
                      <w:kern w:val="0"/>
                      <w:szCs w:val="21"/>
                    </w:rPr>
                    <w:t>用水量（m</w:t>
                  </w:r>
                  <w:r>
                    <w:rPr>
                      <w:b/>
                      <w:snapToGrid w:val="0"/>
                      <w:kern w:val="0"/>
                      <w:szCs w:val="21"/>
                      <w:vertAlign w:val="superscript"/>
                    </w:rPr>
                    <w:t>3</w:t>
                  </w:r>
                  <w:r>
                    <w:rPr>
                      <w:b/>
                      <w:snapToGrid w:val="0"/>
                      <w:kern w:val="0"/>
                      <w:szCs w:val="21"/>
                    </w:rPr>
                    <w:t>/d）</w:t>
                  </w:r>
                </w:p>
              </w:tc>
              <w:tc>
                <w:tcPr>
                  <w:tcW w:w="592" w:type="pct"/>
                  <w:vAlign w:val="center"/>
                </w:tcPr>
                <w:p>
                  <w:pPr>
                    <w:adjustRightInd w:val="0"/>
                    <w:snapToGrid w:val="0"/>
                    <w:ind w:left="-105" w:leftChars="-50" w:right="-105" w:rightChars="-50"/>
                    <w:jc w:val="center"/>
                    <w:rPr>
                      <w:b/>
                      <w:snapToGrid w:val="0"/>
                      <w:kern w:val="0"/>
                      <w:szCs w:val="21"/>
                    </w:rPr>
                  </w:pPr>
                  <w:r>
                    <w:rPr>
                      <w:b/>
                      <w:snapToGrid w:val="0"/>
                      <w:kern w:val="0"/>
                      <w:szCs w:val="21"/>
                    </w:rPr>
                    <w:t>用水量（m</w:t>
                  </w:r>
                  <w:r>
                    <w:rPr>
                      <w:b/>
                      <w:snapToGrid w:val="0"/>
                      <w:kern w:val="0"/>
                      <w:szCs w:val="21"/>
                      <w:vertAlign w:val="superscript"/>
                    </w:rPr>
                    <w:t>3</w:t>
                  </w:r>
                  <w:r>
                    <w:rPr>
                      <w:b/>
                      <w:snapToGrid w:val="0"/>
                      <w:kern w:val="0"/>
                      <w:szCs w:val="21"/>
                    </w:rPr>
                    <w:t>/a）</w:t>
                  </w:r>
                </w:p>
              </w:tc>
              <w:tc>
                <w:tcPr>
                  <w:tcW w:w="592" w:type="pct"/>
                  <w:vAlign w:val="center"/>
                </w:tcPr>
                <w:p>
                  <w:pPr>
                    <w:adjustRightInd w:val="0"/>
                    <w:snapToGrid w:val="0"/>
                    <w:ind w:left="-105" w:leftChars="-50" w:right="-105" w:rightChars="-50"/>
                    <w:jc w:val="center"/>
                    <w:rPr>
                      <w:b/>
                      <w:snapToGrid w:val="0"/>
                      <w:kern w:val="0"/>
                      <w:szCs w:val="21"/>
                    </w:rPr>
                  </w:pPr>
                  <w:r>
                    <w:rPr>
                      <w:b/>
                      <w:snapToGrid w:val="0"/>
                      <w:kern w:val="0"/>
                      <w:szCs w:val="21"/>
                    </w:rPr>
                    <w:t>废水量（m</w:t>
                  </w:r>
                  <w:r>
                    <w:rPr>
                      <w:b/>
                      <w:snapToGrid w:val="0"/>
                      <w:kern w:val="0"/>
                      <w:szCs w:val="21"/>
                      <w:vertAlign w:val="superscript"/>
                    </w:rPr>
                    <w:t>3</w:t>
                  </w:r>
                  <w:r>
                    <w:rPr>
                      <w:b/>
                      <w:snapToGrid w:val="0"/>
                      <w:kern w:val="0"/>
                      <w:szCs w:val="21"/>
                    </w:rPr>
                    <w:t>/d）</w:t>
                  </w:r>
                </w:p>
              </w:tc>
              <w:tc>
                <w:tcPr>
                  <w:tcW w:w="610" w:type="pct"/>
                  <w:vAlign w:val="center"/>
                </w:tcPr>
                <w:p>
                  <w:pPr>
                    <w:adjustRightInd w:val="0"/>
                    <w:snapToGrid w:val="0"/>
                    <w:ind w:left="-105" w:leftChars="-50" w:right="-105" w:rightChars="-50"/>
                    <w:jc w:val="center"/>
                    <w:rPr>
                      <w:b/>
                      <w:snapToGrid w:val="0"/>
                      <w:kern w:val="0"/>
                      <w:szCs w:val="21"/>
                    </w:rPr>
                  </w:pPr>
                  <w:r>
                    <w:rPr>
                      <w:b/>
                      <w:snapToGrid w:val="0"/>
                      <w:kern w:val="0"/>
                      <w:szCs w:val="21"/>
                    </w:rPr>
                    <w:t>废水量（m</w:t>
                  </w:r>
                  <w:r>
                    <w:rPr>
                      <w:b/>
                      <w:snapToGrid w:val="0"/>
                      <w:kern w:val="0"/>
                      <w:szCs w:val="21"/>
                      <w:vertAlign w:val="superscript"/>
                    </w:rPr>
                    <w:t>3</w:t>
                  </w:r>
                  <w:r>
                    <w:rPr>
                      <w:b/>
                      <w:snapToGrid w:val="0"/>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adjustRightInd w:val="0"/>
                    <w:snapToGrid w:val="0"/>
                    <w:ind w:left="-105" w:leftChars="-50" w:right="-105" w:rightChars="-50"/>
                    <w:jc w:val="center"/>
                    <w:rPr>
                      <w:snapToGrid w:val="0"/>
                      <w:kern w:val="0"/>
                      <w:szCs w:val="21"/>
                    </w:rPr>
                  </w:pPr>
                  <w:r>
                    <w:rPr>
                      <w:snapToGrid w:val="0"/>
                      <w:kern w:val="0"/>
                      <w:szCs w:val="21"/>
                    </w:rPr>
                    <w:t>生活用水</w:t>
                  </w:r>
                </w:p>
              </w:tc>
              <w:tc>
                <w:tcPr>
                  <w:tcW w:w="804" w:type="pct"/>
                  <w:vAlign w:val="center"/>
                </w:tcPr>
                <w:p>
                  <w:pPr>
                    <w:adjustRightInd w:val="0"/>
                    <w:snapToGrid w:val="0"/>
                    <w:ind w:left="-105" w:leftChars="-50" w:right="-105" w:rightChars="-50"/>
                    <w:jc w:val="center"/>
                    <w:rPr>
                      <w:snapToGrid w:val="0"/>
                      <w:kern w:val="0"/>
                      <w:szCs w:val="21"/>
                    </w:rPr>
                  </w:pPr>
                  <w:r>
                    <w:rPr>
                      <w:snapToGrid w:val="0"/>
                      <w:kern w:val="0"/>
                      <w:szCs w:val="21"/>
                    </w:rPr>
                    <w:t>50员工/250治丧人员</w:t>
                  </w:r>
                </w:p>
              </w:tc>
              <w:tc>
                <w:tcPr>
                  <w:tcW w:w="1014" w:type="pct"/>
                  <w:vAlign w:val="center"/>
                </w:tcPr>
                <w:p>
                  <w:pPr>
                    <w:adjustRightInd w:val="0"/>
                    <w:snapToGrid w:val="0"/>
                    <w:ind w:left="-105" w:leftChars="-50" w:right="-105" w:rightChars="-50"/>
                    <w:jc w:val="center"/>
                    <w:rPr>
                      <w:snapToGrid w:val="0"/>
                      <w:kern w:val="0"/>
                      <w:szCs w:val="21"/>
                    </w:rPr>
                  </w:pPr>
                  <w:r>
                    <w:rPr>
                      <w:bCs/>
                      <w:snapToGrid w:val="0"/>
                      <w:kern w:val="0"/>
                      <w:szCs w:val="21"/>
                    </w:rPr>
                    <w:t>/</w:t>
                  </w:r>
                </w:p>
              </w:tc>
              <w:tc>
                <w:tcPr>
                  <w:tcW w:w="592" w:type="pct"/>
                  <w:vAlign w:val="center"/>
                </w:tcPr>
                <w:p>
                  <w:pPr>
                    <w:widowControl/>
                    <w:ind w:left="-105" w:leftChars="-50" w:right="-105" w:rightChars="-50"/>
                    <w:jc w:val="center"/>
                    <w:rPr>
                      <w:snapToGrid w:val="0"/>
                      <w:kern w:val="0"/>
                      <w:szCs w:val="21"/>
                    </w:rPr>
                  </w:pPr>
                  <w:r>
                    <w:rPr>
                      <w:rFonts w:eastAsia="等线"/>
                      <w:szCs w:val="21"/>
                    </w:rPr>
                    <w:t>10.59</w:t>
                  </w:r>
                </w:p>
              </w:tc>
              <w:tc>
                <w:tcPr>
                  <w:tcW w:w="592" w:type="pct"/>
                  <w:vAlign w:val="center"/>
                </w:tcPr>
                <w:p>
                  <w:pPr>
                    <w:ind w:left="-105" w:leftChars="-50" w:right="-105" w:rightChars="-50"/>
                    <w:jc w:val="center"/>
                    <w:rPr>
                      <w:snapToGrid w:val="0"/>
                      <w:kern w:val="0"/>
                      <w:szCs w:val="21"/>
                    </w:rPr>
                  </w:pPr>
                  <w:r>
                    <w:rPr>
                      <w:rFonts w:eastAsia="等线"/>
                      <w:szCs w:val="21"/>
                    </w:rPr>
                    <w:t>3866.2</w:t>
                  </w:r>
                </w:p>
              </w:tc>
              <w:tc>
                <w:tcPr>
                  <w:tcW w:w="592" w:type="pct"/>
                  <w:vAlign w:val="center"/>
                </w:tcPr>
                <w:p>
                  <w:pPr>
                    <w:ind w:left="-105" w:leftChars="-50" w:right="-105" w:rightChars="-50"/>
                    <w:jc w:val="center"/>
                    <w:rPr>
                      <w:snapToGrid w:val="0"/>
                      <w:kern w:val="0"/>
                      <w:szCs w:val="21"/>
                    </w:rPr>
                  </w:pPr>
                  <w:r>
                    <w:rPr>
                      <w:rFonts w:eastAsia="等线"/>
                      <w:szCs w:val="21"/>
                    </w:rPr>
                    <w:t>8.47</w:t>
                  </w:r>
                </w:p>
              </w:tc>
              <w:tc>
                <w:tcPr>
                  <w:tcW w:w="610" w:type="pct"/>
                  <w:vAlign w:val="center"/>
                </w:tcPr>
                <w:p>
                  <w:pPr>
                    <w:ind w:left="-105" w:leftChars="-50" w:right="-105" w:rightChars="-50"/>
                    <w:jc w:val="center"/>
                    <w:rPr>
                      <w:snapToGrid w:val="0"/>
                      <w:kern w:val="0"/>
                      <w:szCs w:val="21"/>
                    </w:rPr>
                  </w:pPr>
                  <w:r>
                    <w:rPr>
                      <w:rFonts w:eastAsia="等线"/>
                      <w:szCs w:val="21"/>
                    </w:rPr>
                    <w:t>3092.96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adjustRightInd w:val="0"/>
                    <w:snapToGrid w:val="0"/>
                    <w:ind w:left="-105" w:leftChars="-50" w:right="-105" w:rightChars="-50"/>
                    <w:jc w:val="center"/>
                    <w:rPr>
                      <w:snapToGrid w:val="0"/>
                      <w:kern w:val="0"/>
                      <w:szCs w:val="21"/>
                    </w:rPr>
                  </w:pPr>
                  <w:r>
                    <w:rPr>
                      <w:snapToGrid w:val="0"/>
                      <w:kern w:val="0"/>
                      <w:szCs w:val="21"/>
                    </w:rPr>
                    <w:t>消毒用水</w:t>
                  </w:r>
                </w:p>
              </w:tc>
              <w:tc>
                <w:tcPr>
                  <w:tcW w:w="804" w:type="pct"/>
                  <w:vAlign w:val="center"/>
                </w:tcPr>
                <w:p>
                  <w:pPr>
                    <w:adjustRightInd w:val="0"/>
                    <w:snapToGrid w:val="0"/>
                    <w:ind w:left="-105" w:leftChars="-50" w:right="-105" w:rightChars="-50"/>
                    <w:jc w:val="center"/>
                    <w:rPr>
                      <w:snapToGrid w:val="0"/>
                      <w:kern w:val="0"/>
                      <w:szCs w:val="21"/>
                    </w:rPr>
                  </w:pPr>
                  <w:r>
                    <w:rPr>
                      <w:snapToGrid w:val="0"/>
                      <w:kern w:val="0"/>
                      <w:szCs w:val="21"/>
                    </w:rPr>
                    <w:t>100L</w:t>
                  </w:r>
                </w:p>
              </w:tc>
              <w:tc>
                <w:tcPr>
                  <w:tcW w:w="1014" w:type="pct"/>
                  <w:vAlign w:val="center"/>
                </w:tcPr>
                <w:p>
                  <w:pPr>
                    <w:adjustRightInd w:val="0"/>
                    <w:snapToGrid w:val="0"/>
                    <w:ind w:left="-105" w:leftChars="-50" w:right="-105" w:rightChars="-50"/>
                    <w:jc w:val="center"/>
                    <w:rPr>
                      <w:snapToGrid w:val="0"/>
                      <w:kern w:val="0"/>
                      <w:szCs w:val="21"/>
                    </w:rPr>
                  </w:pPr>
                  <w:r>
                    <w:rPr>
                      <w:snapToGrid w:val="0"/>
                      <w:kern w:val="0"/>
                      <w:szCs w:val="21"/>
                    </w:rPr>
                    <w:t>1:300</w:t>
                  </w:r>
                </w:p>
              </w:tc>
              <w:tc>
                <w:tcPr>
                  <w:tcW w:w="592" w:type="pct"/>
                  <w:vAlign w:val="center"/>
                </w:tcPr>
                <w:p>
                  <w:pPr>
                    <w:ind w:left="-105" w:leftChars="-50" w:right="-105" w:rightChars="-50"/>
                    <w:jc w:val="center"/>
                    <w:rPr>
                      <w:snapToGrid w:val="0"/>
                      <w:kern w:val="0"/>
                      <w:szCs w:val="21"/>
                    </w:rPr>
                  </w:pPr>
                  <w:r>
                    <w:rPr>
                      <w:rFonts w:eastAsia="等线"/>
                      <w:szCs w:val="21"/>
                    </w:rPr>
                    <w:t>0.08</w:t>
                  </w:r>
                </w:p>
              </w:tc>
              <w:tc>
                <w:tcPr>
                  <w:tcW w:w="592" w:type="pct"/>
                  <w:vAlign w:val="center"/>
                </w:tcPr>
                <w:p>
                  <w:pPr>
                    <w:ind w:left="-105" w:leftChars="-50" w:right="-105" w:rightChars="-50"/>
                    <w:jc w:val="center"/>
                    <w:rPr>
                      <w:snapToGrid w:val="0"/>
                      <w:kern w:val="0"/>
                      <w:szCs w:val="21"/>
                    </w:rPr>
                  </w:pPr>
                  <w:r>
                    <w:rPr>
                      <w:rFonts w:eastAsia="等线"/>
                      <w:szCs w:val="21"/>
                    </w:rPr>
                    <w:t>30</w:t>
                  </w:r>
                </w:p>
              </w:tc>
              <w:tc>
                <w:tcPr>
                  <w:tcW w:w="592" w:type="pct"/>
                  <w:vAlign w:val="center"/>
                </w:tcPr>
                <w:p>
                  <w:pPr>
                    <w:ind w:left="-105" w:leftChars="-50" w:right="-105" w:rightChars="-50"/>
                    <w:jc w:val="center"/>
                    <w:rPr>
                      <w:snapToGrid w:val="0"/>
                      <w:kern w:val="0"/>
                      <w:szCs w:val="21"/>
                    </w:rPr>
                  </w:pPr>
                  <w:r>
                    <w:rPr>
                      <w:rFonts w:eastAsia="等线"/>
                      <w:szCs w:val="21"/>
                    </w:rPr>
                    <w:t>0</w:t>
                  </w:r>
                </w:p>
              </w:tc>
              <w:tc>
                <w:tcPr>
                  <w:tcW w:w="610" w:type="pct"/>
                  <w:vAlign w:val="center"/>
                </w:tcPr>
                <w:p>
                  <w:pPr>
                    <w:ind w:left="-105" w:leftChars="-50" w:right="-105" w:rightChars="-50"/>
                    <w:jc w:val="center"/>
                    <w:rPr>
                      <w:snapToGrid w:val="0"/>
                      <w:kern w:val="0"/>
                      <w:szCs w:val="21"/>
                    </w:rPr>
                  </w:pPr>
                  <w:r>
                    <w:rPr>
                      <w:rFonts w:eastAsia="等线"/>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adjustRightInd w:val="0"/>
                    <w:snapToGrid w:val="0"/>
                    <w:ind w:left="-105" w:leftChars="-50" w:right="-105" w:rightChars="-50"/>
                    <w:jc w:val="center"/>
                    <w:rPr>
                      <w:snapToGrid w:val="0"/>
                      <w:kern w:val="0"/>
                      <w:szCs w:val="21"/>
                    </w:rPr>
                  </w:pPr>
                  <w:r>
                    <w:rPr>
                      <w:snapToGrid w:val="0"/>
                      <w:kern w:val="0"/>
                      <w:szCs w:val="21"/>
                    </w:rPr>
                    <w:t>环保设施用水</w:t>
                  </w:r>
                </w:p>
              </w:tc>
              <w:tc>
                <w:tcPr>
                  <w:tcW w:w="804" w:type="pct"/>
                  <w:vAlign w:val="center"/>
                </w:tcPr>
                <w:p>
                  <w:pPr>
                    <w:adjustRightInd w:val="0"/>
                    <w:snapToGrid w:val="0"/>
                    <w:ind w:left="-105" w:leftChars="-50" w:right="-105" w:rightChars="-50"/>
                    <w:jc w:val="center"/>
                    <w:rPr>
                      <w:snapToGrid w:val="0"/>
                      <w:kern w:val="0"/>
                      <w:szCs w:val="21"/>
                    </w:rPr>
                  </w:pPr>
                  <w:r>
                    <w:rPr>
                      <w:snapToGrid w:val="0"/>
                      <w:kern w:val="0"/>
                      <w:szCs w:val="21"/>
                    </w:rPr>
                    <w:t>12台</w:t>
                  </w:r>
                </w:p>
              </w:tc>
              <w:tc>
                <w:tcPr>
                  <w:tcW w:w="1014" w:type="pct"/>
                  <w:vAlign w:val="center"/>
                </w:tcPr>
                <w:p>
                  <w:pPr>
                    <w:adjustRightInd w:val="0"/>
                    <w:snapToGrid w:val="0"/>
                    <w:ind w:left="-105" w:leftChars="-50" w:right="-105" w:rightChars="-50"/>
                    <w:jc w:val="center"/>
                    <w:rPr>
                      <w:snapToGrid w:val="0"/>
                      <w:kern w:val="0"/>
                      <w:szCs w:val="21"/>
                    </w:rPr>
                  </w:pPr>
                  <w:r>
                    <w:rPr>
                      <w:snapToGrid w:val="0"/>
                      <w:kern w:val="0"/>
                      <w:szCs w:val="21"/>
                    </w:rPr>
                    <w:t>3.2L</w:t>
                  </w:r>
                </w:p>
              </w:tc>
              <w:tc>
                <w:tcPr>
                  <w:tcW w:w="592" w:type="pct"/>
                  <w:vAlign w:val="center"/>
                </w:tcPr>
                <w:p>
                  <w:pPr>
                    <w:ind w:left="-105" w:leftChars="-50" w:right="-105" w:rightChars="-50"/>
                    <w:jc w:val="center"/>
                    <w:rPr>
                      <w:snapToGrid w:val="0"/>
                      <w:kern w:val="0"/>
                      <w:szCs w:val="21"/>
                    </w:rPr>
                  </w:pPr>
                  <w:r>
                    <w:rPr>
                      <w:rFonts w:eastAsia="等线"/>
                      <w:szCs w:val="21"/>
                    </w:rPr>
                    <w:t>0.13</w:t>
                  </w:r>
                </w:p>
              </w:tc>
              <w:tc>
                <w:tcPr>
                  <w:tcW w:w="592" w:type="pct"/>
                  <w:vAlign w:val="center"/>
                </w:tcPr>
                <w:p>
                  <w:pPr>
                    <w:ind w:left="-105" w:leftChars="-50" w:right="-105" w:rightChars="-50"/>
                    <w:jc w:val="center"/>
                    <w:rPr>
                      <w:snapToGrid w:val="0"/>
                      <w:kern w:val="0"/>
                      <w:szCs w:val="21"/>
                    </w:rPr>
                  </w:pPr>
                  <w:r>
                    <w:rPr>
                      <w:rFonts w:eastAsia="等线"/>
                      <w:szCs w:val="21"/>
                    </w:rPr>
                    <w:t>46.02</w:t>
                  </w:r>
                </w:p>
              </w:tc>
              <w:tc>
                <w:tcPr>
                  <w:tcW w:w="592" w:type="pct"/>
                  <w:vAlign w:val="center"/>
                </w:tcPr>
                <w:p>
                  <w:pPr>
                    <w:ind w:left="-105" w:leftChars="-50" w:right="-105" w:rightChars="-50"/>
                    <w:jc w:val="center"/>
                    <w:rPr>
                      <w:snapToGrid w:val="0"/>
                      <w:kern w:val="0"/>
                      <w:szCs w:val="21"/>
                    </w:rPr>
                  </w:pPr>
                  <w:r>
                    <w:rPr>
                      <w:rFonts w:eastAsia="等线"/>
                      <w:szCs w:val="21"/>
                    </w:rPr>
                    <w:t>0</w:t>
                  </w:r>
                </w:p>
              </w:tc>
              <w:tc>
                <w:tcPr>
                  <w:tcW w:w="610" w:type="pct"/>
                  <w:vAlign w:val="center"/>
                </w:tcPr>
                <w:p>
                  <w:pPr>
                    <w:ind w:left="-105" w:leftChars="-50" w:right="-105" w:rightChars="-50"/>
                    <w:jc w:val="center"/>
                    <w:rPr>
                      <w:snapToGrid w:val="0"/>
                      <w:kern w:val="0"/>
                      <w:szCs w:val="21"/>
                    </w:rPr>
                  </w:pPr>
                  <w:r>
                    <w:rPr>
                      <w:rFonts w:eastAsia="等线"/>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adjustRightInd w:val="0"/>
                    <w:snapToGrid w:val="0"/>
                    <w:ind w:left="-105" w:leftChars="-50" w:right="-105" w:rightChars="-50"/>
                    <w:jc w:val="center"/>
                    <w:rPr>
                      <w:snapToGrid w:val="0"/>
                      <w:kern w:val="0"/>
                      <w:szCs w:val="21"/>
                    </w:rPr>
                  </w:pPr>
                  <w:r>
                    <w:rPr>
                      <w:snapToGrid w:val="0"/>
                      <w:kern w:val="0"/>
                      <w:szCs w:val="21"/>
                    </w:rPr>
                    <w:t>解剖用水</w:t>
                  </w:r>
                </w:p>
              </w:tc>
              <w:tc>
                <w:tcPr>
                  <w:tcW w:w="804" w:type="pct"/>
                  <w:vAlign w:val="center"/>
                </w:tcPr>
                <w:p>
                  <w:pPr>
                    <w:adjustRightInd w:val="0"/>
                    <w:snapToGrid w:val="0"/>
                    <w:ind w:left="-105" w:leftChars="-50" w:right="-105" w:rightChars="-50"/>
                    <w:jc w:val="center"/>
                    <w:rPr>
                      <w:snapToGrid w:val="0"/>
                      <w:kern w:val="0"/>
                      <w:szCs w:val="21"/>
                    </w:rPr>
                  </w:pPr>
                  <w:r>
                    <w:rPr>
                      <w:snapToGrid w:val="0"/>
                      <w:kern w:val="0"/>
                      <w:szCs w:val="21"/>
                    </w:rPr>
                    <w:t>/</w:t>
                  </w:r>
                </w:p>
              </w:tc>
              <w:tc>
                <w:tcPr>
                  <w:tcW w:w="1014" w:type="pct"/>
                  <w:vAlign w:val="center"/>
                </w:tcPr>
                <w:p>
                  <w:pPr>
                    <w:adjustRightInd w:val="0"/>
                    <w:snapToGrid w:val="0"/>
                    <w:ind w:left="-105" w:leftChars="-50" w:right="-105" w:rightChars="-50"/>
                    <w:jc w:val="center"/>
                    <w:rPr>
                      <w:snapToGrid w:val="0"/>
                      <w:kern w:val="0"/>
                      <w:szCs w:val="21"/>
                    </w:rPr>
                  </w:pPr>
                  <w:r>
                    <w:rPr>
                      <w:snapToGrid w:val="0"/>
                      <w:kern w:val="0"/>
                      <w:szCs w:val="21"/>
                    </w:rPr>
                    <w:t>/</w:t>
                  </w:r>
                </w:p>
              </w:tc>
              <w:tc>
                <w:tcPr>
                  <w:tcW w:w="592" w:type="pct"/>
                  <w:vAlign w:val="center"/>
                </w:tcPr>
                <w:p>
                  <w:pPr>
                    <w:ind w:left="-105" w:leftChars="-50" w:right="-105" w:rightChars="-50"/>
                    <w:jc w:val="center"/>
                    <w:rPr>
                      <w:snapToGrid w:val="0"/>
                      <w:kern w:val="0"/>
                      <w:szCs w:val="21"/>
                    </w:rPr>
                  </w:pPr>
                  <w:r>
                    <w:rPr>
                      <w:rFonts w:eastAsia="等线"/>
                      <w:szCs w:val="21"/>
                    </w:rPr>
                    <w:t>0.16</w:t>
                  </w:r>
                </w:p>
              </w:tc>
              <w:tc>
                <w:tcPr>
                  <w:tcW w:w="592" w:type="pct"/>
                  <w:vAlign w:val="center"/>
                </w:tcPr>
                <w:p>
                  <w:pPr>
                    <w:ind w:left="-105" w:leftChars="-50" w:right="-105" w:rightChars="-50"/>
                    <w:jc w:val="center"/>
                    <w:rPr>
                      <w:snapToGrid w:val="0"/>
                      <w:kern w:val="0"/>
                      <w:szCs w:val="21"/>
                    </w:rPr>
                  </w:pPr>
                  <w:r>
                    <w:rPr>
                      <w:rFonts w:eastAsia="等线"/>
                      <w:szCs w:val="21"/>
                    </w:rPr>
                    <w:t>60</w:t>
                  </w:r>
                </w:p>
              </w:tc>
              <w:tc>
                <w:tcPr>
                  <w:tcW w:w="592" w:type="pct"/>
                  <w:vAlign w:val="center"/>
                </w:tcPr>
                <w:p>
                  <w:pPr>
                    <w:ind w:left="-105" w:leftChars="-50" w:right="-105" w:rightChars="-50"/>
                    <w:jc w:val="center"/>
                    <w:rPr>
                      <w:snapToGrid w:val="0"/>
                      <w:kern w:val="0"/>
                      <w:szCs w:val="21"/>
                    </w:rPr>
                  </w:pPr>
                  <w:r>
                    <w:rPr>
                      <w:rFonts w:eastAsia="等线"/>
                      <w:szCs w:val="21"/>
                    </w:rPr>
                    <w:t>0.13</w:t>
                  </w:r>
                </w:p>
              </w:tc>
              <w:tc>
                <w:tcPr>
                  <w:tcW w:w="610" w:type="pct"/>
                  <w:vAlign w:val="center"/>
                </w:tcPr>
                <w:p>
                  <w:pPr>
                    <w:ind w:left="-105" w:leftChars="-50" w:right="-105" w:rightChars="-50"/>
                    <w:jc w:val="center"/>
                    <w:rPr>
                      <w:snapToGrid w:val="0"/>
                      <w:kern w:val="0"/>
                      <w:szCs w:val="21"/>
                    </w:rPr>
                  </w:pPr>
                  <w:r>
                    <w:rPr>
                      <w:rFonts w:eastAsia="等线"/>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adjustRightInd w:val="0"/>
                    <w:snapToGrid w:val="0"/>
                    <w:ind w:left="-105" w:leftChars="-50" w:right="-105" w:rightChars="-50"/>
                    <w:jc w:val="center"/>
                    <w:rPr>
                      <w:snapToGrid w:val="0"/>
                      <w:kern w:val="0"/>
                      <w:szCs w:val="21"/>
                    </w:rPr>
                  </w:pPr>
                  <w:r>
                    <w:rPr>
                      <w:snapToGrid w:val="0"/>
                      <w:kern w:val="0"/>
                      <w:szCs w:val="21"/>
                    </w:rPr>
                    <w:t>地面清洗用水</w:t>
                  </w:r>
                </w:p>
              </w:tc>
              <w:tc>
                <w:tcPr>
                  <w:tcW w:w="804" w:type="pct"/>
                  <w:vAlign w:val="center"/>
                </w:tcPr>
                <w:p>
                  <w:pPr>
                    <w:adjustRightInd w:val="0"/>
                    <w:snapToGrid w:val="0"/>
                    <w:ind w:left="-105" w:leftChars="-50" w:right="-105" w:rightChars="-50"/>
                    <w:jc w:val="center"/>
                    <w:rPr>
                      <w:snapToGrid w:val="0"/>
                      <w:kern w:val="0"/>
                      <w:szCs w:val="21"/>
                    </w:rPr>
                  </w:pPr>
                  <w:r>
                    <w:rPr>
                      <w:szCs w:val="21"/>
                    </w:rPr>
                    <w:t>2910.8</w:t>
                  </w:r>
                  <w:r>
                    <w:rPr>
                      <w:rFonts w:eastAsia="Times New Roman"/>
                      <w:szCs w:val="21"/>
                    </w:rPr>
                    <w:t>m</w:t>
                  </w:r>
                  <w:r>
                    <w:rPr>
                      <w:szCs w:val="21"/>
                      <w:vertAlign w:val="superscript"/>
                    </w:rPr>
                    <w:t>2</w:t>
                  </w:r>
                </w:p>
              </w:tc>
              <w:tc>
                <w:tcPr>
                  <w:tcW w:w="1014" w:type="pct"/>
                  <w:vAlign w:val="center"/>
                </w:tcPr>
                <w:p>
                  <w:pPr>
                    <w:adjustRightInd w:val="0"/>
                    <w:snapToGrid w:val="0"/>
                    <w:ind w:left="-105" w:leftChars="-50" w:right="-105" w:rightChars="-50"/>
                    <w:jc w:val="center"/>
                    <w:rPr>
                      <w:snapToGrid w:val="0"/>
                      <w:kern w:val="0"/>
                      <w:szCs w:val="21"/>
                    </w:rPr>
                  </w:pPr>
                  <w:r>
                    <w:rPr>
                      <w:szCs w:val="21"/>
                    </w:rPr>
                    <w:t>2L/</w:t>
                  </w:r>
                  <w:r>
                    <w:rPr>
                      <w:rFonts w:eastAsia="Times New Roman"/>
                      <w:szCs w:val="21"/>
                    </w:rPr>
                    <w:t>m</w:t>
                  </w:r>
                  <w:r>
                    <w:rPr>
                      <w:szCs w:val="21"/>
                      <w:vertAlign w:val="superscript"/>
                    </w:rPr>
                    <w:t>2</w:t>
                  </w:r>
                  <w:r>
                    <w:rPr>
                      <w:rFonts w:eastAsia="Times New Roman"/>
                      <w:szCs w:val="21"/>
                    </w:rPr>
                    <w:t>·</w:t>
                  </w:r>
                  <w:r>
                    <w:rPr>
                      <w:szCs w:val="21"/>
                    </w:rPr>
                    <w:t>次</w:t>
                  </w:r>
                </w:p>
              </w:tc>
              <w:tc>
                <w:tcPr>
                  <w:tcW w:w="592" w:type="pct"/>
                  <w:vAlign w:val="center"/>
                </w:tcPr>
                <w:p>
                  <w:pPr>
                    <w:ind w:left="-105" w:leftChars="-50" w:right="-105" w:rightChars="-50"/>
                    <w:jc w:val="center"/>
                    <w:rPr>
                      <w:snapToGrid w:val="0"/>
                      <w:kern w:val="0"/>
                      <w:szCs w:val="21"/>
                    </w:rPr>
                  </w:pPr>
                  <w:r>
                    <w:rPr>
                      <w:rFonts w:eastAsia="等线"/>
                      <w:szCs w:val="21"/>
                    </w:rPr>
                    <w:t>1.59</w:t>
                  </w:r>
                </w:p>
              </w:tc>
              <w:tc>
                <w:tcPr>
                  <w:tcW w:w="592" w:type="pct"/>
                  <w:vAlign w:val="center"/>
                </w:tcPr>
                <w:p>
                  <w:pPr>
                    <w:ind w:left="-105" w:leftChars="-50" w:right="-105" w:rightChars="-50"/>
                    <w:jc w:val="center"/>
                    <w:rPr>
                      <w:snapToGrid w:val="0"/>
                      <w:kern w:val="0"/>
                      <w:szCs w:val="21"/>
                    </w:rPr>
                  </w:pPr>
                  <w:r>
                    <w:rPr>
                      <w:rFonts w:eastAsia="等线"/>
                      <w:szCs w:val="21"/>
                    </w:rPr>
                    <w:t>582.16</w:t>
                  </w:r>
                </w:p>
              </w:tc>
              <w:tc>
                <w:tcPr>
                  <w:tcW w:w="592" w:type="pct"/>
                  <w:vAlign w:val="center"/>
                </w:tcPr>
                <w:p>
                  <w:pPr>
                    <w:ind w:left="-105" w:leftChars="-50" w:right="-105" w:rightChars="-50"/>
                    <w:jc w:val="center"/>
                    <w:rPr>
                      <w:snapToGrid w:val="0"/>
                      <w:kern w:val="0"/>
                      <w:szCs w:val="21"/>
                    </w:rPr>
                  </w:pPr>
                  <w:r>
                    <w:rPr>
                      <w:rFonts w:eastAsia="等线"/>
                      <w:szCs w:val="21"/>
                    </w:rPr>
                    <w:t>1.43</w:t>
                  </w:r>
                </w:p>
              </w:tc>
              <w:tc>
                <w:tcPr>
                  <w:tcW w:w="610" w:type="pct"/>
                  <w:vAlign w:val="center"/>
                </w:tcPr>
                <w:p>
                  <w:pPr>
                    <w:ind w:left="-105" w:leftChars="-50" w:right="-105" w:rightChars="-50"/>
                    <w:jc w:val="center"/>
                    <w:rPr>
                      <w:snapToGrid w:val="0"/>
                      <w:kern w:val="0"/>
                      <w:szCs w:val="21"/>
                    </w:rPr>
                  </w:pPr>
                  <w:r>
                    <w:rPr>
                      <w:rFonts w:eastAsia="等线"/>
                      <w:szCs w:val="21"/>
                    </w:rPr>
                    <w:t>523.94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adjustRightInd w:val="0"/>
                    <w:snapToGrid w:val="0"/>
                    <w:ind w:left="-105" w:leftChars="-50" w:right="-105" w:rightChars="-50"/>
                    <w:jc w:val="center"/>
                    <w:rPr>
                      <w:snapToGrid w:val="0"/>
                      <w:kern w:val="0"/>
                      <w:szCs w:val="21"/>
                    </w:rPr>
                  </w:pPr>
                  <w:r>
                    <w:rPr>
                      <w:bCs/>
                      <w:szCs w:val="21"/>
                    </w:rPr>
                    <w:t>洗车用水</w:t>
                  </w:r>
                </w:p>
              </w:tc>
              <w:tc>
                <w:tcPr>
                  <w:tcW w:w="804" w:type="pct"/>
                  <w:vAlign w:val="center"/>
                </w:tcPr>
                <w:p>
                  <w:pPr>
                    <w:adjustRightInd w:val="0"/>
                    <w:snapToGrid w:val="0"/>
                    <w:ind w:left="-105" w:leftChars="-50" w:right="-105" w:rightChars="-50"/>
                    <w:jc w:val="center"/>
                    <w:rPr>
                      <w:szCs w:val="21"/>
                    </w:rPr>
                  </w:pPr>
                  <w:r>
                    <w:rPr>
                      <w:szCs w:val="21"/>
                    </w:rPr>
                    <w:t>60次</w:t>
                  </w:r>
                </w:p>
              </w:tc>
              <w:tc>
                <w:tcPr>
                  <w:tcW w:w="1014" w:type="pct"/>
                  <w:vAlign w:val="center"/>
                </w:tcPr>
                <w:p>
                  <w:pPr>
                    <w:adjustRightInd w:val="0"/>
                    <w:snapToGrid w:val="0"/>
                    <w:ind w:left="-105" w:leftChars="-50" w:right="-105" w:rightChars="-50"/>
                    <w:jc w:val="center"/>
                    <w:rPr>
                      <w:szCs w:val="21"/>
                    </w:rPr>
                  </w:pPr>
                  <w:r>
                    <w:rPr>
                      <w:szCs w:val="21"/>
                    </w:rPr>
                    <w:t>0.5</w:t>
                  </w:r>
                  <w:r>
                    <w:rPr>
                      <w:rFonts w:eastAsia="Times New Roman"/>
                      <w:szCs w:val="21"/>
                    </w:rPr>
                    <w:t>m</w:t>
                  </w:r>
                  <w:r>
                    <w:rPr>
                      <w:szCs w:val="21"/>
                      <w:vertAlign w:val="superscript"/>
                    </w:rPr>
                    <w:t>3</w:t>
                  </w:r>
                  <w:r>
                    <w:rPr>
                      <w:rFonts w:eastAsia="Times New Roman"/>
                      <w:szCs w:val="21"/>
                    </w:rPr>
                    <w:t>/</w:t>
                  </w:r>
                  <w:r>
                    <w:rPr>
                      <w:szCs w:val="21"/>
                    </w:rPr>
                    <w:t>次</w:t>
                  </w:r>
                </w:p>
              </w:tc>
              <w:tc>
                <w:tcPr>
                  <w:tcW w:w="592" w:type="pct"/>
                  <w:vAlign w:val="center"/>
                </w:tcPr>
                <w:p>
                  <w:pPr>
                    <w:ind w:left="-105" w:leftChars="-50" w:right="-105" w:rightChars="-50"/>
                    <w:jc w:val="center"/>
                    <w:rPr>
                      <w:snapToGrid w:val="0"/>
                      <w:kern w:val="0"/>
                      <w:szCs w:val="21"/>
                    </w:rPr>
                  </w:pPr>
                  <w:r>
                    <w:rPr>
                      <w:rFonts w:eastAsia="等线"/>
                      <w:szCs w:val="21"/>
                    </w:rPr>
                    <w:t>0.82</w:t>
                  </w:r>
                </w:p>
              </w:tc>
              <w:tc>
                <w:tcPr>
                  <w:tcW w:w="592" w:type="pct"/>
                  <w:vAlign w:val="center"/>
                </w:tcPr>
                <w:p>
                  <w:pPr>
                    <w:ind w:left="-105" w:leftChars="-50" w:right="-105" w:rightChars="-50"/>
                    <w:jc w:val="center"/>
                    <w:rPr>
                      <w:snapToGrid w:val="0"/>
                      <w:kern w:val="0"/>
                      <w:szCs w:val="21"/>
                    </w:rPr>
                  </w:pPr>
                  <w:r>
                    <w:rPr>
                      <w:rFonts w:eastAsia="等线"/>
                      <w:szCs w:val="21"/>
                    </w:rPr>
                    <w:t>300</w:t>
                  </w:r>
                </w:p>
              </w:tc>
              <w:tc>
                <w:tcPr>
                  <w:tcW w:w="592" w:type="pct"/>
                  <w:vAlign w:val="center"/>
                </w:tcPr>
                <w:p>
                  <w:pPr>
                    <w:ind w:left="-105" w:leftChars="-50" w:right="-105" w:rightChars="-50"/>
                    <w:jc w:val="center"/>
                    <w:rPr>
                      <w:snapToGrid w:val="0"/>
                      <w:kern w:val="0"/>
                      <w:szCs w:val="21"/>
                    </w:rPr>
                  </w:pPr>
                  <w:r>
                    <w:rPr>
                      <w:rFonts w:eastAsia="等线"/>
                      <w:szCs w:val="21"/>
                    </w:rPr>
                    <w:t>0.74</w:t>
                  </w:r>
                </w:p>
              </w:tc>
              <w:tc>
                <w:tcPr>
                  <w:tcW w:w="610" w:type="pct"/>
                  <w:vAlign w:val="center"/>
                </w:tcPr>
                <w:p>
                  <w:pPr>
                    <w:ind w:left="-105" w:leftChars="-50" w:right="-105" w:rightChars="-50"/>
                    <w:jc w:val="center"/>
                    <w:rPr>
                      <w:snapToGrid w:val="0"/>
                      <w:kern w:val="0"/>
                      <w:szCs w:val="21"/>
                    </w:rPr>
                  </w:pPr>
                  <w:r>
                    <w:rPr>
                      <w:rFonts w:eastAsia="等线"/>
                      <w:szCs w:val="21"/>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adjustRightInd w:val="0"/>
                    <w:snapToGrid w:val="0"/>
                    <w:ind w:left="-105" w:leftChars="-50" w:right="-105" w:rightChars="-50"/>
                    <w:jc w:val="center"/>
                    <w:rPr>
                      <w:snapToGrid w:val="0"/>
                      <w:kern w:val="0"/>
                      <w:szCs w:val="21"/>
                    </w:rPr>
                  </w:pPr>
                  <w:r>
                    <w:rPr>
                      <w:snapToGrid w:val="0"/>
                      <w:kern w:val="0"/>
                      <w:szCs w:val="21"/>
                    </w:rPr>
                    <w:t>绿化用水</w:t>
                  </w:r>
                </w:p>
              </w:tc>
              <w:tc>
                <w:tcPr>
                  <w:tcW w:w="804" w:type="pct"/>
                  <w:vAlign w:val="center"/>
                </w:tcPr>
                <w:p>
                  <w:pPr>
                    <w:adjustRightInd w:val="0"/>
                    <w:snapToGrid w:val="0"/>
                    <w:ind w:left="-105" w:leftChars="-50" w:right="-105" w:rightChars="-50"/>
                    <w:jc w:val="center"/>
                    <w:rPr>
                      <w:snapToGrid w:val="0"/>
                      <w:kern w:val="0"/>
                      <w:szCs w:val="21"/>
                    </w:rPr>
                  </w:pPr>
                  <w:r>
                    <w:rPr>
                      <w:bCs/>
                      <w:szCs w:val="21"/>
                    </w:rPr>
                    <w:t>13936.67m</w:t>
                  </w:r>
                  <w:r>
                    <w:rPr>
                      <w:bCs/>
                      <w:szCs w:val="21"/>
                      <w:vertAlign w:val="superscript"/>
                    </w:rPr>
                    <w:t>2</w:t>
                  </w:r>
                </w:p>
              </w:tc>
              <w:tc>
                <w:tcPr>
                  <w:tcW w:w="1014" w:type="pct"/>
                  <w:vAlign w:val="center"/>
                </w:tcPr>
                <w:p>
                  <w:pPr>
                    <w:adjustRightInd w:val="0"/>
                    <w:snapToGrid w:val="0"/>
                    <w:ind w:left="-105" w:leftChars="-50" w:right="-105" w:rightChars="-50"/>
                    <w:jc w:val="center"/>
                    <w:rPr>
                      <w:snapToGrid w:val="0"/>
                      <w:kern w:val="0"/>
                      <w:szCs w:val="21"/>
                    </w:rPr>
                  </w:pPr>
                  <w:r>
                    <w:rPr>
                      <w:snapToGrid w:val="0"/>
                      <w:kern w:val="0"/>
                      <w:szCs w:val="21"/>
                    </w:rPr>
                    <w:t>1.</w:t>
                  </w:r>
                  <w:r>
                    <w:rPr>
                      <w:bCs/>
                      <w:szCs w:val="21"/>
                    </w:rPr>
                    <w:t>2L/（m</w:t>
                  </w:r>
                  <w:r>
                    <w:rPr>
                      <w:bCs/>
                      <w:szCs w:val="21"/>
                      <w:vertAlign w:val="superscript"/>
                    </w:rPr>
                    <w:t>2</w:t>
                  </w:r>
                  <w:r>
                    <w:rPr>
                      <w:szCs w:val="21"/>
                    </w:rPr>
                    <w:t>·</w:t>
                  </w:r>
                  <w:r>
                    <w:rPr>
                      <w:bCs/>
                      <w:szCs w:val="21"/>
                    </w:rPr>
                    <w:t>d）</w:t>
                  </w:r>
                </w:p>
              </w:tc>
              <w:tc>
                <w:tcPr>
                  <w:tcW w:w="592" w:type="pct"/>
                  <w:vAlign w:val="center"/>
                </w:tcPr>
                <w:p>
                  <w:pPr>
                    <w:ind w:left="-105" w:leftChars="-50" w:right="-105" w:rightChars="-50"/>
                    <w:jc w:val="center"/>
                    <w:rPr>
                      <w:snapToGrid w:val="0"/>
                      <w:kern w:val="0"/>
                      <w:szCs w:val="21"/>
                    </w:rPr>
                  </w:pPr>
                  <w:r>
                    <w:rPr>
                      <w:rFonts w:eastAsia="等线"/>
                      <w:szCs w:val="21"/>
                    </w:rPr>
                    <w:t>5.57</w:t>
                  </w:r>
                </w:p>
              </w:tc>
              <w:tc>
                <w:tcPr>
                  <w:tcW w:w="592" w:type="pct"/>
                  <w:vAlign w:val="center"/>
                </w:tcPr>
                <w:p>
                  <w:pPr>
                    <w:ind w:left="-105" w:leftChars="-50" w:right="-105" w:rightChars="-50"/>
                    <w:jc w:val="center"/>
                    <w:rPr>
                      <w:snapToGrid w:val="0"/>
                      <w:kern w:val="0"/>
                      <w:szCs w:val="21"/>
                    </w:rPr>
                  </w:pPr>
                  <w:r>
                    <w:rPr>
                      <w:rFonts w:eastAsia="等线"/>
                      <w:szCs w:val="21"/>
                    </w:rPr>
                    <w:t>2034.75</w:t>
                  </w:r>
                </w:p>
              </w:tc>
              <w:tc>
                <w:tcPr>
                  <w:tcW w:w="592" w:type="pct"/>
                  <w:vAlign w:val="center"/>
                </w:tcPr>
                <w:p>
                  <w:pPr>
                    <w:ind w:left="-105" w:leftChars="-50" w:right="-105" w:rightChars="-50"/>
                    <w:jc w:val="center"/>
                    <w:rPr>
                      <w:snapToGrid w:val="0"/>
                      <w:kern w:val="0"/>
                      <w:szCs w:val="21"/>
                    </w:rPr>
                  </w:pPr>
                  <w:r>
                    <w:rPr>
                      <w:rFonts w:eastAsia="等线"/>
                      <w:szCs w:val="21"/>
                    </w:rPr>
                    <w:t>0</w:t>
                  </w:r>
                </w:p>
              </w:tc>
              <w:tc>
                <w:tcPr>
                  <w:tcW w:w="610" w:type="pct"/>
                  <w:vAlign w:val="center"/>
                </w:tcPr>
                <w:p>
                  <w:pPr>
                    <w:ind w:left="-105" w:leftChars="-50" w:right="-105" w:rightChars="-50"/>
                    <w:jc w:val="center"/>
                    <w:rPr>
                      <w:snapToGrid w:val="0"/>
                      <w:kern w:val="0"/>
                      <w:szCs w:val="21"/>
                    </w:rPr>
                  </w:pPr>
                  <w:r>
                    <w:rPr>
                      <w:rFonts w:eastAsia="等线"/>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4" w:type="pct"/>
                  <w:gridSpan w:val="3"/>
                  <w:vAlign w:val="center"/>
                </w:tcPr>
                <w:p>
                  <w:pPr>
                    <w:adjustRightInd w:val="0"/>
                    <w:snapToGrid w:val="0"/>
                    <w:ind w:left="-105" w:leftChars="-50" w:right="-105" w:rightChars="-50"/>
                    <w:jc w:val="center"/>
                    <w:rPr>
                      <w:bCs/>
                      <w:snapToGrid w:val="0"/>
                      <w:kern w:val="0"/>
                      <w:szCs w:val="21"/>
                    </w:rPr>
                  </w:pPr>
                  <w:r>
                    <w:rPr>
                      <w:bCs/>
                      <w:snapToGrid w:val="0"/>
                      <w:kern w:val="0"/>
                      <w:szCs w:val="21"/>
                    </w:rPr>
                    <w:t>合计</w:t>
                  </w:r>
                </w:p>
              </w:tc>
              <w:tc>
                <w:tcPr>
                  <w:tcW w:w="592" w:type="pct"/>
                  <w:vAlign w:val="center"/>
                </w:tcPr>
                <w:p>
                  <w:pPr>
                    <w:ind w:left="-105" w:leftChars="-50" w:right="-105" w:rightChars="-50"/>
                    <w:jc w:val="center"/>
                    <w:rPr>
                      <w:snapToGrid w:val="0"/>
                      <w:kern w:val="0"/>
                      <w:szCs w:val="21"/>
                    </w:rPr>
                  </w:pPr>
                  <w:r>
                    <w:rPr>
                      <w:rFonts w:eastAsia="等线"/>
                      <w:szCs w:val="21"/>
                    </w:rPr>
                    <w:t>18.94</w:t>
                  </w:r>
                </w:p>
              </w:tc>
              <w:tc>
                <w:tcPr>
                  <w:tcW w:w="592" w:type="pct"/>
                  <w:vAlign w:val="center"/>
                </w:tcPr>
                <w:p>
                  <w:pPr>
                    <w:ind w:left="-105" w:leftChars="-50" w:right="-105" w:rightChars="-50"/>
                    <w:jc w:val="center"/>
                    <w:rPr>
                      <w:snapToGrid w:val="0"/>
                      <w:kern w:val="0"/>
                      <w:szCs w:val="21"/>
                    </w:rPr>
                  </w:pPr>
                  <w:r>
                    <w:rPr>
                      <w:rFonts w:eastAsia="等线"/>
                      <w:szCs w:val="21"/>
                    </w:rPr>
                    <w:t>6919.13</w:t>
                  </w:r>
                </w:p>
              </w:tc>
              <w:tc>
                <w:tcPr>
                  <w:tcW w:w="592" w:type="pct"/>
                  <w:vAlign w:val="center"/>
                </w:tcPr>
                <w:p>
                  <w:pPr>
                    <w:ind w:left="-105" w:leftChars="-50" w:right="-105" w:rightChars="-50"/>
                    <w:jc w:val="center"/>
                    <w:rPr>
                      <w:snapToGrid w:val="0"/>
                      <w:kern w:val="0"/>
                      <w:szCs w:val="21"/>
                    </w:rPr>
                  </w:pPr>
                  <w:r>
                    <w:rPr>
                      <w:rFonts w:eastAsia="等线"/>
                      <w:szCs w:val="21"/>
                    </w:rPr>
                    <w:t>10.77</w:t>
                  </w:r>
                </w:p>
              </w:tc>
              <w:tc>
                <w:tcPr>
                  <w:tcW w:w="610" w:type="pct"/>
                  <w:vAlign w:val="center"/>
                </w:tcPr>
                <w:p>
                  <w:pPr>
                    <w:ind w:left="-105" w:leftChars="-50" w:right="-105" w:rightChars="-50"/>
                    <w:jc w:val="center"/>
                    <w:rPr>
                      <w:snapToGrid w:val="0"/>
                      <w:kern w:val="0"/>
                      <w:szCs w:val="21"/>
                    </w:rPr>
                  </w:pPr>
                  <w:r>
                    <w:rPr>
                      <w:rFonts w:eastAsia="等线"/>
                      <w:szCs w:val="21"/>
                    </w:rPr>
                    <w:t>3934.9</w:t>
                  </w:r>
                </w:p>
              </w:tc>
            </w:tr>
          </w:tbl>
          <w:p>
            <w:pPr>
              <w:adjustRightInd w:val="0"/>
              <w:snapToGrid w:val="0"/>
              <w:jc w:val="center"/>
              <w:rPr>
                <w:szCs w:val="21"/>
              </w:rPr>
            </w:pPr>
          </w:p>
          <w:p>
            <w:pPr>
              <w:adjustRightInd w:val="0"/>
              <w:snapToGrid w:val="0"/>
              <w:jc w:val="center"/>
              <w:rPr>
                <w:szCs w:val="21"/>
              </w:rPr>
            </w:pPr>
          </w:p>
          <w:p>
            <w:pPr>
              <w:adjustRightInd w:val="0"/>
              <w:snapToGrid w:val="0"/>
              <w:jc w:val="center"/>
              <w:rPr>
                <w:szCs w:val="21"/>
              </w:rPr>
            </w:pPr>
          </w:p>
          <w:p>
            <w:pPr>
              <w:adjustRightInd w:val="0"/>
              <w:snapToGrid w:val="0"/>
              <w:jc w:val="center"/>
              <w:rPr>
                <w:szCs w:val="21"/>
              </w:rPr>
            </w:pPr>
          </w:p>
          <w:p>
            <w:pPr>
              <w:adjustRightInd w:val="0"/>
              <w:snapToGrid w:val="0"/>
              <w:jc w:val="center"/>
              <w:rPr>
                <w:szCs w:val="21"/>
              </w:rPr>
            </w:pPr>
          </w:p>
          <w:p>
            <w:pPr>
              <w:adjustRightInd w:val="0"/>
              <w:snapToGrid w:val="0"/>
              <w:jc w:val="center"/>
              <w:rPr>
                <w:szCs w:val="21"/>
              </w:rPr>
            </w:pPr>
            <w:r>
              <w:rPr>
                <w:szCs w:val="21"/>
              </w:rPr>
              <w:object>
                <v:shape id="_x0000_i1025" o:spt="75" type="#_x0000_t75" style="height:377.45pt;width:400.95pt;" o:ole="t" filled="f" o:preferrelative="t" stroked="f" coordsize="21600,21600">
                  <v:path/>
                  <v:fill on="f" focussize="0,0"/>
                  <v:stroke on="f" joinstyle="miter"/>
                  <v:imagedata r:id="rId9" o:title=""/>
                  <o:lock v:ext="edit" aspectratio="t"/>
                  <w10:wrap type="none"/>
                  <w10:anchorlock/>
                </v:shape>
                <o:OLEObject Type="Embed" ProgID="Visio.Drawing.15" ShapeID="_x0000_i1025" DrawAspect="Content" ObjectID="_1468075725" r:id="rId8">
                  <o:LockedField>false</o:LockedField>
                </o:OLEObject>
              </w:object>
            </w:r>
          </w:p>
          <w:p>
            <w:pPr>
              <w:adjustRightInd w:val="0"/>
              <w:snapToGrid w:val="0"/>
              <w:jc w:val="center"/>
              <w:rPr>
                <w:b/>
                <w:sz w:val="24"/>
              </w:rPr>
            </w:pPr>
            <w:r>
              <w:rPr>
                <w:b/>
                <w:sz w:val="24"/>
              </w:rPr>
              <w:t>图2-1  本项目水平衡图（单位：m</w:t>
            </w:r>
            <w:r>
              <w:rPr>
                <w:b/>
                <w:sz w:val="24"/>
                <w:vertAlign w:val="superscript"/>
              </w:rPr>
              <w:t>3</w:t>
            </w:r>
            <w:r>
              <w:rPr>
                <w:b/>
                <w:sz w:val="24"/>
              </w:rPr>
              <w:t>/d）</w:t>
            </w:r>
          </w:p>
          <w:p>
            <w:pPr>
              <w:adjustRightInd w:val="0"/>
              <w:snapToGrid w:val="0"/>
              <w:spacing w:line="360" w:lineRule="auto"/>
              <w:ind w:firstLine="482" w:firstLineChars="200"/>
              <w:jc w:val="left"/>
              <w:rPr>
                <w:b/>
                <w:sz w:val="24"/>
              </w:rPr>
            </w:pPr>
            <w:r>
              <w:rPr>
                <w:rFonts w:hint="eastAsia"/>
                <w:b/>
                <w:bCs/>
                <w:sz w:val="24"/>
              </w:rPr>
              <w:t>6</w:t>
            </w:r>
            <w:r>
              <w:rPr>
                <w:b/>
                <w:bCs/>
                <w:sz w:val="24"/>
              </w:rPr>
              <w:t>、</w:t>
            </w:r>
            <w:r>
              <w:rPr>
                <w:b/>
                <w:sz w:val="24"/>
              </w:rPr>
              <w:t>劳动定员及工作制度</w:t>
            </w:r>
          </w:p>
          <w:p>
            <w:pPr>
              <w:kinsoku w:val="0"/>
              <w:overflowPunct w:val="0"/>
              <w:autoSpaceDE w:val="0"/>
              <w:autoSpaceDN w:val="0"/>
              <w:adjustRightInd w:val="0"/>
              <w:snapToGrid w:val="0"/>
              <w:spacing w:line="360" w:lineRule="auto"/>
              <w:ind w:firstLine="480" w:firstLineChars="200"/>
              <w:rPr>
                <w:sz w:val="24"/>
              </w:rPr>
            </w:pPr>
            <w:r>
              <w:rPr>
                <w:sz w:val="24"/>
              </w:rPr>
              <w:t>劳动定员：本项目劳动定员50人。</w:t>
            </w:r>
          </w:p>
          <w:p>
            <w:pPr>
              <w:kinsoku w:val="0"/>
              <w:overflowPunct w:val="0"/>
              <w:autoSpaceDE w:val="0"/>
              <w:autoSpaceDN w:val="0"/>
              <w:adjustRightInd w:val="0"/>
              <w:snapToGrid w:val="0"/>
              <w:spacing w:line="360" w:lineRule="auto"/>
              <w:ind w:firstLine="480" w:firstLineChars="200"/>
              <w:rPr>
                <w:sz w:val="24"/>
              </w:rPr>
            </w:pPr>
            <w:r>
              <w:rPr>
                <w:sz w:val="24"/>
              </w:rPr>
              <w:t>工作制度：本项目24小时值班，全年工作365天</w:t>
            </w:r>
            <w:r>
              <w:rPr>
                <w:rFonts w:hint="eastAsia"/>
                <w:sz w:val="24"/>
              </w:rPr>
              <w:t>，火化炉年</w:t>
            </w:r>
            <w:r>
              <w:rPr>
                <w:sz w:val="24"/>
              </w:rPr>
              <w:t>运行</w:t>
            </w:r>
            <w:r>
              <w:rPr>
                <w:rFonts w:hint="eastAsia"/>
                <w:sz w:val="24"/>
              </w:rPr>
              <w:t>10000h，</w:t>
            </w:r>
            <w:r>
              <w:rPr>
                <w:sz w:val="24"/>
              </w:rPr>
              <w:t>遗物焚烧炉</w:t>
            </w:r>
            <w:r>
              <w:rPr>
                <w:rFonts w:hint="eastAsia"/>
                <w:sz w:val="24"/>
              </w:rPr>
              <w:t>年</w:t>
            </w:r>
            <w:r>
              <w:rPr>
                <w:sz w:val="24"/>
              </w:rPr>
              <w:t>运行</w:t>
            </w:r>
            <w:r>
              <w:rPr>
                <w:rFonts w:hint="eastAsia"/>
                <w:sz w:val="24"/>
              </w:rPr>
              <w:t>1460h，</w:t>
            </w:r>
            <w:r>
              <w:rPr>
                <w:sz w:val="24"/>
              </w:rPr>
              <w:t>十二生肖祭祀炉年运行</w:t>
            </w:r>
            <w:r>
              <w:rPr>
                <w:rFonts w:hint="eastAsia"/>
                <w:sz w:val="24"/>
              </w:rPr>
              <w:t>2</w:t>
            </w:r>
            <w:r>
              <w:rPr>
                <w:sz w:val="24"/>
              </w:rPr>
              <w:t>920h。</w:t>
            </w:r>
          </w:p>
          <w:p>
            <w:pPr>
              <w:adjustRightInd w:val="0"/>
              <w:snapToGrid w:val="0"/>
              <w:spacing w:line="360" w:lineRule="auto"/>
              <w:ind w:firstLine="482" w:firstLineChars="200"/>
              <w:jc w:val="left"/>
              <w:rPr>
                <w:b/>
                <w:sz w:val="24"/>
              </w:rPr>
            </w:pPr>
            <w:r>
              <w:rPr>
                <w:rFonts w:hint="eastAsia"/>
                <w:b/>
                <w:sz w:val="24"/>
              </w:rPr>
              <w:t>7</w:t>
            </w:r>
            <w:r>
              <w:rPr>
                <w:b/>
                <w:sz w:val="24"/>
              </w:rPr>
              <w:t>、总平面布置</w:t>
            </w:r>
          </w:p>
          <w:p>
            <w:pPr>
              <w:kinsoku w:val="0"/>
              <w:overflowPunct w:val="0"/>
              <w:autoSpaceDE w:val="0"/>
              <w:autoSpaceDN w:val="0"/>
              <w:adjustRightInd w:val="0"/>
              <w:snapToGrid w:val="0"/>
              <w:spacing w:line="360" w:lineRule="auto"/>
              <w:ind w:firstLine="480" w:firstLineChars="200"/>
              <w:rPr>
                <w:sz w:val="24"/>
              </w:rPr>
            </w:pPr>
            <w:r>
              <w:rPr>
                <w:sz w:val="24"/>
              </w:rPr>
              <w:t>根据项目功能区分</w:t>
            </w:r>
            <w:r>
              <w:rPr>
                <w:bCs/>
                <w:sz w:val="24"/>
              </w:rPr>
              <w:t>为悼念区、遗体处理区、骨灰存放区、综合服务区、广场、发展预留区、神道及停车区</w:t>
            </w:r>
            <w:r>
              <w:rPr>
                <w:sz w:val="24"/>
              </w:rPr>
              <w:t>，按照其功能用途相关性进行分类布置，火化楼、悼念厅、骨灰楼、综合楼均位于厂区北侧，南侧为悼念广场和停车区，作为发展预留区。</w:t>
            </w:r>
          </w:p>
          <w:p>
            <w:pPr>
              <w:kinsoku w:val="0"/>
              <w:overflowPunct w:val="0"/>
              <w:autoSpaceDE w:val="0"/>
              <w:autoSpaceDN w:val="0"/>
              <w:adjustRightInd w:val="0"/>
              <w:snapToGrid w:val="0"/>
              <w:spacing w:line="360" w:lineRule="auto"/>
              <w:ind w:firstLine="480" w:firstLineChars="200"/>
              <w:rPr>
                <w:sz w:val="24"/>
              </w:rPr>
            </w:pPr>
            <w:r>
              <w:rPr>
                <w:kern w:val="0"/>
                <w:sz w:val="24"/>
              </w:rPr>
              <w:t>总体布局要求功能分区明确，场地规划合理。单位设计及平面布局依据建筑功能合理分布功能房间，做到技术先进、高效、经济合理，立面设计体现端庄、大气的建筑特征。殡仪馆的平面布局注意考虑殡仪馆办公用房以及其他功能用房的分区，合理组织各功能之间的关系。建筑内、外环境设施上努力为来访人员创造优美舒适的环境。因此，本项目厂区在布局上充分考虑了环境和工艺的需求，各功能区分布明确，组织协作良好，同时满足消防、运输要求。平面布置合理可行。</w:t>
            </w:r>
            <w:r>
              <w:rPr>
                <w:sz w:val="24"/>
              </w:rPr>
              <w:t>项目总平面布置图及各建筑平面布置图见附图4~14。</w:t>
            </w:r>
          </w:p>
          <w:p>
            <w:pPr>
              <w:adjustRightInd w:val="0"/>
              <w:snapToGrid w:val="0"/>
              <w:jc w:val="center"/>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pStyle w:val="14"/>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工艺流程和产排污环节</w:t>
            </w:r>
          </w:p>
        </w:tc>
        <w:tc>
          <w:tcPr>
            <w:tcW w:w="8125" w:type="dxa"/>
          </w:tcPr>
          <w:p>
            <w:pPr>
              <w:adjustRightInd w:val="0"/>
              <w:snapToGrid w:val="0"/>
              <w:spacing w:line="360" w:lineRule="auto"/>
              <w:ind w:firstLine="482" w:firstLineChars="200"/>
              <w:rPr>
                <w:b/>
                <w:bCs/>
                <w:sz w:val="24"/>
              </w:rPr>
            </w:pPr>
            <w:r>
              <w:rPr>
                <w:b/>
                <w:bCs/>
                <w:sz w:val="24"/>
              </w:rPr>
              <w:t>1、施工期工艺流程及产污环节</w:t>
            </w:r>
          </w:p>
          <w:p>
            <w:pPr>
              <w:adjustRightInd w:val="0"/>
              <w:snapToGrid w:val="0"/>
              <w:spacing w:line="360" w:lineRule="auto"/>
              <w:ind w:firstLine="480" w:firstLineChars="200"/>
              <w:rPr>
                <w:bCs/>
                <w:sz w:val="24"/>
              </w:rPr>
            </w:pPr>
            <w:r>
              <w:rPr>
                <w:bCs/>
                <w:sz w:val="24"/>
              </w:rPr>
              <w:t>（1）施工期工艺流程</w:t>
            </w:r>
          </w:p>
          <w:p>
            <w:pPr>
              <w:adjustRightInd w:val="0"/>
              <w:snapToGrid w:val="0"/>
              <w:spacing w:line="360" w:lineRule="auto"/>
              <w:ind w:firstLine="480" w:firstLineChars="200"/>
              <w:rPr>
                <w:bCs/>
                <w:sz w:val="24"/>
              </w:rPr>
            </w:pPr>
            <w:r>
              <w:rPr>
                <w:bCs/>
                <w:sz w:val="24"/>
              </w:rPr>
              <w:t>本项目施工期主要污染时段为基础工程施工及主体工程施工阶段，其施工工艺流程及产污环节如图2-2。</w:t>
            </w:r>
          </w:p>
          <w:p>
            <w:pPr>
              <w:adjustRightInd w:val="0"/>
              <w:snapToGrid w:val="0"/>
              <w:jc w:val="center"/>
              <w:rPr>
                <w:sz w:val="24"/>
              </w:rPr>
            </w:pPr>
            <w:r>
              <w:rPr>
                <w:sz w:val="24"/>
              </w:rPr>
              <w:drawing>
                <wp:inline distT="0" distB="0" distL="0" distR="0">
                  <wp:extent cx="4953635" cy="1804670"/>
                  <wp:effectExtent l="0" t="0" r="0"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53635" cy="1804670"/>
                          </a:xfrm>
                          <a:prstGeom prst="rect">
                            <a:avLst/>
                          </a:prstGeom>
                          <a:noFill/>
                          <a:ln>
                            <a:noFill/>
                          </a:ln>
                        </pic:spPr>
                      </pic:pic>
                    </a:graphicData>
                  </a:graphic>
                </wp:inline>
              </w:drawing>
            </w:r>
          </w:p>
          <w:p>
            <w:pPr>
              <w:adjustRightInd w:val="0"/>
              <w:snapToGrid w:val="0"/>
              <w:jc w:val="center"/>
              <w:rPr>
                <w:b/>
                <w:sz w:val="24"/>
              </w:rPr>
            </w:pPr>
            <w:r>
              <w:rPr>
                <w:b/>
                <w:sz w:val="24"/>
              </w:rPr>
              <w:t>图2-2  施工期工艺流程及产污环节图</w:t>
            </w:r>
          </w:p>
          <w:p>
            <w:pPr>
              <w:adjustRightInd w:val="0"/>
              <w:snapToGrid w:val="0"/>
              <w:spacing w:line="360" w:lineRule="auto"/>
              <w:ind w:firstLine="480" w:firstLineChars="200"/>
              <w:rPr>
                <w:bCs/>
                <w:sz w:val="24"/>
              </w:rPr>
            </w:pPr>
            <w:r>
              <w:rPr>
                <w:bCs/>
                <w:sz w:val="24"/>
              </w:rPr>
              <w:t>（2）施工期产排污环节</w:t>
            </w:r>
          </w:p>
          <w:p>
            <w:pPr>
              <w:adjustRightInd w:val="0"/>
              <w:snapToGrid w:val="0"/>
              <w:spacing w:line="360" w:lineRule="auto"/>
              <w:ind w:firstLine="480" w:firstLineChars="200"/>
              <w:rPr>
                <w:sz w:val="24"/>
              </w:rPr>
            </w:pPr>
            <w:r>
              <w:rPr>
                <w:rFonts w:hint="eastAsia" w:ascii="宋体" w:hAnsi="宋体" w:cs="宋体"/>
                <w:sz w:val="24"/>
              </w:rPr>
              <w:t>①</w:t>
            </w:r>
            <w:r>
              <w:rPr>
                <w:sz w:val="24"/>
              </w:rPr>
              <w:t>废水：主要为主体工程及附属设施等建设产生的施工废水及施工人员废水。</w:t>
            </w:r>
          </w:p>
          <w:p>
            <w:pPr>
              <w:adjustRightInd w:val="0"/>
              <w:snapToGrid w:val="0"/>
              <w:spacing w:line="360" w:lineRule="auto"/>
              <w:ind w:firstLine="480" w:firstLineChars="200"/>
              <w:rPr>
                <w:sz w:val="24"/>
              </w:rPr>
            </w:pPr>
            <w:r>
              <w:rPr>
                <w:rFonts w:hint="eastAsia" w:ascii="宋体" w:hAnsi="宋体" w:cs="宋体"/>
                <w:sz w:val="24"/>
              </w:rPr>
              <w:t>②</w:t>
            </w:r>
            <w:r>
              <w:rPr>
                <w:sz w:val="24"/>
              </w:rPr>
              <w:t>废气：主要为主体工程、附属设备等建设产生施工扬尘、施工机械及车辆产生的废气及装修废气等。</w:t>
            </w:r>
          </w:p>
          <w:p>
            <w:pPr>
              <w:adjustRightInd w:val="0"/>
              <w:snapToGrid w:val="0"/>
              <w:spacing w:line="360" w:lineRule="auto"/>
              <w:ind w:firstLine="480" w:firstLineChars="200"/>
              <w:rPr>
                <w:sz w:val="24"/>
              </w:rPr>
            </w:pPr>
            <w:r>
              <w:rPr>
                <w:rFonts w:hint="eastAsia" w:ascii="宋体" w:hAnsi="宋体" w:cs="宋体"/>
                <w:sz w:val="24"/>
              </w:rPr>
              <w:t>③</w:t>
            </w:r>
            <w:r>
              <w:rPr>
                <w:sz w:val="24"/>
              </w:rPr>
              <w:t>噪声：主要为施工过程中机械设备噪声、施工作业噪声和施工车辆噪声。</w:t>
            </w:r>
          </w:p>
          <w:p>
            <w:pPr>
              <w:adjustRightInd w:val="0"/>
              <w:snapToGrid w:val="0"/>
              <w:spacing w:line="360" w:lineRule="auto"/>
              <w:ind w:firstLine="480" w:firstLineChars="200"/>
              <w:rPr>
                <w:sz w:val="24"/>
              </w:rPr>
            </w:pPr>
            <w:r>
              <w:rPr>
                <w:rFonts w:hint="eastAsia" w:ascii="宋体" w:hAnsi="宋体" w:cs="宋体"/>
                <w:sz w:val="24"/>
              </w:rPr>
              <w:t>④</w:t>
            </w:r>
            <w:r>
              <w:rPr>
                <w:sz w:val="24"/>
              </w:rPr>
              <w:t>固体废物：主要是施工过程中产生的建筑垃圾及施工人员的生活垃圾等。</w:t>
            </w:r>
          </w:p>
          <w:p>
            <w:pPr>
              <w:adjustRightInd w:val="0"/>
              <w:snapToGrid w:val="0"/>
              <w:spacing w:line="360" w:lineRule="auto"/>
              <w:ind w:firstLine="482" w:firstLineChars="200"/>
              <w:rPr>
                <w:b/>
                <w:bCs/>
                <w:sz w:val="24"/>
              </w:rPr>
            </w:pPr>
            <w:r>
              <w:rPr>
                <w:b/>
                <w:bCs/>
                <w:sz w:val="24"/>
              </w:rPr>
              <w:t>2、运营期工艺流程及产污环节</w:t>
            </w:r>
          </w:p>
          <w:p>
            <w:pPr>
              <w:adjustRightInd w:val="0"/>
              <w:snapToGrid w:val="0"/>
              <w:spacing w:line="360" w:lineRule="auto"/>
              <w:ind w:firstLine="480" w:firstLineChars="200"/>
              <w:rPr>
                <w:sz w:val="24"/>
              </w:rPr>
            </w:pPr>
            <w:r>
              <w:rPr>
                <w:sz w:val="24"/>
              </w:rPr>
              <w:t>（1）运营期工艺流程</w:t>
            </w:r>
          </w:p>
          <w:p>
            <w:pPr>
              <w:adjustRightInd w:val="0"/>
              <w:snapToGrid w:val="0"/>
              <w:spacing w:line="360" w:lineRule="auto"/>
              <w:jc w:val="center"/>
              <w:rPr>
                <w:sz w:val="24"/>
              </w:rPr>
            </w:pPr>
            <w:r>
              <w:object>
                <v:shape id="_x0000_i1026" o:spt="75" type="#_x0000_t75" style="height:475.2pt;width:369.85pt;" o:ole="t" filled="f" o:preferrelative="t" stroked="f" coordsize="21600,21600">
                  <v:path/>
                  <v:fill on="f" focussize="0,0"/>
                  <v:stroke on="f" joinstyle="miter"/>
                  <v:imagedata r:id="rId12" o:title=""/>
                  <o:lock v:ext="edit" aspectratio="t"/>
                  <w10:wrap type="none"/>
                  <w10:anchorlock/>
                </v:shape>
                <o:OLEObject Type="Embed" ProgID="Visio.Drawing.15" ShapeID="_x0000_i1026" DrawAspect="Content" ObjectID="_1468075726" r:id="rId11">
                  <o:LockedField>false</o:LockedField>
                </o:OLEObject>
              </w:object>
            </w:r>
          </w:p>
          <w:p>
            <w:pPr>
              <w:adjustRightInd w:val="0"/>
              <w:snapToGrid w:val="0"/>
              <w:jc w:val="center"/>
              <w:rPr>
                <w:b/>
                <w:sz w:val="24"/>
              </w:rPr>
            </w:pPr>
            <w:r>
              <w:rPr>
                <w:b/>
                <w:sz w:val="24"/>
              </w:rPr>
              <w:t>图2-3丧葬服务工艺流程及产污环节示意图</w:t>
            </w:r>
          </w:p>
          <w:p>
            <w:pPr>
              <w:widowControl/>
              <w:tabs>
                <w:tab w:val="left" w:pos="604"/>
              </w:tabs>
              <w:spacing w:line="360" w:lineRule="auto"/>
              <w:ind w:firstLine="480" w:firstLineChars="200"/>
              <w:rPr>
                <w:sz w:val="24"/>
              </w:rPr>
            </w:pPr>
            <w:r>
              <w:rPr>
                <w:sz w:val="24"/>
              </w:rPr>
              <w:t>工艺流程简述：</w:t>
            </w:r>
          </w:p>
          <w:p>
            <w:pPr>
              <w:pStyle w:val="65"/>
              <w:spacing w:before="24" w:after="24" w:line="360" w:lineRule="auto"/>
              <w:ind w:firstLine="480" w:firstLineChars="200"/>
              <w:rPr>
                <w:rFonts w:ascii="Times New Roman" w:hAnsi="Times New Roman" w:cs="Times New Roman"/>
                <w:sz w:val="24"/>
              </w:rPr>
            </w:pPr>
            <w:r>
              <w:rPr>
                <w:rFonts w:ascii="Times New Roman" w:hAnsi="Times New Roman" w:cs="Times New Roman"/>
                <w:sz w:val="24"/>
              </w:rPr>
              <w:t>本项目为殡葬服务项目，提供遗体火化、追悼、骨灰寄存等服务。</w:t>
            </w:r>
          </w:p>
          <w:p>
            <w:pPr>
              <w:pStyle w:val="65"/>
              <w:spacing w:before="24" w:after="24" w:line="360" w:lineRule="auto"/>
              <w:ind w:left="480"/>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1 \* GB3 </w:instrText>
            </w:r>
            <w:r>
              <w:rPr>
                <w:rFonts w:ascii="Times New Roman" w:hAnsi="Times New Roman" w:cs="Times New Roman"/>
                <w:sz w:val="24"/>
              </w:rPr>
              <w:fldChar w:fldCharType="separate"/>
            </w:r>
            <w:r>
              <w:rPr>
                <w:rFonts w:hint="eastAsia"/>
                <w:sz w:val="24"/>
              </w:rPr>
              <w:t>①</w:t>
            </w:r>
            <w:r>
              <w:rPr>
                <w:rFonts w:ascii="Times New Roman" w:hAnsi="Times New Roman" w:cs="Times New Roman"/>
                <w:sz w:val="24"/>
              </w:rPr>
              <w:fldChar w:fldCharType="end"/>
            </w:r>
            <w:r>
              <w:rPr>
                <w:rFonts w:ascii="Times New Roman" w:hAnsi="Times New Roman" w:cs="Times New Roman"/>
                <w:sz w:val="24"/>
              </w:rPr>
              <w:t>遗体运送：由车辆经专用车道进行遗体运送。</w:t>
            </w:r>
          </w:p>
          <w:p>
            <w:pPr>
              <w:pStyle w:val="65"/>
              <w:spacing w:before="24" w:after="24" w:line="360" w:lineRule="auto"/>
              <w:ind w:firstLine="480" w:firstLineChars="200"/>
              <w:rPr>
                <w:rFonts w:ascii="Times New Roman" w:hAnsi="Times New Roman" w:cs="Times New Roman"/>
                <w:sz w:val="24"/>
              </w:rPr>
            </w:pPr>
            <w:r>
              <w:rPr>
                <w:rFonts w:hint="eastAsia"/>
                <w:sz w:val="24"/>
              </w:rPr>
              <w:t>②</w:t>
            </w:r>
            <w:r>
              <w:rPr>
                <w:rFonts w:ascii="Times New Roman" w:hAnsi="Times New Roman" w:cs="Times New Roman"/>
                <w:sz w:val="24"/>
              </w:rPr>
              <w:t>遗体消毒：殡葬车运送遗体到遗体消毒室进行消毒。</w:t>
            </w:r>
          </w:p>
          <w:p>
            <w:pPr>
              <w:pStyle w:val="65"/>
              <w:spacing w:before="24" w:after="24" w:line="360" w:lineRule="auto"/>
              <w:ind w:firstLine="480" w:firstLineChars="200"/>
              <w:rPr>
                <w:rFonts w:ascii="Times New Roman" w:hAnsi="Times New Roman" w:cs="Times New Roman"/>
                <w:sz w:val="24"/>
              </w:rPr>
            </w:pPr>
            <w:r>
              <w:rPr>
                <w:rFonts w:hint="eastAsia"/>
                <w:sz w:val="24"/>
              </w:rPr>
              <w:t>③</w:t>
            </w:r>
            <w:r>
              <w:rPr>
                <w:rFonts w:ascii="Times New Roman" w:hAnsi="Times New Roman" w:cs="Times New Roman"/>
                <w:sz w:val="24"/>
              </w:rPr>
              <w:t>遗体冷藏：对于无法立即进行火化的遗体，需进行冷藏停放，停放温度为-5</w:t>
            </w:r>
            <w:r>
              <w:rPr>
                <w:rFonts w:hint="eastAsia"/>
                <w:sz w:val="24"/>
              </w:rPr>
              <w:t>℃</w:t>
            </w:r>
            <w:r>
              <w:rPr>
                <w:rFonts w:ascii="Times New Roman" w:hAnsi="Times New Roman" w:cs="Times New Roman"/>
                <w:sz w:val="24"/>
              </w:rPr>
              <w:t>，停放时间最长不超过3天。</w:t>
            </w:r>
          </w:p>
          <w:p>
            <w:pPr>
              <w:pStyle w:val="65"/>
              <w:spacing w:before="24" w:after="24" w:line="360" w:lineRule="auto"/>
              <w:ind w:firstLine="480" w:firstLineChars="200"/>
              <w:rPr>
                <w:rFonts w:ascii="Times New Roman" w:hAnsi="Times New Roman" w:cs="Times New Roman"/>
                <w:sz w:val="24"/>
              </w:rPr>
            </w:pPr>
            <w:r>
              <w:rPr>
                <w:rFonts w:hint="eastAsia"/>
                <w:sz w:val="24"/>
              </w:rPr>
              <w:t>④</w:t>
            </w:r>
            <w:r>
              <w:rPr>
                <w:rFonts w:ascii="Times New Roman" w:hAnsi="Times New Roman" w:cs="Times New Roman"/>
                <w:sz w:val="24"/>
              </w:rPr>
              <w:t>司法解剖：涉及刑事的遗体，会运送到刑侦部门设置的解剖室进行简单的司法解剖，根据业主提供的数据，该部分极少，主要产生的污染物为解剖过程的废水。</w:t>
            </w:r>
          </w:p>
          <w:p>
            <w:pPr>
              <w:pStyle w:val="64"/>
              <w:ind w:firstLine="480"/>
            </w:pPr>
            <w:r>
              <w:rPr>
                <w:rFonts w:hint="eastAsia" w:ascii="宋体" w:hAnsi="宋体" w:cs="宋体"/>
              </w:rPr>
              <w:t>⑤</w:t>
            </w:r>
            <w:r>
              <w:t>遗体处置：需要进行遗体处理的，可进行遗体处理，正常情况下遗体处置为化妆和更衣。</w:t>
            </w:r>
          </w:p>
          <w:p>
            <w:pPr>
              <w:pStyle w:val="64"/>
              <w:ind w:firstLine="480"/>
            </w:pPr>
            <w:r>
              <w:rPr>
                <w:rFonts w:hint="eastAsia" w:ascii="宋体" w:hAnsi="宋体" w:cs="宋体"/>
              </w:rPr>
              <w:t>⑥</w:t>
            </w:r>
            <w:r>
              <w:t>遗体告别：遗体进行火化前在告别室进行告别等仪式，该过程主要产生生活废水、噪声、生活垃圾等。</w:t>
            </w:r>
          </w:p>
          <w:p>
            <w:pPr>
              <w:pStyle w:val="65"/>
              <w:spacing w:before="24" w:after="24" w:line="360" w:lineRule="auto"/>
              <w:ind w:firstLine="480" w:firstLineChars="200"/>
              <w:rPr>
                <w:rFonts w:ascii="Times New Roman" w:hAnsi="Times New Roman" w:cs="Times New Roman"/>
                <w:sz w:val="24"/>
              </w:rPr>
            </w:pPr>
            <w:r>
              <w:rPr>
                <w:rFonts w:hint="eastAsia"/>
                <w:sz w:val="24"/>
              </w:rPr>
              <w:t>⑥</w:t>
            </w:r>
            <w:r>
              <w:rPr>
                <w:rFonts w:ascii="Times New Roman" w:hAnsi="Times New Roman" w:cs="Times New Roman"/>
                <w:sz w:val="24"/>
              </w:rPr>
              <w:t>火化：遗体由推尸车运送到火化炉进行火化，根据业主提供资料，本殡仪馆采用10台火化炉及配套尾气处理设备、1台遗物焚烧炉及配套尾气处理设备、1台十二生肖祭祀炉及配套尾气处理设备。</w:t>
            </w:r>
          </w:p>
          <w:p>
            <w:pPr>
              <w:pStyle w:val="65"/>
              <w:spacing w:before="24" w:after="24" w:line="360" w:lineRule="auto"/>
              <w:ind w:firstLine="480" w:firstLineChars="200"/>
              <w:rPr>
                <w:rFonts w:ascii="Times New Roman" w:hAnsi="Times New Roman" w:cs="Times New Roman"/>
                <w:sz w:val="24"/>
              </w:rPr>
            </w:pPr>
            <w:r>
              <w:rPr>
                <w:rFonts w:hint="eastAsia"/>
                <w:sz w:val="24"/>
              </w:rPr>
              <w:t>⑦</w:t>
            </w:r>
            <w:r>
              <w:rPr>
                <w:rFonts w:ascii="Times New Roman" w:hAnsi="Times New Roman" w:cs="Times New Roman"/>
                <w:sz w:val="24"/>
              </w:rPr>
              <w:t>收集骨灰：遗体燃烧完成后，剩余的骨灰主要是含有钙、镁、磷等氧化物的灰渣，对灰渣进行收集，收集后放入骨灰盒，由死者亲属领走自行安葬或寄存于殡仪馆。</w:t>
            </w:r>
          </w:p>
          <w:p>
            <w:pPr>
              <w:adjustRightInd w:val="0"/>
              <w:snapToGrid w:val="0"/>
              <w:spacing w:line="360" w:lineRule="auto"/>
              <w:ind w:firstLine="480" w:firstLineChars="200"/>
              <w:rPr>
                <w:sz w:val="24"/>
              </w:rPr>
            </w:pPr>
            <w:r>
              <w:rPr>
                <w:sz w:val="24"/>
              </w:rPr>
              <w:t>（2）运营期产排污环节</w:t>
            </w:r>
          </w:p>
          <w:p>
            <w:pPr>
              <w:adjustRightInd w:val="0"/>
              <w:snapToGrid w:val="0"/>
              <w:spacing w:line="360" w:lineRule="auto"/>
              <w:ind w:firstLine="480" w:firstLineChars="200"/>
              <w:rPr>
                <w:bCs/>
                <w:sz w:val="24"/>
              </w:rPr>
            </w:pPr>
            <w:r>
              <w:rPr>
                <w:bCs/>
                <w:sz w:val="24"/>
              </w:rPr>
              <w:t>本项目运营期产污环节见表2-5。</w:t>
            </w:r>
          </w:p>
          <w:p>
            <w:pPr>
              <w:adjustRightInd w:val="0"/>
              <w:snapToGrid w:val="0"/>
              <w:jc w:val="center"/>
              <w:rPr>
                <w:b/>
                <w:sz w:val="24"/>
              </w:rPr>
            </w:pPr>
            <w:r>
              <w:rPr>
                <w:b/>
                <w:sz w:val="24"/>
              </w:rPr>
              <w:t>表2-5本项目运营期产污一览表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1247"/>
              <w:gridCol w:w="1523"/>
              <w:gridCol w:w="2237"/>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gridSpan w:val="2"/>
                  <w:vAlign w:val="center"/>
                </w:tcPr>
                <w:p>
                  <w:pPr>
                    <w:adjustRightInd w:val="0"/>
                    <w:snapToGrid w:val="0"/>
                    <w:jc w:val="center"/>
                    <w:rPr>
                      <w:b/>
                      <w:bCs/>
                      <w:szCs w:val="21"/>
                    </w:rPr>
                  </w:pPr>
                  <w:r>
                    <w:rPr>
                      <w:b/>
                      <w:bCs/>
                      <w:szCs w:val="21"/>
                    </w:rPr>
                    <w:t>项目</w:t>
                  </w:r>
                </w:p>
              </w:tc>
              <w:tc>
                <w:tcPr>
                  <w:tcW w:w="931" w:type="pct"/>
                  <w:vAlign w:val="center"/>
                </w:tcPr>
                <w:p>
                  <w:pPr>
                    <w:adjustRightInd w:val="0"/>
                    <w:snapToGrid w:val="0"/>
                    <w:jc w:val="center"/>
                    <w:rPr>
                      <w:b/>
                      <w:bCs/>
                      <w:szCs w:val="21"/>
                    </w:rPr>
                  </w:pPr>
                  <w:r>
                    <w:rPr>
                      <w:b/>
                      <w:bCs/>
                      <w:szCs w:val="21"/>
                    </w:rPr>
                    <w:t>产污工序</w:t>
                  </w:r>
                </w:p>
              </w:tc>
              <w:tc>
                <w:tcPr>
                  <w:tcW w:w="1367" w:type="pct"/>
                  <w:vAlign w:val="center"/>
                </w:tcPr>
                <w:p>
                  <w:pPr>
                    <w:adjustRightInd w:val="0"/>
                    <w:snapToGrid w:val="0"/>
                    <w:jc w:val="center"/>
                    <w:rPr>
                      <w:b/>
                      <w:bCs/>
                      <w:szCs w:val="21"/>
                    </w:rPr>
                  </w:pPr>
                  <w:r>
                    <w:rPr>
                      <w:b/>
                      <w:bCs/>
                      <w:szCs w:val="21"/>
                    </w:rPr>
                    <w:t>污染源</w:t>
                  </w:r>
                </w:p>
              </w:tc>
              <w:tc>
                <w:tcPr>
                  <w:tcW w:w="1669" w:type="pct"/>
                  <w:vAlign w:val="center"/>
                </w:tcPr>
                <w:p>
                  <w:pPr>
                    <w:adjustRightInd w:val="0"/>
                    <w:snapToGrid w:val="0"/>
                    <w:jc w:val="center"/>
                    <w:rPr>
                      <w:b/>
                      <w:bCs/>
                      <w:szCs w:val="21"/>
                    </w:rPr>
                  </w:pPr>
                  <w:r>
                    <w:rPr>
                      <w:b/>
                      <w:bCs/>
                      <w:szCs w:val="21"/>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gridSpan w:val="2"/>
                  <w:vMerge w:val="restart"/>
                  <w:vAlign w:val="center"/>
                </w:tcPr>
                <w:p>
                  <w:pPr>
                    <w:adjustRightInd w:val="0"/>
                    <w:snapToGrid w:val="0"/>
                    <w:jc w:val="center"/>
                    <w:rPr>
                      <w:bCs/>
                      <w:szCs w:val="21"/>
                    </w:rPr>
                  </w:pPr>
                  <w:r>
                    <w:rPr>
                      <w:bCs/>
                      <w:szCs w:val="21"/>
                    </w:rPr>
                    <w:t>废气</w:t>
                  </w:r>
                </w:p>
              </w:tc>
              <w:tc>
                <w:tcPr>
                  <w:tcW w:w="931" w:type="pct"/>
                  <w:vAlign w:val="center"/>
                </w:tcPr>
                <w:p>
                  <w:pPr>
                    <w:adjustRightInd w:val="0"/>
                    <w:snapToGrid w:val="0"/>
                    <w:jc w:val="center"/>
                    <w:rPr>
                      <w:bCs/>
                      <w:szCs w:val="21"/>
                    </w:rPr>
                  </w:pPr>
                  <w:r>
                    <w:rPr>
                      <w:szCs w:val="21"/>
                    </w:rPr>
                    <w:t>火化炉</w:t>
                  </w:r>
                </w:p>
              </w:tc>
              <w:tc>
                <w:tcPr>
                  <w:tcW w:w="1367" w:type="pct"/>
                  <w:vAlign w:val="center"/>
                </w:tcPr>
                <w:p>
                  <w:pPr>
                    <w:adjustRightInd w:val="0"/>
                    <w:snapToGrid w:val="0"/>
                    <w:jc w:val="center"/>
                    <w:rPr>
                      <w:bCs/>
                      <w:szCs w:val="21"/>
                    </w:rPr>
                  </w:pPr>
                  <w:r>
                    <w:rPr>
                      <w:szCs w:val="21"/>
                    </w:rPr>
                    <w:t>燃烧烟尘</w:t>
                  </w:r>
                </w:p>
              </w:tc>
              <w:tc>
                <w:tcPr>
                  <w:tcW w:w="1669" w:type="pct"/>
                  <w:vAlign w:val="center"/>
                </w:tcPr>
                <w:p>
                  <w:pPr>
                    <w:adjustRightInd w:val="0"/>
                    <w:snapToGrid w:val="0"/>
                    <w:jc w:val="center"/>
                    <w:rPr>
                      <w:bCs/>
                      <w:szCs w:val="21"/>
                    </w:rPr>
                  </w:pPr>
                  <w:r>
                    <w:rPr>
                      <w:szCs w:val="21"/>
                    </w:rPr>
                    <w:t>烟尘、SO</w:t>
                  </w:r>
                  <w:r>
                    <w:rPr>
                      <w:szCs w:val="21"/>
                      <w:vertAlign w:val="subscript"/>
                    </w:rPr>
                    <w:t>2</w:t>
                  </w:r>
                  <w:r>
                    <w:rPr>
                      <w:szCs w:val="21"/>
                    </w:rPr>
                    <w:t>、NOx、CO、HCL、Hg和二噁英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gridSpan w:val="2"/>
                  <w:vMerge w:val="continue"/>
                  <w:vAlign w:val="center"/>
                </w:tcPr>
                <w:p>
                  <w:pPr>
                    <w:adjustRightInd w:val="0"/>
                    <w:snapToGrid w:val="0"/>
                    <w:jc w:val="center"/>
                    <w:rPr>
                      <w:bCs/>
                      <w:szCs w:val="21"/>
                    </w:rPr>
                  </w:pPr>
                </w:p>
              </w:tc>
              <w:tc>
                <w:tcPr>
                  <w:tcW w:w="931" w:type="pct"/>
                  <w:vAlign w:val="center"/>
                </w:tcPr>
                <w:p>
                  <w:pPr>
                    <w:adjustRightInd w:val="0"/>
                    <w:snapToGrid w:val="0"/>
                    <w:jc w:val="center"/>
                    <w:rPr>
                      <w:bCs/>
                      <w:szCs w:val="21"/>
                    </w:rPr>
                  </w:pPr>
                  <w:r>
                    <w:rPr>
                      <w:szCs w:val="21"/>
                    </w:rPr>
                    <w:t>遗物焚烧炉</w:t>
                  </w:r>
                </w:p>
              </w:tc>
              <w:tc>
                <w:tcPr>
                  <w:tcW w:w="1367" w:type="pct"/>
                  <w:vAlign w:val="center"/>
                </w:tcPr>
                <w:p>
                  <w:pPr>
                    <w:adjustRightInd w:val="0"/>
                    <w:snapToGrid w:val="0"/>
                    <w:jc w:val="center"/>
                    <w:rPr>
                      <w:bCs/>
                      <w:szCs w:val="21"/>
                    </w:rPr>
                  </w:pPr>
                  <w:r>
                    <w:rPr>
                      <w:szCs w:val="21"/>
                    </w:rPr>
                    <w:t>燃烧烟尘</w:t>
                  </w:r>
                </w:p>
              </w:tc>
              <w:tc>
                <w:tcPr>
                  <w:tcW w:w="1669" w:type="pct"/>
                  <w:vAlign w:val="center"/>
                </w:tcPr>
                <w:p>
                  <w:pPr>
                    <w:adjustRightInd w:val="0"/>
                    <w:snapToGrid w:val="0"/>
                    <w:jc w:val="center"/>
                    <w:rPr>
                      <w:bCs/>
                      <w:szCs w:val="21"/>
                    </w:rPr>
                  </w:pPr>
                  <w:r>
                    <w:rPr>
                      <w:szCs w:val="21"/>
                    </w:rPr>
                    <w:t>烟尘、SO</w:t>
                  </w:r>
                  <w:r>
                    <w:rPr>
                      <w:szCs w:val="21"/>
                      <w:vertAlign w:val="subscript"/>
                    </w:rPr>
                    <w:t>2</w:t>
                  </w:r>
                  <w:r>
                    <w:rPr>
                      <w:szCs w:val="21"/>
                    </w:rPr>
                    <w:t>、NOx、CO、HCL和二噁英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gridSpan w:val="2"/>
                  <w:vMerge w:val="continue"/>
                  <w:vAlign w:val="center"/>
                </w:tcPr>
                <w:p>
                  <w:pPr>
                    <w:adjustRightInd w:val="0"/>
                    <w:snapToGrid w:val="0"/>
                    <w:jc w:val="center"/>
                    <w:rPr>
                      <w:bCs/>
                      <w:szCs w:val="21"/>
                    </w:rPr>
                  </w:pPr>
                </w:p>
              </w:tc>
              <w:tc>
                <w:tcPr>
                  <w:tcW w:w="931" w:type="pct"/>
                  <w:vAlign w:val="center"/>
                </w:tcPr>
                <w:p>
                  <w:pPr>
                    <w:adjustRightInd w:val="0"/>
                    <w:snapToGrid w:val="0"/>
                    <w:jc w:val="center"/>
                    <w:rPr>
                      <w:bCs/>
                      <w:szCs w:val="21"/>
                    </w:rPr>
                  </w:pPr>
                  <w:r>
                    <w:rPr>
                      <w:szCs w:val="21"/>
                    </w:rPr>
                    <w:t>祭祀炉</w:t>
                  </w:r>
                </w:p>
              </w:tc>
              <w:tc>
                <w:tcPr>
                  <w:tcW w:w="1367" w:type="pct"/>
                  <w:vAlign w:val="center"/>
                </w:tcPr>
                <w:p>
                  <w:pPr>
                    <w:adjustRightInd w:val="0"/>
                    <w:snapToGrid w:val="0"/>
                    <w:jc w:val="center"/>
                    <w:rPr>
                      <w:bCs/>
                      <w:szCs w:val="21"/>
                    </w:rPr>
                  </w:pPr>
                  <w:r>
                    <w:rPr>
                      <w:szCs w:val="21"/>
                    </w:rPr>
                    <w:t>燃烧烟尘</w:t>
                  </w:r>
                </w:p>
              </w:tc>
              <w:tc>
                <w:tcPr>
                  <w:tcW w:w="1669" w:type="pct"/>
                  <w:vAlign w:val="center"/>
                </w:tcPr>
                <w:p>
                  <w:pPr>
                    <w:adjustRightInd w:val="0"/>
                    <w:snapToGrid w:val="0"/>
                    <w:jc w:val="center"/>
                    <w:rPr>
                      <w:bCs/>
                      <w:szCs w:val="21"/>
                    </w:rPr>
                  </w:pPr>
                  <w:r>
                    <w:rPr>
                      <w:szCs w:val="21"/>
                    </w:rPr>
                    <w:t>烟尘、SO</w:t>
                  </w:r>
                  <w:r>
                    <w:rPr>
                      <w:szCs w:val="21"/>
                      <w:vertAlign w:val="subscript"/>
                    </w:rPr>
                    <w:t>2</w:t>
                  </w:r>
                  <w:r>
                    <w:rPr>
                      <w:szCs w:val="21"/>
                    </w:rPr>
                    <w:t>、NOx、CO、HCL和二噁英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gridSpan w:val="2"/>
                  <w:vMerge w:val="continue"/>
                  <w:vAlign w:val="center"/>
                </w:tcPr>
                <w:p>
                  <w:pPr>
                    <w:adjustRightInd w:val="0"/>
                    <w:snapToGrid w:val="0"/>
                    <w:jc w:val="center"/>
                    <w:rPr>
                      <w:bCs/>
                      <w:szCs w:val="21"/>
                    </w:rPr>
                  </w:pPr>
                </w:p>
              </w:tc>
              <w:tc>
                <w:tcPr>
                  <w:tcW w:w="931" w:type="pct"/>
                  <w:vAlign w:val="center"/>
                </w:tcPr>
                <w:p>
                  <w:pPr>
                    <w:adjustRightInd w:val="0"/>
                    <w:snapToGrid w:val="0"/>
                    <w:jc w:val="center"/>
                    <w:rPr>
                      <w:bCs/>
                      <w:szCs w:val="21"/>
                    </w:rPr>
                  </w:pPr>
                  <w:r>
                    <w:rPr>
                      <w:szCs w:val="21"/>
                    </w:rPr>
                    <w:t>备用柴油发电机</w:t>
                  </w:r>
                </w:p>
              </w:tc>
              <w:tc>
                <w:tcPr>
                  <w:tcW w:w="1367" w:type="pct"/>
                  <w:vAlign w:val="center"/>
                </w:tcPr>
                <w:p>
                  <w:pPr>
                    <w:adjustRightInd w:val="0"/>
                    <w:snapToGrid w:val="0"/>
                    <w:jc w:val="center"/>
                    <w:rPr>
                      <w:bCs/>
                      <w:szCs w:val="21"/>
                    </w:rPr>
                  </w:pPr>
                  <w:r>
                    <w:rPr>
                      <w:szCs w:val="21"/>
                    </w:rPr>
                    <w:t>燃烧烟尘</w:t>
                  </w:r>
                </w:p>
              </w:tc>
              <w:tc>
                <w:tcPr>
                  <w:tcW w:w="1669" w:type="pct"/>
                  <w:vAlign w:val="center"/>
                </w:tcPr>
                <w:p>
                  <w:pPr>
                    <w:adjustRightInd w:val="0"/>
                    <w:snapToGrid w:val="0"/>
                    <w:jc w:val="center"/>
                    <w:rPr>
                      <w:bCs/>
                      <w:szCs w:val="21"/>
                    </w:rPr>
                  </w:pPr>
                  <w:r>
                    <w:rPr>
                      <w:szCs w:val="21"/>
                    </w:rPr>
                    <w:t>CH、CO、NOx、烟尘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gridSpan w:val="2"/>
                  <w:vMerge w:val="continue"/>
                  <w:vAlign w:val="center"/>
                </w:tcPr>
                <w:p>
                  <w:pPr>
                    <w:adjustRightInd w:val="0"/>
                    <w:snapToGrid w:val="0"/>
                    <w:jc w:val="center"/>
                    <w:rPr>
                      <w:bCs/>
                      <w:szCs w:val="21"/>
                    </w:rPr>
                  </w:pPr>
                </w:p>
              </w:tc>
              <w:tc>
                <w:tcPr>
                  <w:tcW w:w="931" w:type="pct"/>
                  <w:vAlign w:val="center"/>
                </w:tcPr>
                <w:p>
                  <w:pPr>
                    <w:adjustRightInd w:val="0"/>
                    <w:snapToGrid w:val="0"/>
                    <w:jc w:val="center"/>
                    <w:rPr>
                      <w:szCs w:val="21"/>
                    </w:rPr>
                  </w:pPr>
                  <w:r>
                    <w:rPr>
                      <w:rFonts w:hint="eastAsia"/>
                      <w:szCs w:val="21"/>
                    </w:rPr>
                    <w:t>污水</w:t>
                  </w:r>
                  <w:r>
                    <w:rPr>
                      <w:szCs w:val="21"/>
                    </w:rPr>
                    <w:t>处理站</w:t>
                  </w:r>
                </w:p>
              </w:tc>
              <w:tc>
                <w:tcPr>
                  <w:tcW w:w="1367" w:type="pct"/>
                  <w:vAlign w:val="center"/>
                </w:tcPr>
                <w:p>
                  <w:pPr>
                    <w:adjustRightInd w:val="0"/>
                    <w:snapToGrid w:val="0"/>
                    <w:jc w:val="center"/>
                    <w:rPr>
                      <w:szCs w:val="21"/>
                    </w:rPr>
                  </w:pPr>
                  <w:r>
                    <w:rPr>
                      <w:rFonts w:hint="eastAsia"/>
                      <w:szCs w:val="21"/>
                    </w:rPr>
                    <w:t>恶臭</w:t>
                  </w:r>
                  <w:r>
                    <w:rPr>
                      <w:szCs w:val="21"/>
                    </w:rPr>
                    <w:t>气体</w:t>
                  </w:r>
                </w:p>
              </w:tc>
              <w:tc>
                <w:tcPr>
                  <w:tcW w:w="1669" w:type="pct"/>
                  <w:vAlign w:val="center"/>
                </w:tcPr>
                <w:p>
                  <w:pPr>
                    <w:adjustRightInd w:val="0"/>
                    <w:snapToGrid w:val="0"/>
                    <w:jc w:val="center"/>
                    <w:rPr>
                      <w:szCs w:val="21"/>
                    </w:rPr>
                  </w:pPr>
                  <w:r>
                    <w:rPr>
                      <w:rFonts w:hint="eastAsia"/>
                      <w:szCs w:val="21"/>
                    </w:rPr>
                    <w:t>氨</w:t>
                  </w:r>
                  <w:r>
                    <w:rPr>
                      <w:szCs w:val="21"/>
                    </w:rPr>
                    <w:t>、硫化氢</w:t>
                  </w:r>
                  <w:r>
                    <w:rPr>
                      <w:rFonts w:hint="eastAsia"/>
                      <w:szCs w:val="21"/>
                    </w:rPr>
                    <w:t>、</w:t>
                  </w:r>
                  <w:r>
                    <w:rPr>
                      <w:szCs w:val="21"/>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gridSpan w:val="2"/>
                  <w:vMerge w:val="continue"/>
                  <w:vAlign w:val="center"/>
                </w:tcPr>
                <w:p>
                  <w:pPr>
                    <w:adjustRightInd w:val="0"/>
                    <w:snapToGrid w:val="0"/>
                    <w:jc w:val="center"/>
                    <w:rPr>
                      <w:bCs/>
                      <w:szCs w:val="21"/>
                    </w:rPr>
                  </w:pPr>
                </w:p>
              </w:tc>
              <w:tc>
                <w:tcPr>
                  <w:tcW w:w="931" w:type="pct"/>
                  <w:vAlign w:val="center"/>
                </w:tcPr>
                <w:p>
                  <w:pPr>
                    <w:adjustRightInd w:val="0"/>
                    <w:snapToGrid w:val="0"/>
                    <w:jc w:val="center"/>
                    <w:rPr>
                      <w:bCs/>
                      <w:szCs w:val="21"/>
                    </w:rPr>
                  </w:pPr>
                  <w:r>
                    <w:rPr>
                      <w:bCs/>
                      <w:szCs w:val="21"/>
                    </w:rPr>
                    <w:t>食堂</w:t>
                  </w:r>
                </w:p>
              </w:tc>
              <w:tc>
                <w:tcPr>
                  <w:tcW w:w="1367" w:type="pct"/>
                  <w:vAlign w:val="center"/>
                </w:tcPr>
                <w:p>
                  <w:pPr>
                    <w:adjustRightInd w:val="0"/>
                    <w:snapToGrid w:val="0"/>
                    <w:jc w:val="center"/>
                    <w:rPr>
                      <w:bCs/>
                      <w:szCs w:val="21"/>
                    </w:rPr>
                  </w:pPr>
                  <w:r>
                    <w:rPr>
                      <w:bCs/>
                      <w:szCs w:val="21"/>
                    </w:rPr>
                    <w:t>食堂油烟</w:t>
                  </w:r>
                </w:p>
              </w:tc>
              <w:tc>
                <w:tcPr>
                  <w:tcW w:w="1669" w:type="pct"/>
                  <w:vAlign w:val="center"/>
                </w:tcPr>
                <w:p>
                  <w:pPr>
                    <w:adjustRightInd w:val="0"/>
                    <w:snapToGrid w:val="0"/>
                    <w:jc w:val="center"/>
                    <w:rPr>
                      <w:bCs/>
                      <w:szCs w:val="21"/>
                    </w:rPr>
                  </w:pPr>
                  <w:r>
                    <w:rPr>
                      <w:bCs/>
                      <w:szCs w:val="21"/>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gridSpan w:val="2"/>
                  <w:vMerge w:val="restart"/>
                  <w:vAlign w:val="center"/>
                </w:tcPr>
                <w:p>
                  <w:pPr>
                    <w:adjustRightInd w:val="0"/>
                    <w:snapToGrid w:val="0"/>
                    <w:jc w:val="center"/>
                    <w:rPr>
                      <w:bCs/>
                      <w:szCs w:val="21"/>
                    </w:rPr>
                  </w:pPr>
                  <w:r>
                    <w:rPr>
                      <w:bCs/>
                      <w:szCs w:val="21"/>
                    </w:rPr>
                    <w:t>废水</w:t>
                  </w:r>
                </w:p>
              </w:tc>
              <w:tc>
                <w:tcPr>
                  <w:tcW w:w="931" w:type="pct"/>
                  <w:vAlign w:val="center"/>
                </w:tcPr>
                <w:p>
                  <w:pPr>
                    <w:adjustRightInd w:val="0"/>
                    <w:snapToGrid w:val="0"/>
                    <w:jc w:val="center"/>
                    <w:rPr>
                      <w:bCs/>
                      <w:szCs w:val="21"/>
                    </w:rPr>
                  </w:pPr>
                  <w:r>
                    <w:rPr>
                      <w:bCs/>
                      <w:szCs w:val="21"/>
                    </w:rPr>
                    <w:t>生产</w:t>
                  </w:r>
                </w:p>
              </w:tc>
              <w:tc>
                <w:tcPr>
                  <w:tcW w:w="1367" w:type="pct"/>
                  <w:vAlign w:val="center"/>
                </w:tcPr>
                <w:p>
                  <w:pPr>
                    <w:adjustRightInd w:val="0"/>
                    <w:snapToGrid w:val="0"/>
                    <w:jc w:val="center"/>
                    <w:rPr>
                      <w:bCs/>
                      <w:szCs w:val="21"/>
                    </w:rPr>
                  </w:pPr>
                  <w:r>
                    <w:rPr>
                      <w:bCs/>
                      <w:szCs w:val="21"/>
                    </w:rPr>
                    <w:t>生产废水</w:t>
                  </w:r>
                </w:p>
              </w:tc>
              <w:tc>
                <w:tcPr>
                  <w:tcW w:w="1669" w:type="pct"/>
                  <w:vAlign w:val="center"/>
                </w:tcPr>
                <w:p>
                  <w:pPr>
                    <w:adjustRightInd w:val="0"/>
                    <w:snapToGrid w:val="0"/>
                    <w:jc w:val="center"/>
                    <w:rPr>
                      <w:bCs/>
                      <w:szCs w:val="21"/>
                    </w:rPr>
                  </w:pPr>
                  <w:r>
                    <w:rPr>
                      <w:bCs/>
                      <w:szCs w:val="21"/>
                    </w:rPr>
                    <w:t>COD、BOD</w:t>
                  </w:r>
                  <w:r>
                    <w:rPr>
                      <w:bCs/>
                      <w:szCs w:val="21"/>
                      <w:vertAlign w:val="subscript"/>
                    </w:rPr>
                    <w:t>5</w:t>
                  </w:r>
                  <w:r>
                    <w:rPr>
                      <w:bCs/>
                      <w:szCs w:val="21"/>
                    </w:rPr>
                    <w:t>、SS、NH</w:t>
                  </w:r>
                  <w:r>
                    <w:rPr>
                      <w:bCs/>
                      <w:szCs w:val="21"/>
                      <w:vertAlign w:val="subscript"/>
                    </w:rPr>
                    <w:t>3</w:t>
                  </w:r>
                  <w:r>
                    <w:rPr>
                      <w:bCs/>
                      <w:szCs w:val="21"/>
                    </w:rPr>
                    <w:t>-N、粪大肠菌群数、总余氯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gridSpan w:val="2"/>
                  <w:vMerge w:val="continue"/>
                  <w:vAlign w:val="center"/>
                </w:tcPr>
                <w:p>
                  <w:pPr>
                    <w:adjustRightInd w:val="0"/>
                    <w:snapToGrid w:val="0"/>
                    <w:jc w:val="center"/>
                    <w:rPr>
                      <w:bCs/>
                      <w:szCs w:val="21"/>
                    </w:rPr>
                  </w:pPr>
                </w:p>
              </w:tc>
              <w:tc>
                <w:tcPr>
                  <w:tcW w:w="931" w:type="pct"/>
                  <w:vAlign w:val="center"/>
                </w:tcPr>
                <w:p>
                  <w:pPr>
                    <w:adjustRightInd w:val="0"/>
                    <w:snapToGrid w:val="0"/>
                    <w:jc w:val="center"/>
                    <w:rPr>
                      <w:bCs/>
                      <w:szCs w:val="21"/>
                    </w:rPr>
                  </w:pPr>
                  <w:r>
                    <w:rPr>
                      <w:bCs/>
                      <w:szCs w:val="21"/>
                    </w:rPr>
                    <w:t>生活、餐饮</w:t>
                  </w:r>
                </w:p>
              </w:tc>
              <w:tc>
                <w:tcPr>
                  <w:tcW w:w="1367" w:type="pct"/>
                  <w:vAlign w:val="center"/>
                </w:tcPr>
                <w:p>
                  <w:pPr>
                    <w:adjustRightInd w:val="0"/>
                    <w:snapToGrid w:val="0"/>
                    <w:jc w:val="center"/>
                    <w:rPr>
                      <w:bCs/>
                      <w:szCs w:val="21"/>
                    </w:rPr>
                  </w:pPr>
                  <w:r>
                    <w:rPr>
                      <w:bCs/>
                      <w:szCs w:val="21"/>
                    </w:rPr>
                    <w:t>生活污水</w:t>
                  </w:r>
                </w:p>
              </w:tc>
              <w:tc>
                <w:tcPr>
                  <w:tcW w:w="1669" w:type="pct"/>
                  <w:vAlign w:val="center"/>
                </w:tcPr>
                <w:p>
                  <w:pPr>
                    <w:adjustRightInd w:val="0"/>
                    <w:snapToGrid w:val="0"/>
                    <w:jc w:val="center"/>
                    <w:rPr>
                      <w:bCs/>
                      <w:szCs w:val="21"/>
                    </w:rPr>
                  </w:pPr>
                  <w:r>
                    <w:rPr>
                      <w:bCs/>
                      <w:szCs w:val="21"/>
                    </w:rPr>
                    <w:t>COD、BOD</w:t>
                  </w:r>
                  <w:r>
                    <w:rPr>
                      <w:bCs/>
                      <w:szCs w:val="21"/>
                      <w:vertAlign w:val="subscript"/>
                    </w:rPr>
                    <w:t>5</w:t>
                  </w:r>
                  <w:r>
                    <w:rPr>
                      <w:bCs/>
                      <w:szCs w:val="21"/>
                    </w:rPr>
                    <w:t>、SS、氨氮、总磷、总氮、动植物油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restart"/>
                  <w:vAlign w:val="center"/>
                </w:tcPr>
                <w:p>
                  <w:pPr>
                    <w:adjustRightInd w:val="0"/>
                    <w:snapToGrid w:val="0"/>
                    <w:jc w:val="center"/>
                    <w:rPr>
                      <w:bCs/>
                      <w:szCs w:val="21"/>
                    </w:rPr>
                  </w:pPr>
                  <w:r>
                    <w:rPr>
                      <w:bCs/>
                      <w:szCs w:val="21"/>
                    </w:rPr>
                    <w:t>固废</w:t>
                  </w:r>
                </w:p>
              </w:tc>
              <w:tc>
                <w:tcPr>
                  <w:tcW w:w="762" w:type="pct"/>
                  <w:vMerge w:val="restart"/>
                  <w:vAlign w:val="center"/>
                </w:tcPr>
                <w:p>
                  <w:pPr>
                    <w:adjustRightInd w:val="0"/>
                    <w:snapToGrid w:val="0"/>
                    <w:jc w:val="center"/>
                    <w:rPr>
                      <w:bCs/>
                      <w:szCs w:val="21"/>
                    </w:rPr>
                  </w:pPr>
                  <w:r>
                    <w:rPr>
                      <w:bCs/>
                      <w:szCs w:val="21"/>
                    </w:rPr>
                    <w:t>生活垃圾</w:t>
                  </w:r>
                </w:p>
              </w:tc>
              <w:tc>
                <w:tcPr>
                  <w:tcW w:w="931" w:type="pct"/>
                  <w:vAlign w:val="center"/>
                </w:tcPr>
                <w:p>
                  <w:pPr>
                    <w:adjustRightInd w:val="0"/>
                    <w:snapToGrid w:val="0"/>
                    <w:jc w:val="center"/>
                    <w:rPr>
                      <w:bCs/>
                      <w:szCs w:val="21"/>
                    </w:rPr>
                  </w:pPr>
                  <w:r>
                    <w:rPr>
                      <w:bCs/>
                      <w:szCs w:val="21"/>
                    </w:rPr>
                    <w:t>生活</w:t>
                  </w:r>
                </w:p>
              </w:tc>
              <w:tc>
                <w:tcPr>
                  <w:tcW w:w="1367" w:type="pct"/>
                  <w:vAlign w:val="center"/>
                </w:tcPr>
                <w:p>
                  <w:pPr>
                    <w:adjustRightInd w:val="0"/>
                    <w:snapToGrid w:val="0"/>
                    <w:jc w:val="center"/>
                    <w:rPr>
                      <w:bCs/>
                      <w:szCs w:val="21"/>
                    </w:rPr>
                  </w:pPr>
                  <w:r>
                    <w:rPr>
                      <w:bCs/>
                      <w:szCs w:val="21"/>
                    </w:rPr>
                    <w:t>生活垃圾、餐厨垃圾</w:t>
                  </w:r>
                </w:p>
              </w:tc>
              <w:tc>
                <w:tcPr>
                  <w:tcW w:w="1669" w:type="pct"/>
                  <w:vAlign w:val="center"/>
                </w:tcPr>
                <w:p>
                  <w:pPr>
                    <w:adjustRightInd w:val="0"/>
                    <w:snapToGrid w:val="0"/>
                    <w:jc w:val="center"/>
                    <w:rPr>
                      <w:bCs/>
                      <w:szCs w:val="21"/>
                    </w:rPr>
                  </w:pPr>
                  <w:r>
                    <w:rPr>
                      <w:bCs/>
                      <w:szCs w:val="21"/>
                    </w:rPr>
                    <w:t>生活垃圾、餐厨垃圾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vAlign w:val="center"/>
                </w:tcPr>
                <w:p>
                  <w:pPr>
                    <w:adjustRightInd w:val="0"/>
                    <w:snapToGrid w:val="0"/>
                    <w:jc w:val="center"/>
                    <w:rPr>
                      <w:bCs/>
                      <w:szCs w:val="21"/>
                    </w:rPr>
                  </w:pPr>
                </w:p>
              </w:tc>
              <w:tc>
                <w:tcPr>
                  <w:tcW w:w="762" w:type="pct"/>
                  <w:vMerge w:val="continue"/>
                  <w:vAlign w:val="center"/>
                </w:tcPr>
                <w:p>
                  <w:pPr>
                    <w:adjustRightInd w:val="0"/>
                    <w:snapToGrid w:val="0"/>
                    <w:jc w:val="center"/>
                    <w:rPr>
                      <w:bCs/>
                      <w:szCs w:val="21"/>
                    </w:rPr>
                  </w:pPr>
                </w:p>
              </w:tc>
              <w:tc>
                <w:tcPr>
                  <w:tcW w:w="931" w:type="pct"/>
                  <w:vAlign w:val="center"/>
                </w:tcPr>
                <w:p>
                  <w:pPr>
                    <w:adjustRightInd w:val="0"/>
                    <w:snapToGrid w:val="0"/>
                    <w:jc w:val="center"/>
                    <w:rPr>
                      <w:bCs/>
                      <w:szCs w:val="21"/>
                    </w:rPr>
                  </w:pPr>
                  <w:r>
                    <w:rPr>
                      <w:bCs/>
                      <w:szCs w:val="21"/>
                    </w:rPr>
                    <w:t>隔油池</w:t>
                  </w:r>
                </w:p>
              </w:tc>
              <w:tc>
                <w:tcPr>
                  <w:tcW w:w="1367" w:type="pct"/>
                  <w:vAlign w:val="center"/>
                </w:tcPr>
                <w:p>
                  <w:pPr>
                    <w:adjustRightInd w:val="0"/>
                    <w:snapToGrid w:val="0"/>
                    <w:jc w:val="center"/>
                    <w:rPr>
                      <w:bCs/>
                      <w:szCs w:val="21"/>
                    </w:rPr>
                  </w:pPr>
                  <w:r>
                    <w:rPr>
                      <w:bCs/>
                      <w:szCs w:val="21"/>
                    </w:rPr>
                    <w:t>废油脂</w:t>
                  </w:r>
                </w:p>
              </w:tc>
              <w:tc>
                <w:tcPr>
                  <w:tcW w:w="1669" w:type="pct"/>
                  <w:vAlign w:val="center"/>
                </w:tcPr>
                <w:p>
                  <w:pPr>
                    <w:adjustRightInd w:val="0"/>
                    <w:snapToGrid w:val="0"/>
                    <w:jc w:val="center"/>
                    <w:rPr>
                      <w:bCs/>
                      <w:szCs w:val="21"/>
                    </w:rPr>
                  </w:pPr>
                  <w:r>
                    <w:rPr>
                      <w:bCs/>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vAlign w:val="center"/>
                </w:tcPr>
                <w:p>
                  <w:pPr>
                    <w:adjustRightInd w:val="0"/>
                    <w:snapToGrid w:val="0"/>
                    <w:jc w:val="center"/>
                    <w:rPr>
                      <w:bCs/>
                      <w:szCs w:val="21"/>
                    </w:rPr>
                  </w:pPr>
                </w:p>
              </w:tc>
              <w:tc>
                <w:tcPr>
                  <w:tcW w:w="762" w:type="pct"/>
                  <w:vAlign w:val="center"/>
                </w:tcPr>
                <w:p>
                  <w:pPr>
                    <w:adjustRightInd w:val="0"/>
                    <w:snapToGrid w:val="0"/>
                    <w:jc w:val="center"/>
                    <w:rPr>
                      <w:bCs/>
                      <w:szCs w:val="21"/>
                    </w:rPr>
                  </w:pPr>
                  <w:r>
                    <w:rPr>
                      <w:bCs/>
                      <w:szCs w:val="21"/>
                    </w:rPr>
                    <w:t>一般固废</w:t>
                  </w:r>
                </w:p>
              </w:tc>
              <w:tc>
                <w:tcPr>
                  <w:tcW w:w="931" w:type="pct"/>
                  <w:vAlign w:val="center"/>
                </w:tcPr>
                <w:p>
                  <w:pPr>
                    <w:adjustRightInd w:val="0"/>
                    <w:snapToGrid w:val="0"/>
                    <w:jc w:val="center"/>
                    <w:rPr>
                      <w:bCs/>
                      <w:szCs w:val="21"/>
                    </w:rPr>
                  </w:pPr>
                  <w:r>
                    <w:rPr>
                      <w:bCs/>
                      <w:szCs w:val="21"/>
                    </w:rPr>
                    <w:t>布袋除尘器</w:t>
                  </w:r>
                </w:p>
              </w:tc>
              <w:tc>
                <w:tcPr>
                  <w:tcW w:w="1367" w:type="pct"/>
                  <w:vAlign w:val="center"/>
                </w:tcPr>
                <w:p>
                  <w:pPr>
                    <w:adjustRightInd w:val="0"/>
                    <w:snapToGrid w:val="0"/>
                    <w:jc w:val="center"/>
                    <w:rPr>
                      <w:bCs/>
                      <w:szCs w:val="21"/>
                    </w:rPr>
                  </w:pPr>
                  <w:r>
                    <w:rPr>
                      <w:bCs/>
                      <w:szCs w:val="21"/>
                    </w:rPr>
                    <w:t>布袋除尘器灰渣</w:t>
                  </w:r>
                </w:p>
              </w:tc>
              <w:tc>
                <w:tcPr>
                  <w:tcW w:w="1669" w:type="pct"/>
                  <w:vAlign w:val="center"/>
                </w:tcPr>
                <w:p>
                  <w:pPr>
                    <w:adjustRightInd w:val="0"/>
                    <w:snapToGrid w:val="0"/>
                    <w:jc w:val="center"/>
                    <w:rPr>
                      <w:bCs/>
                      <w:szCs w:val="21"/>
                    </w:rPr>
                  </w:pPr>
                  <w:r>
                    <w:rPr>
                      <w:bCs/>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vAlign w:val="center"/>
                </w:tcPr>
                <w:p>
                  <w:pPr>
                    <w:adjustRightInd w:val="0"/>
                    <w:snapToGrid w:val="0"/>
                    <w:jc w:val="center"/>
                    <w:rPr>
                      <w:bCs/>
                      <w:szCs w:val="21"/>
                    </w:rPr>
                  </w:pPr>
                </w:p>
              </w:tc>
              <w:tc>
                <w:tcPr>
                  <w:tcW w:w="762" w:type="pct"/>
                  <w:vAlign w:val="center"/>
                </w:tcPr>
                <w:p>
                  <w:pPr>
                    <w:adjustRightInd w:val="0"/>
                    <w:snapToGrid w:val="0"/>
                    <w:jc w:val="center"/>
                    <w:rPr>
                      <w:bCs/>
                      <w:szCs w:val="21"/>
                    </w:rPr>
                  </w:pPr>
                  <w:r>
                    <w:rPr>
                      <w:bCs/>
                      <w:szCs w:val="21"/>
                    </w:rPr>
                    <w:t>危险废物</w:t>
                  </w:r>
                </w:p>
              </w:tc>
              <w:tc>
                <w:tcPr>
                  <w:tcW w:w="931" w:type="pct"/>
                  <w:vAlign w:val="center"/>
                </w:tcPr>
                <w:p>
                  <w:pPr>
                    <w:adjustRightInd w:val="0"/>
                    <w:snapToGrid w:val="0"/>
                    <w:jc w:val="center"/>
                    <w:rPr>
                      <w:bCs/>
                      <w:szCs w:val="21"/>
                    </w:rPr>
                  </w:pPr>
                  <w:r>
                    <w:rPr>
                      <w:bCs/>
                      <w:szCs w:val="21"/>
                    </w:rPr>
                    <w:t>机械设备维护</w:t>
                  </w:r>
                </w:p>
              </w:tc>
              <w:tc>
                <w:tcPr>
                  <w:tcW w:w="1367" w:type="pct"/>
                  <w:vAlign w:val="center"/>
                </w:tcPr>
                <w:p>
                  <w:pPr>
                    <w:adjustRightInd w:val="0"/>
                    <w:snapToGrid w:val="0"/>
                    <w:jc w:val="center"/>
                    <w:rPr>
                      <w:bCs/>
                      <w:szCs w:val="21"/>
                    </w:rPr>
                  </w:pPr>
                  <w:r>
                    <w:rPr>
                      <w:bCs/>
                      <w:szCs w:val="21"/>
                    </w:rPr>
                    <w:t>废机油</w:t>
                  </w:r>
                </w:p>
              </w:tc>
              <w:tc>
                <w:tcPr>
                  <w:tcW w:w="1669" w:type="pct"/>
                  <w:vAlign w:val="center"/>
                </w:tcPr>
                <w:p>
                  <w:pPr>
                    <w:adjustRightInd w:val="0"/>
                    <w:snapToGrid w:val="0"/>
                    <w:jc w:val="center"/>
                    <w:rPr>
                      <w:bCs/>
                      <w:szCs w:val="21"/>
                    </w:rPr>
                  </w:pPr>
                  <w:r>
                    <w:rPr>
                      <w:bCs/>
                      <w:szCs w:val="21"/>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gridSpan w:val="2"/>
                  <w:vMerge w:val="restart"/>
                  <w:vAlign w:val="center"/>
                </w:tcPr>
                <w:p>
                  <w:pPr>
                    <w:adjustRightInd w:val="0"/>
                    <w:snapToGrid w:val="0"/>
                    <w:jc w:val="center"/>
                    <w:rPr>
                      <w:bCs/>
                      <w:szCs w:val="21"/>
                    </w:rPr>
                  </w:pPr>
                  <w:r>
                    <w:rPr>
                      <w:bCs/>
                      <w:szCs w:val="21"/>
                    </w:rPr>
                    <w:t>噪声</w:t>
                  </w:r>
                </w:p>
              </w:tc>
              <w:tc>
                <w:tcPr>
                  <w:tcW w:w="931" w:type="pct"/>
                  <w:vAlign w:val="center"/>
                </w:tcPr>
                <w:p>
                  <w:pPr>
                    <w:adjustRightInd w:val="0"/>
                    <w:snapToGrid w:val="0"/>
                    <w:jc w:val="center"/>
                    <w:rPr>
                      <w:bCs/>
                      <w:szCs w:val="21"/>
                    </w:rPr>
                  </w:pPr>
                  <w:r>
                    <w:rPr>
                      <w:bCs/>
                      <w:szCs w:val="21"/>
                    </w:rPr>
                    <w:t>设备运行</w:t>
                  </w:r>
                </w:p>
              </w:tc>
              <w:tc>
                <w:tcPr>
                  <w:tcW w:w="1367" w:type="pct"/>
                  <w:vAlign w:val="center"/>
                </w:tcPr>
                <w:p>
                  <w:pPr>
                    <w:adjustRightInd w:val="0"/>
                    <w:snapToGrid w:val="0"/>
                    <w:jc w:val="center"/>
                    <w:rPr>
                      <w:bCs/>
                      <w:szCs w:val="21"/>
                    </w:rPr>
                  </w:pPr>
                  <w:r>
                    <w:rPr>
                      <w:bCs/>
                      <w:szCs w:val="21"/>
                    </w:rPr>
                    <w:t>设备噪声</w:t>
                  </w:r>
                </w:p>
              </w:tc>
              <w:tc>
                <w:tcPr>
                  <w:tcW w:w="1669" w:type="pct"/>
                  <w:vAlign w:val="center"/>
                </w:tcPr>
                <w:p>
                  <w:pPr>
                    <w:adjustRightInd w:val="0"/>
                    <w:snapToGrid w:val="0"/>
                    <w:jc w:val="center"/>
                    <w:rPr>
                      <w:bCs/>
                      <w:szCs w:val="21"/>
                    </w:rPr>
                  </w:pPr>
                  <w:r>
                    <w:rPr>
                      <w:bCs/>
                      <w:szCs w:val="21"/>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gridSpan w:val="2"/>
                  <w:vMerge w:val="continue"/>
                  <w:vAlign w:val="center"/>
                </w:tcPr>
                <w:p>
                  <w:pPr>
                    <w:adjustRightInd w:val="0"/>
                    <w:snapToGrid w:val="0"/>
                    <w:jc w:val="center"/>
                    <w:rPr>
                      <w:bCs/>
                      <w:szCs w:val="21"/>
                    </w:rPr>
                  </w:pPr>
                </w:p>
              </w:tc>
              <w:tc>
                <w:tcPr>
                  <w:tcW w:w="931" w:type="pct"/>
                  <w:vAlign w:val="center"/>
                </w:tcPr>
                <w:p>
                  <w:pPr>
                    <w:adjustRightInd w:val="0"/>
                    <w:snapToGrid w:val="0"/>
                    <w:jc w:val="center"/>
                    <w:rPr>
                      <w:bCs/>
                      <w:szCs w:val="21"/>
                    </w:rPr>
                  </w:pPr>
                  <w:r>
                    <w:rPr>
                      <w:bCs/>
                      <w:szCs w:val="21"/>
                    </w:rPr>
                    <w:t>运输车辆</w:t>
                  </w:r>
                </w:p>
              </w:tc>
              <w:tc>
                <w:tcPr>
                  <w:tcW w:w="1367" w:type="pct"/>
                  <w:vAlign w:val="center"/>
                </w:tcPr>
                <w:p>
                  <w:pPr>
                    <w:adjustRightInd w:val="0"/>
                    <w:snapToGrid w:val="0"/>
                    <w:jc w:val="center"/>
                    <w:rPr>
                      <w:bCs/>
                      <w:szCs w:val="21"/>
                    </w:rPr>
                  </w:pPr>
                  <w:r>
                    <w:rPr>
                      <w:bCs/>
                      <w:szCs w:val="21"/>
                    </w:rPr>
                    <w:t>运输车辆噪声</w:t>
                  </w:r>
                </w:p>
              </w:tc>
              <w:tc>
                <w:tcPr>
                  <w:tcW w:w="1669" w:type="pct"/>
                  <w:vAlign w:val="center"/>
                </w:tcPr>
                <w:p>
                  <w:pPr>
                    <w:adjustRightInd w:val="0"/>
                    <w:snapToGrid w:val="0"/>
                    <w:jc w:val="center"/>
                    <w:rPr>
                      <w:bCs/>
                      <w:szCs w:val="21"/>
                    </w:rPr>
                  </w:pPr>
                  <w:r>
                    <w:rPr>
                      <w:bCs/>
                      <w:szCs w:val="21"/>
                    </w:rPr>
                    <w:t>噪声</w:t>
                  </w:r>
                </w:p>
              </w:tc>
            </w:tr>
          </w:tbl>
          <w:p>
            <w:pPr>
              <w:adjustRightInd w:val="0"/>
              <w:snapToGrid w:val="0"/>
              <w:spacing w:line="360" w:lineRule="auto"/>
              <w:ind w:firstLine="420" w:firstLineChars="200"/>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99" w:type="dxa"/>
            <w:vAlign w:val="center"/>
          </w:tcPr>
          <w:p>
            <w:pPr>
              <w:pStyle w:val="14"/>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t>与项目有关的原有环境污染问题</w:t>
            </w:r>
          </w:p>
        </w:tc>
        <w:tc>
          <w:tcPr>
            <w:tcW w:w="8125" w:type="dxa"/>
          </w:tcPr>
          <w:p>
            <w:pPr>
              <w:adjustRightInd w:val="0"/>
              <w:snapToGrid w:val="0"/>
              <w:spacing w:line="360" w:lineRule="auto"/>
              <w:ind w:firstLine="480" w:firstLineChars="200"/>
              <w:rPr>
                <w:bCs/>
                <w:sz w:val="24"/>
              </w:rPr>
            </w:pPr>
            <w:r>
              <w:rPr>
                <w:bCs/>
                <w:sz w:val="24"/>
              </w:rPr>
              <w:t>本项目为新建项目，项目场地原为西安市周至县种猪繁育场，现状为空地、部分空置房屋和周至县秦岭北麓主体山水林田湖草沙一体化保护和修复工程项目指挥部，项目占用周至县秦岭北麓主体山水林田湖草沙一体化保护和修复工程项目指挥部约一半场地。</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6"/>
              <w:gridCol w:w="4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116" w:type="dxa"/>
                  <w:vAlign w:val="center"/>
                </w:tcPr>
                <w:p>
                  <w:pPr>
                    <w:adjustRightInd w:val="0"/>
                    <w:snapToGrid w:val="0"/>
                    <w:jc w:val="center"/>
                    <w:rPr>
                      <w:bCs/>
                      <w:szCs w:val="21"/>
                    </w:rPr>
                  </w:pPr>
                  <w:r>
                    <w:rPr>
                      <w:bCs/>
                      <w:szCs w:val="21"/>
                    </w:rPr>
                    <w:drawing>
                      <wp:inline distT="0" distB="0" distL="0" distR="0">
                        <wp:extent cx="2399665" cy="1799590"/>
                        <wp:effectExtent l="0" t="0" r="635" b="0"/>
                        <wp:docPr id="8" name="图片 8" descr="F:\1、项目\2023\10、周至殡仪馆\3、周至县殡仪馆现状图\厂界内部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1、项目\2023\10、周至殡仪馆\3、周至县殡仪馆现状图\厂界内部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tc>
              <w:tc>
                <w:tcPr>
                  <w:tcW w:w="4028" w:type="dxa"/>
                  <w:vAlign w:val="center"/>
                </w:tcPr>
                <w:p>
                  <w:pPr>
                    <w:adjustRightInd w:val="0"/>
                    <w:snapToGrid w:val="0"/>
                    <w:jc w:val="center"/>
                    <w:rPr>
                      <w:bCs/>
                      <w:szCs w:val="21"/>
                    </w:rPr>
                  </w:pPr>
                  <w:r>
                    <w:rPr>
                      <w:bCs/>
                      <w:szCs w:val="21"/>
                    </w:rPr>
                    <w:drawing>
                      <wp:inline distT="0" distB="0" distL="0" distR="0">
                        <wp:extent cx="2399665" cy="1799590"/>
                        <wp:effectExtent l="0" t="0" r="635" b="0"/>
                        <wp:docPr id="10" name="图片 10" descr="F:\1、项目\2023\10、周至殡仪馆\3、周至县殡仪馆现状图\厂界内部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1、项目\2023\10、周至殡仪馆\3、周至县殡仪馆现状图\厂界内部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6" w:type="dxa"/>
                  <w:vAlign w:val="center"/>
                </w:tcPr>
                <w:p>
                  <w:pPr>
                    <w:adjustRightInd w:val="0"/>
                    <w:snapToGrid w:val="0"/>
                    <w:jc w:val="center"/>
                    <w:rPr>
                      <w:bCs/>
                      <w:szCs w:val="21"/>
                    </w:rPr>
                  </w:pPr>
                  <w:r>
                    <w:rPr>
                      <w:bCs/>
                      <w:szCs w:val="21"/>
                    </w:rPr>
                    <w:drawing>
                      <wp:inline distT="0" distB="0" distL="0" distR="0">
                        <wp:extent cx="2399665" cy="1799590"/>
                        <wp:effectExtent l="0" t="0" r="635" b="0"/>
                        <wp:docPr id="11" name="图片 11" descr="F:\1、项目\2023\10、周至殡仪馆\3、周至县殡仪馆现状图\厂界内部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1、项目\2023\10、周至殡仪馆\3、周至县殡仪馆现状图\厂界内部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tc>
              <w:tc>
                <w:tcPr>
                  <w:tcW w:w="4028" w:type="dxa"/>
                  <w:vAlign w:val="center"/>
                </w:tcPr>
                <w:p>
                  <w:pPr>
                    <w:adjustRightInd w:val="0"/>
                    <w:snapToGrid w:val="0"/>
                    <w:jc w:val="center"/>
                    <w:rPr>
                      <w:bCs/>
                      <w:szCs w:val="21"/>
                    </w:rPr>
                  </w:pPr>
                  <w:r>
                    <w:rPr>
                      <w:bCs/>
                      <w:szCs w:val="21"/>
                    </w:rPr>
                    <w:drawing>
                      <wp:inline distT="0" distB="0" distL="0" distR="0">
                        <wp:extent cx="2399665" cy="1799590"/>
                        <wp:effectExtent l="0" t="0" r="635" b="0"/>
                        <wp:docPr id="12" name="图片 12" descr="F:\1、项目\2023\10、周至殡仪馆\3、周至县殡仪馆现状图\厂界内部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1、项目\2023\10、周至殡仪馆\3、周至县殡仪馆现状图\厂界内部 (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6" w:type="dxa"/>
                  <w:vAlign w:val="center"/>
                </w:tcPr>
                <w:p>
                  <w:pPr>
                    <w:adjustRightInd w:val="0"/>
                    <w:snapToGrid w:val="0"/>
                    <w:jc w:val="center"/>
                    <w:rPr>
                      <w:bCs/>
                      <w:szCs w:val="21"/>
                    </w:rPr>
                  </w:pPr>
                  <w:r>
                    <w:rPr>
                      <w:bCs/>
                      <w:szCs w:val="21"/>
                    </w:rPr>
                    <w:drawing>
                      <wp:inline distT="0" distB="0" distL="0" distR="0">
                        <wp:extent cx="2399665" cy="1799590"/>
                        <wp:effectExtent l="0" t="0" r="635" b="0"/>
                        <wp:docPr id="13" name="图片 13" descr="F:\1、项目\2023\10、周至殡仪馆\3、周至县殡仪馆现状图\厂界内部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1、项目\2023\10、周至殡仪馆\3、周至县殡仪馆现状图\厂界内部 (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tc>
              <w:tc>
                <w:tcPr>
                  <w:tcW w:w="4028" w:type="dxa"/>
                  <w:vAlign w:val="center"/>
                </w:tcPr>
                <w:p>
                  <w:pPr>
                    <w:adjustRightInd w:val="0"/>
                    <w:snapToGrid w:val="0"/>
                    <w:jc w:val="center"/>
                    <w:rPr>
                      <w:bCs/>
                      <w:szCs w:val="21"/>
                    </w:rPr>
                  </w:pPr>
                  <w:r>
                    <w:rPr>
                      <w:bCs/>
                      <w:szCs w:val="21"/>
                    </w:rPr>
                    <w:drawing>
                      <wp:inline distT="0" distB="0" distL="0" distR="0">
                        <wp:extent cx="2399665" cy="1799590"/>
                        <wp:effectExtent l="0" t="0" r="635" b="0"/>
                        <wp:docPr id="18" name="图片 18" descr="F:\1、项目\2023\10、周至殡仪馆\3、周至县殡仪馆现状图\厂界南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1、项目\2023\10、周至殡仪馆\3、周至县殡仪馆现状图\厂界南侧.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4" w:type="dxa"/>
                  <w:gridSpan w:val="2"/>
                  <w:vAlign w:val="center"/>
                </w:tcPr>
                <w:p>
                  <w:pPr>
                    <w:adjustRightInd w:val="0"/>
                    <w:snapToGrid w:val="0"/>
                    <w:jc w:val="center"/>
                    <w:rPr>
                      <w:bCs/>
                      <w:szCs w:val="21"/>
                    </w:rPr>
                  </w:pPr>
                  <w:r>
                    <w:rPr>
                      <w:bCs/>
                      <w:szCs w:val="21"/>
                    </w:rPr>
                    <w:t>项目用地范围内现状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116" w:type="dxa"/>
                  <w:vAlign w:val="center"/>
                </w:tcPr>
                <w:p>
                  <w:pPr>
                    <w:adjustRightInd w:val="0"/>
                    <w:snapToGrid w:val="0"/>
                    <w:jc w:val="center"/>
                    <w:rPr>
                      <w:bCs/>
                      <w:szCs w:val="21"/>
                    </w:rPr>
                  </w:pPr>
                  <w:r>
                    <w:rPr>
                      <w:bCs/>
                      <w:szCs w:val="21"/>
                    </w:rPr>
                    <w:drawing>
                      <wp:inline distT="0" distB="0" distL="0" distR="0">
                        <wp:extent cx="1349375" cy="1799590"/>
                        <wp:effectExtent l="0" t="0" r="3175" b="0"/>
                        <wp:docPr id="17" name="图片 17" descr="F:\1、项目\2023\10、周至殡仪馆\3、周至县殡仪馆现状图\厂界北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1、项目\2023\10、周至殡仪馆\3、周至县殡仪馆现状图\厂界北侧.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50000" cy="1800000"/>
                                </a:xfrm>
                                <a:prstGeom prst="rect">
                                  <a:avLst/>
                                </a:prstGeom>
                                <a:noFill/>
                                <a:ln>
                                  <a:noFill/>
                                </a:ln>
                              </pic:spPr>
                            </pic:pic>
                          </a:graphicData>
                        </a:graphic>
                      </wp:inline>
                    </w:drawing>
                  </w:r>
                </w:p>
              </w:tc>
              <w:tc>
                <w:tcPr>
                  <w:tcW w:w="4028" w:type="dxa"/>
                  <w:vAlign w:val="center"/>
                </w:tcPr>
                <w:p>
                  <w:pPr>
                    <w:adjustRightInd w:val="0"/>
                    <w:snapToGrid w:val="0"/>
                    <w:jc w:val="center"/>
                    <w:rPr>
                      <w:bCs/>
                      <w:szCs w:val="21"/>
                    </w:rPr>
                  </w:pPr>
                  <w:r>
                    <w:rPr>
                      <w:bCs/>
                      <w:szCs w:val="21"/>
                    </w:rPr>
                    <w:drawing>
                      <wp:inline distT="0" distB="0" distL="0" distR="0">
                        <wp:extent cx="2399665" cy="1799590"/>
                        <wp:effectExtent l="0" t="0" r="635" b="0"/>
                        <wp:docPr id="15" name="图片 15" descr="F:\1、项目\2023\10、周至殡仪馆\3、周至县殡仪馆现状图\厂界西侧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1、项目\2023\10、周至殡仪馆\3、周至县殡仪馆现状图\厂界西侧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6" w:type="dxa"/>
                  <w:vAlign w:val="center"/>
                </w:tcPr>
                <w:p>
                  <w:pPr>
                    <w:adjustRightInd w:val="0"/>
                    <w:snapToGrid w:val="0"/>
                    <w:jc w:val="center"/>
                    <w:rPr>
                      <w:bCs/>
                      <w:szCs w:val="21"/>
                    </w:rPr>
                  </w:pPr>
                  <w:r>
                    <w:rPr>
                      <w:bCs/>
                      <w:szCs w:val="21"/>
                    </w:rPr>
                    <w:t>周至县秦岭北麓主体山水林田湖草沙一体化保护和修复工程项目指挥部</w:t>
                  </w:r>
                </w:p>
              </w:tc>
              <w:tc>
                <w:tcPr>
                  <w:tcW w:w="4028" w:type="dxa"/>
                  <w:vAlign w:val="center"/>
                </w:tcPr>
                <w:p>
                  <w:pPr>
                    <w:adjustRightInd w:val="0"/>
                    <w:snapToGrid w:val="0"/>
                    <w:jc w:val="center"/>
                    <w:rPr>
                      <w:bCs/>
                      <w:szCs w:val="21"/>
                    </w:rPr>
                  </w:pPr>
                  <w:r>
                    <w:rPr>
                      <w:bCs/>
                      <w:szCs w:val="21"/>
                    </w:rPr>
                    <w:t>西侧水泥制品工厂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6" w:type="dxa"/>
                  <w:vAlign w:val="center"/>
                </w:tcPr>
                <w:p>
                  <w:pPr>
                    <w:adjustRightInd w:val="0"/>
                    <w:snapToGrid w:val="0"/>
                    <w:jc w:val="center"/>
                    <w:rPr>
                      <w:bCs/>
                      <w:szCs w:val="21"/>
                    </w:rPr>
                  </w:pPr>
                  <w:r>
                    <w:rPr>
                      <w:bCs/>
                      <w:szCs w:val="21"/>
                    </w:rPr>
                    <w:drawing>
                      <wp:inline distT="0" distB="0" distL="0" distR="0">
                        <wp:extent cx="2476500" cy="1798955"/>
                        <wp:effectExtent l="0" t="0" r="0" b="0"/>
                        <wp:docPr id="16" name="图片 16" descr="F:\1、项目\2023\10、周至殡仪馆\3、周至县殡仪馆现状图\西侧厂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1、项目\2023\10、周至殡仪馆\3、周至县殡仪馆现状图\西侧厂界.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77860" cy="1800000"/>
                                </a:xfrm>
                                <a:prstGeom prst="rect">
                                  <a:avLst/>
                                </a:prstGeom>
                                <a:noFill/>
                                <a:ln>
                                  <a:noFill/>
                                </a:ln>
                              </pic:spPr>
                            </pic:pic>
                          </a:graphicData>
                        </a:graphic>
                      </wp:inline>
                    </w:drawing>
                  </w:r>
                </w:p>
              </w:tc>
              <w:tc>
                <w:tcPr>
                  <w:tcW w:w="4028" w:type="dxa"/>
                  <w:vAlign w:val="center"/>
                </w:tcPr>
                <w:p>
                  <w:pPr>
                    <w:adjustRightInd w:val="0"/>
                    <w:snapToGrid w:val="0"/>
                    <w:jc w:val="center"/>
                    <w:rPr>
                      <w:bCs/>
                      <w:szCs w:val="21"/>
                    </w:rPr>
                  </w:pPr>
                  <w:r>
                    <w:rPr>
                      <w:bCs/>
                      <w:szCs w:val="21"/>
                    </w:rPr>
                    <w:drawing>
                      <wp:inline distT="0" distB="0" distL="0" distR="0">
                        <wp:extent cx="2399665" cy="1799590"/>
                        <wp:effectExtent l="0" t="0" r="635" b="0"/>
                        <wp:docPr id="14" name="图片 14" descr="F:\1、项目\2023\10、周至殡仪馆\3、周至县殡仪馆现状图\厂界西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1、项目\2023\10、周至殡仪馆\3、周至县殡仪馆现状图\厂界西侧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6" w:type="dxa"/>
                  <w:vAlign w:val="center"/>
                </w:tcPr>
                <w:p>
                  <w:pPr>
                    <w:adjustRightInd w:val="0"/>
                    <w:snapToGrid w:val="0"/>
                    <w:jc w:val="center"/>
                    <w:rPr>
                      <w:bCs/>
                      <w:szCs w:val="21"/>
                    </w:rPr>
                  </w:pPr>
                  <w:r>
                    <w:rPr>
                      <w:bCs/>
                      <w:szCs w:val="21"/>
                    </w:rPr>
                    <w:t>西侧庙</w:t>
                  </w:r>
                </w:p>
              </w:tc>
              <w:tc>
                <w:tcPr>
                  <w:tcW w:w="4028" w:type="dxa"/>
                  <w:vAlign w:val="center"/>
                </w:tcPr>
                <w:p>
                  <w:pPr>
                    <w:adjustRightInd w:val="0"/>
                    <w:snapToGrid w:val="0"/>
                    <w:jc w:val="center"/>
                    <w:rPr>
                      <w:bCs/>
                      <w:szCs w:val="21"/>
                    </w:rPr>
                  </w:pPr>
                  <w:r>
                    <w:rPr>
                      <w:bCs/>
                      <w:szCs w:val="21"/>
                    </w:rPr>
                    <w:t>周至县国有渭河生态林场渭中森林管护站</w:t>
                  </w:r>
                </w:p>
              </w:tc>
            </w:tr>
          </w:tbl>
          <w:p>
            <w:pPr>
              <w:adjustRightInd w:val="0"/>
              <w:snapToGrid w:val="0"/>
              <w:jc w:val="center"/>
              <w:rPr>
                <w:b/>
                <w:sz w:val="24"/>
              </w:rPr>
            </w:pPr>
            <w:r>
              <w:rPr>
                <w:b/>
                <w:sz w:val="24"/>
              </w:rPr>
              <w:t>图2-4  厂区及周边现状</w:t>
            </w: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tc>
      </w:tr>
    </w:tbl>
    <w:p>
      <w:pPr>
        <w:pStyle w:val="14"/>
        <w:jc w:val="center"/>
        <w:rPr>
          <w:rFonts w:ascii="Times New Roman" w:hAnsi="Times New Roman"/>
          <w:snapToGrid w:val="0"/>
          <w:sz w:val="36"/>
          <w:szCs w:val="36"/>
        </w:rPr>
        <w:sectPr>
          <w:pgSz w:w="11906" w:h="16838"/>
          <w:pgMar w:top="1701" w:right="1531" w:bottom="1701" w:left="1531" w:header="851" w:footer="851" w:gutter="0"/>
          <w:cols w:space="720" w:num="1"/>
          <w:docGrid w:linePitch="312" w:charSpace="0"/>
        </w:sectPr>
      </w:pPr>
    </w:p>
    <w:p>
      <w:pPr>
        <w:pStyle w:val="14"/>
        <w:adjustRightInd w:val="0"/>
        <w:snapToGrid w:val="0"/>
        <w:spacing w:before="0" w:beforeAutospacing="0" w:after="0" w:afterAutospacing="0" w:line="14" w:lineRule="auto"/>
        <w:jc w:val="center"/>
        <w:rPr>
          <w:rFonts w:ascii="Times New Roman" w:hAnsi="Times New Roman"/>
          <w:snapToGrid w:val="0"/>
          <w:sz w:val="30"/>
          <w:szCs w:val="30"/>
        </w:rPr>
      </w:pPr>
    </w:p>
    <w:p>
      <w:pPr>
        <w:pStyle w:val="14"/>
        <w:jc w:val="center"/>
        <w:outlineLvl w:val="0"/>
        <w:rPr>
          <w:rFonts w:ascii="Times New Roman" w:hAnsi="Times New Roman"/>
          <w:snapToGrid w:val="0"/>
          <w:sz w:val="30"/>
          <w:szCs w:val="30"/>
        </w:rPr>
      </w:pPr>
      <w:r>
        <w:rPr>
          <w:rFonts w:ascii="Times New Roman" w:hAnsi="Times New Roman"/>
          <w:snapToGrid w:val="0"/>
          <w:sz w:val="30"/>
          <w:szCs w:val="30"/>
        </w:rPr>
        <w:t>三、区域环境质量现状、环境保护目标及评价标准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86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00" w:type="dxa"/>
            <w:vAlign w:val="center"/>
          </w:tcPr>
          <w:p>
            <w:pPr>
              <w:adjustRightInd w:val="0"/>
              <w:snapToGrid w:val="0"/>
              <w:jc w:val="center"/>
              <w:rPr>
                <w:kern w:val="0"/>
                <w:sz w:val="24"/>
              </w:rPr>
            </w:pPr>
            <w:r>
              <w:rPr>
                <w:kern w:val="0"/>
                <w:sz w:val="24"/>
              </w:rPr>
              <w:t>区域</w:t>
            </w:r>
          </w:p>
          <w:p>
            <w:pPr>
              <w:adjustRightInd w:val="0"/>
              <w:snapToGrid w:val="0"/>
              <w:jc w:val="center"/>
              <w:rPr>
                <w:kern w:val="0"/>
                <w:sz w:val="24"/>
              </w:rPr>
            </w:pPr>
            <w:r>
              <w:rPr>
                <w:kern w:val="0"/>
                <w:sz w:val="24"/>
              </w:rPr>
              <w:t>环境</w:t>
            </w:r>
          </w:p>
          <w:p>
            <w:pPr>
              <w:adjustRightInd w:val="0"/>
              <w:snapToGrid w:val="0"/>
              <w:jc w:val="center"/>
              <w:rPr>
                <w:kern w:val="0"/>
                <w:sz w:val="24"/>
              </w:rPr>
            </w:pPr>
            <w:r>
              <w:rPr>
                <w:kern w:val="0"/>
                <w:sz w:val="24"/>
              </w:rPr>
              <w:t>质量</w:t>
            </w:r>
          </w:p>
          <w:p>
            <w:pPr>
              <w:adjustRightInd w:val="0"/>
              <w:snapToGrid w:val="0"/>
              <w:jc w:val="center"/>
              <w:rPr>
                <w:kern w:val="0"/>
                <w:szCs w:val="21"/>
              </w:rPr>
            </w:pPr>
            <w:r>
              <w:rPr>
                <w:kern w:val="0"/>
                <w:sz w:val="24"/>
              </w:rPr>
              <w:t>现状</w:t>
            </w:r>
          </w:p>
        </w:tc>
        <w:tc>
          <w:tcPr>
            <w:tcW w:w="8190" w:type="dxa"/>
            <w:vAlign w:val="center"/>
          </w:tcPr>
          <w:p>
            <w:pPr>
              <w:pStyle w:val="8"/>
              <w:adjustRightInd w:val="0"/>
              <w:snapToGrid w:val="0"/>
              <w:spacing w:line="360" w:lineRule="auto"/>
              <w:ind w:left="102" w:right="102" w:firstLine="482" w:firstLineChars="200"/>
              <w:rPr>
                <w:rFonts w:ascii="Times New Roman" w:hAnsi="Times New Roman" w:cs="Times New Roman"/>
                <w:b/>
                <w:bCs/>
                <w:sz w:val="24"/>
                <w:szCs w:val="24"/>
              </w:rPr>
            </w:pPr>
            <w:r>
              <w:rPr>
                <w:rFonts w:ascii="Times New Roman" w:hAnsi="Times New Roman" w:cs="Times New Roman"/>
                <w:b/>
                <w:bCs/>
                <w:sz w:val="24"/>
                <w:szCs w:val="24"/>
              </w:rPr>
              <w:t>1、环境空气质量现状</w:t>
            </w:r>
          </w:p>
          <w:p>
            <w:pPr>
              <w:adjustRightInd w:val="0"/>
              <w:snapToGrid w:val="0"/>
              <w:spacing w:line="360" w:lineRule="auto"/>
              <w:ind w:firstLine="480" w:firstLineChars="200"/>
              <w:rPr>
                <w:kern w:val="0"/>
                <w:sz w:val="24"/>
              </w:rPr>
            </w:pPr>
            <w:r>
              <w:rPr>
                <w:kern w:val="0"/>
                <w:sz w:val="24"/>
              </w:rPr>
              <w:t>环境空气质量现状</w:t>
            </w:r>
            <w:r>
              <w:rPr>
                <w:rFonts w:hint="eastAsia"/>
                <w:kern w:val="0"/>
                <w:sz w:val="24"/>
              </w:rPr>
              <w:t>详</w:t>
            </w:r>
            <w:r>
              <w:rPr>
                <w:kern w:val="0"/>
                <w:sz w:val="24"/>
              </w:rPr>
              <w:t>见“大气环境影响专项评价”。</w:t>
            </w:r>
          </w:p>
          <w:p>
            <w:pPr>
              <w:pStyle w:val="8"/>
              <w:adjustRightInd w:val="0"/>
              <w:snapToGrid w:val="0"/>
              <w:spacing w:line="360" w:lineRule="auto"/>
              <w:ind w:firstLine="480" w:firstLineChars="200"/>
              <w:rPr>
                <w:sz w:val="24"/>
              </w:rPr>
            </w:pPr>
            <w:r>
              <w:rPr>
                <w:rFonts w:hint="eastAsia"/>
                <w:sz w:val="24"/>
              </w:rPr>
              <w:t>（1）区域</w:t>
            </w:r>
            <w:r>
              <w:rPr>
                <w:sz w:val="24"/>
              </w:rPr>
              <w:t>达标判定</w:t>
            </w:r>
          </w:p>
          <w:p>
            <w:pPr>
              <w:pStyle w:val="8"/>
              <w:adjustRightInd w:val="0"/>
              <w:snapToGrid w:val="0"/>
              <w:spacing w:line="360" w:lineRule="auto"/>
              <w:ind w:firstLine="480" w:firstLineChars="200"/>
              <w:rPr>
                <w:sz w:val="24"/>
              </w:rPr>
            </w:pPr>
            <w:r>
              <w:rPr>
                <w:rFonts w:hint="eastAsia"/>
                <w:sz w:val="24"/>
              </w:rPr>
              <w:t>本项目所在地的环境空气质量引用陕西省生态环境厅办公室发布的《环保快报</w:t>
            </w:r>
            <w:r>
              <w:rPr>
                <w:sz w:val="24"/>
              </w:rPr>
              <w:t>2022</w:t>
            </w:r>
            <w:r>
              <w:rPr>
                <w:rFonts w:hint="eastAsia"/>
                <w:sz w:val="24"/>
              </w:rPr>
              <w:t>年</w:t>
            </w:r>
            <w:r>
              <w:rPr>
                <w:sz w:val="24"/>
              </w:rPr>
              <w:t>12</w:t>
            </w:r>
            <w:r>
              <w:rPr>
                <w:rFonts w:hint="eastAsia"/>
                <w:sz w:val="24"/>
              </w:rPr>
              <w:t>月及</w:t>
            </w:r>
            <w:r>
              <w:rPr>
                <w:sz w:val="24"/>
              </w:rPr>
              <w:t>1-12</w:t>
            </w:r>
            <w:r>
              <w:rPr>
                <w:rFonts w:hint="eastAsia"/>
                <w:sz w:val="24"/>
              </w:rPr>
              <w:t>月全省环境空气质量状况》附表</w:t>
            </w:r>
            <w:r>
              <w:rPr>
                <w:sz w:val="24"/>
              </w:rPr>
              <w:t>4</w:t>
            </w:r>
            <w:r>
              <w:rPr>
                <w:rFonts w:hint="eastAsia"/>
                <w:sz w:val="24"/>
              </w:rPr>
              <w:t>中西安市周至县</w:t>
            </w:r>
            <w:r>
              <w:rPr>
                <w:sz w:val="24"/>
              </w:rPr>
              <w:t>2022</w:t>
            </w:r>
            <w:r>
              <w:rPr>
                <w:rFonts w:hint="eastAsia"/>
                <w:sz w:val="24"/>
              </w:rPr>
              <w:t>年</w:t>
            </w:r>
            <w:r>
              <w:rPr>
                <w:sz w:val="24"/>
              </w:rPr>
              <w:t>1~12</w:t>
            </w:r>
            <w:r>
              <w:rPr>
                <w:rFonts w:hint="eastAsia"/>
                <w:sz w:val="24"/>
              </w:rPr>
              <w:t>月空气质量状况统计数据判定本项目区域环境空气质量达标情况，监测结果表明，周至县</w:t>
            </w:r>
            <w:r>
              <w:rPr>
                <w:sz w:val="24"/>
              </w:rPr>
              <w:t>2022</w:t>
            </w:r>
            <w:r>
              <w:rPr>
                <w:rFonts w:hint="eastAsia"/>
                <w:sz w:val="24"/>
              </w:rPr>
              <w:t>年</w:t>
            </w:r>
            <w:r>
              <w:rPr>
                <w:sz w:val="24"/>
              </w:rPr>
              <w:t>SO</w:t>
            </w:r>
            <w:r>
              <w:rPr>
                <w:sz w:val="24"/>
                <w:vertAlign w:val="subscript"/>
              </w:rPr>
              <w:t>2</w:t>
            </w:r>
            <w:r>
              <w:rPr>
                <w:rFonts w:hint="eastAsia"/>
                <w:sz w:val="24"/>
              </w:rPr>
              <w:t>年平均浓度、</w:t>
            </w:r>
            <w:r>
              <w:rPr>
                <w:sz w:val="24"/>
              </w:rPr>
              <w:t>NO</w:t>
            </w:r>
            <w:r>
              <w:rPr>
                <w:sz w:val="24"/>
                <w:vertAlign w:val="subscript"/>
              </w:rPr>
              <w:t>2</w:t>
            </w:r>
            <w:r>
              <w:rPr>
                <w:rFonts w:hint="eastAsia"/>
                <w:sz w:val="24"/>
              </w:rPr>
              <w:t>年平均浓度、</w:t>
            </w:r>
            <w:r>
              <w:rPr>
                <w:sz w:val="24"/>
              </w:rPr>
              <w:t>CO</w:t>
            </w:r>
            <w:r>
              <w:rPr>
                <w:rFonts w:hint="eastAsia"/>
                <w:sz w:val="24"/>
              </w:rPr>
              <w:t>第</w:t>
            </w:r>
            <w:r>
              <w:rPr>
                <w:sz w:val="24"/>
              </w:rPr>
              <w:t>95</w:t>
            </w:r>
            <w:r>
              <w:rPr>
                <w:rFonts w:hint="eastAsia"/>
                <w:sz w:val="24"/>
              </w:rPr>
              <w:t>百分位日平均浓度均达标，</w:t>
            </w:r>
            <w:r>
              <w:rPr>
                <w:sz w:val="24"/>
              </w:rPr>
              <w:t>PM</w:t>
            </w:r>
            <w:r>
              <w:rPr>
                <w:sz w:val="24"/>
                <w:vertAlign w:val="subscript"/>
              </w:rPr>
              <w:t>10</w:t>
            </w:r>
            <w:r>
              <w:rPr>
                <w:rFonts w:hint="eastAsia"/>
                <w:sz w:val="24"/>
              </w:rPr>
              <w:t>年平均浓度、</w:t>
            </w:r>
            <w:r>
              <w:rPr>
                <w:sz w:val="24"/>
              </w:rPr>
              <w:t>PM</w:t>
            </w:r>
            <w:r>
              <w:rPr>
                <w:sz w:val="24"/>
                <w:vertAlign w:val="subscript"/>
              </w:rPr>
              <w:t>2.5</w:t>
            </w:r>
            <w:r>
              <w:rPr>
                <w:rFonts w:hint="eastAsia"/>
                <w:sz w:val="24"/>
              </w:rPr>
              <w:t>年平均浓度、</w:t>
            </w:r>
            <w:r>
              <w:rPr>
                <w:sz w:val="24"/>
              </w:rPr>
              <w:t>O</w:t>
            </w:r>
            <w:r>
              <w:rPr>
                <w:sz w:val="24"/>
                <w:vertAlign w:val="subscript"/>
              </w:rPr>
              <w:t>3</w:t>
            </w:r>
            <w:r>
              <w:rPr>
                <w:rFonts w:hint="eastAsia"/>
                <w:sz w:val="24"/>
              </w:rPr>
              <w:t>第</w:t>
            </w:r>
            <w:r>
              <w:rPr>
                <w:sz w:val="24"/>
              </w:rPr>
              <w:t>90</w:t>
            </w:r>
            <w:r>
              <w:rPr>
                <w:rFonts w:hint="eastAsia"/>
                <w:sz w:val="24"/>
              </w:rPr>
              <w:t>百分位</w:t>
            </w:r>
            <w:r>
              <w:rPr>
                <w:sz w:val="24"/>
              </w:rPr>
              <w:t>8</w:t>
            </w:r>
            <w:r>
              <w:rPr>
                <w:rFonts w:hint="eastAsia"/>
                <w:sz w:val="24"/>
              </w:rPr>
              <w:t>小时平均浓度超过《环境空气质量标准》（</w:t>
            </w:r>
            <w:r>
              <w:rPr>
                <w:sz w:val="24"/>
              </w:rPr>
              <w:t>GB3095-2012</w:t>
            </w:r>
            <w:r>
              <w:rPr>
                <w:rFonts w:hint="eastAsia"/>
                <w:sz w:val="24"/>
              </w:rPr>
              <w:t>），因此，项目所在区域为环境空气质量不达标区。</w:t>
            </w:r>
          </w:p>
          <w:p>
            <w:pPr>
              <w:pStyle w:val="8"/>
              <w:adjustRightInd w:val="0"/>
              <w:snapToGrid w:val="0"/>
              <w:spacing w:line="360" w:lineRule="auto"/>
              <w:ind w:firstLine="480" w:firstLineChars="200"/>
              <w:rPr>
                <w:sz w:val="24"/>
              </w:rPr>
            </w:pPr>
            <w:r>
              <w:rPr>
                <w:rFonts w:hint="eastAsia"/>
                <w:sz w:val="24"/>
              </w:rPr>
              <w:t>（2）其他</w:t>
            </w:r>
            <w:r>
              <w:rPr>
                <w:sz w:val="24"/>
              </w:rPr>
              <w:t>污染物</w:t>
            </w:r>
          </w:p>
          <w:p>
            <w:pPr>
              <w:pStyle w:val="8"/>
              <w:adjustRightInd w:val="0"/>
              <w:snapToGrid w:val="0"/>
              <w:spacing w:line="360" w:lineRule="auto"/>
              <w:ind w:firstLine="480" w:firstLineChars="200"/>
              <w:rPr>
                <w:sz w:val="24"/>
              </w:rPr>
            </w:pPr>
            <w:r>
              <w:rPr>
                <w:rFonts w:hint="eastAsia"/>
                <w:sz w:val="24"/>
              </w:rPr>
              <w:t>其他</w:t>
            </w:r>
            <w:r>
              <w:rPr>
                <w:sz w:val="24"/>
              </w:rPr>
              <w:t>污染物</w:t>
            </w:r>
            <w:r>
              <w:rPr>
                <w:rFonts w:hint="eastAsia"/>
                <w:sz w:val="24"/>
              </w:rPr>
              <w:t>委托陕西博润检测服务有限公司于</w:t>
            </w:r>
            <w:r>
              <w:rPr>
                <w:sz w:val="24"/>
              </w:rPr>
              <w:t>2023</w:t>
            </w:r>
            <w:r>
              <w:rPr>
                <w:rFonts w:hint="eastAsia"/>
                <w:sz w:val="24"/>
              </w:rPr>
              <w:t>年</w:t>
            </w:r>
            <w:r>
              <w:rPr>
                <w:sz w:val="24"/>
              </w:rPr>
              <w:t>4</w:t>
            </w:r>
            <w:r>
              <w:rPr>
                <w:rFonts w:hint="eastAsia"/>
                <w:sz w:val="24"/>
              </w:rPr>
              <w:t>月</w:t>
            </w:r>
            <w:r>
              <w:rPr>
                <w:sz w:val="24"/>
              </w:rPr>
              <w:t>11</w:t>
            </w:r>
            <w:r>
              <w:rPr>
                <w:rFonts w:hint="eastAsia"/>
                <w:sz w:val="24"/>
              </w:rPr>
              <w:t>日</w:t>
            </w:r>
            <w:r>
              <w:rPr>
                <w:sz w:val="24"/>
              </w:rPr>
              <w:t>~2023</w:t>
            </w:r>
            <w:r>
              <w:rPr>
                <w:rFonts w:hint="eastAsia"/>
                <w:sz w:val="24"/>
              </w:rPr>
              <w:t>年</w:t>
            </w:r>
            <w:r>
              <w:rPr>
                <w:sz w:val="24"/>
              </w:rPr>
              <w:t>4</w:t>
            </w:r>
            <w:r>
              <w:rPr>
                <w:rFonts w:hint="eastAsia"/>
                <w:sz w:val="24"/>
              </w:rPr>
              <w:t>月</w:t>
            </w:r>
            <w:r>
              <w:rPr>
                <w:sz w:val="24"/>
              </w:rPr>
              <w:t>18</w:t>
            </w:r>
            <w:r>
              <w:rPr>
                <w:rFonts w:hint="eastAsia"/>
                <w:sz w:val="24"/>
              </w:rPr>
              <w:t>日对项目所在区域汞、氯化氢进行监测；委托江苏格林勒斯检测科技有限公司于</w:t>
            </w:r>
            <w:r>
              <w:rPr>
                <w:sz w:val="24"/>
              </w:rPr>
              <w:t>2023</w:t>
            </w:r>
            <w:r>
              <w:rPr>
                <w:rFonts w:hint="eastAsia"/>
                <w:sz w:val="24"/>
              </w:rPr>
              <w:t>年</w:t>
            </w:r>
            <w:r>
              <w:rPr>
                <w:sz w:val="24"/>
              </w:rPr>
              <w:t>4</w:t>
            </w:r>
            <w:r>
              <w:rPr>
                <w:rFonts w:hint="eastAsia"/>
                <w:sz w:val="24"/>
              </w:rPr>
              <w:t>月</w:t>
            </w:r>
            <w:r>
              <w:rPr>
                <w:sz w:val="24"/>
              </w:rPr>
              <w:t>7</w:t>
            </w:r>
            <w:r>
              <w:rPr>
                <w:rFonts w:hint="eastAsia"/>
                <w:sz w:val="24"/>
              </w:rPr>
              <w:t>日</w:t>
            </w:r>
            <w:r>
              <w:rPr>
                <w:sz w:val="24"/>
              </w:rPr>
              <w:t>~2023</w:t>
            </w:r>
            <w:r>
              <w:rPr>
                <w:rFonts w:hint="eastAsia"/>
                <w:sz w:val="24"/>
              </w:rPr>
              <w:t>年</w:t>
            </w:r>
            <w:r>
              <w:rPr>
                <w:sz w:val="24"/>
              </w:rPr>
              <w:t>4</w:t>
            </w:r>
            <w:r>
              <w:rPr>
                <w:rFonts w:hint="eastAsia"/>
                <w:sz w:val="24"/>
              </w:rPr>
              <w:t>月</w:t>
            </w:r>
            <w:r>
              <w:rPr>
                <w:sz w:val="24"/>
              </w:rPr>
              <w:t>13</w:t>
            </w:r>
            <w:r>
              <w:rPr>
                <w:rFonts w:hint="eastAsia"/>
                <w:sz w:val="24"/>
              </w:rPr>
              <w:t>日对项目所在区域二噁英进行监测；氨、硫化氢、臭气浓度引用周至县公共卫生中心建设项目环境影响报告书中现状监测。</w:t>
            </w:r>
          </w:p>
          <w:p>
            <w:pPr>
              <w:adjustRightInd w:val="0"/>
              <w:snapToGrid w:val="0"/>
              <w:spacing w:line="360" w:lineRule="auto"/>
              <w:ind w:firstLine="480" w:firstLineChars="200"/>
              <w:rPr>
                <w:sz w:val="24"/>
              </w:rPr>
            </w:pPr>
            <w:r>
              <w:rPr>
                <w:rFonts w:hint="eastAsia"/>
                <w:sz w:val="24"/>
              </w:rPr>
              <w:t>共设置</w:t>
            </w:r>
            <w:r>
              <w:rPr>
                <w:sz w:val="24"/>
              </w:rPr>
              <w:t>2</w:t>
            </w:r>
            <w:r>
              <w:rPr>
                <w:rFonts w:hint="eastAsia"/>
                <w:sz w:val="24"/>
              </w:rPr>
              <w:t>个环境空气监测点位，位于项目厂址和主导风向下风向渭中村进行监测，具体监测点位见表</w:t>
            </w:r>
            <w:r>
              <w:rPr>
                <w:sz w:val="24"/>
              </w:rPr>
              <w:t>3-1</w:t>
            </w:r>
            <w:r>
              <w:rPr>
                <w:rFonts w:hint="eastAsia"/>
                <w:sz w:val="24"/>
              </w:rPr>
              <w:t>和附图</w:t>
            </w:r>
            <w:r>
              <w:rPr>
                <w:sz w:val="24"/>
              </w:rPr>
              <w:t>15</w:t>
            </w:r>
            <w:r>
              <w:rPr>
                <w:rFonts w:hint="eastAsia"/>
                <w:sz w:val="24"/>
              </w:rPr>
              <w:t>。</w:t>
            </w:r>
          </w:p>
          <w:p>
            <w:pPr>
              <w:adjustRightInd w:val="0"/>
              <w:snapToGrid w:val="0"/>
              <w:ind w:firstLine="482"/>
              <w:jc w:val="center"/>
              <w:rPr>
                <w:b/>
                <w:sz w:val="24"/>
              </w:rPr>
            </w:pPr>
            <w:r>
              <w:rPr>
                <w:rFonts w:hint="eastAsia"/>
                <w:b/>
                <w:sz w:val="24"/>
              </w:rPr>
              <w:t>表</w:t>
            </w:r>
            <w:r>
              <w:rPr>
                <w:b/>
                <w:sz w:val="24"/>
              </w:rPr>
              <w:t xml:space="preserve">3-1  </w:t>
            </w:r>
            <w:r>
              <w:rPr>
                <w:rFonts w:hint="eastAsia"/>
                <w:b/>
                <w:sz w:val="24"/>
              </w:rPr>
              <w:t>其他污染物补充监测点位基本信息</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299"/>
              <w:gridCol w:w="1322"/>
              <w:gridCol w:w="1217"/>
              <w:gridCol w:w="879"/>
              <w:gridCol w:w="2040"/>
              <w:gridCol w:w="730"/>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48"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szCs w:val="21"/>
                    </w:rPr>
                  </w:pPr>
                  <w:r>
                    <w:rPr>
                      <w:rFonts w:hint="eastAsia"/>
                      <w:b/>
                      <w:bCs/>
                      <w:szCs w:val="21"/>
                    </w:rPr>
                    <w:t>监测点</w:t>
                  </w:r>
                </w:p>
                <w:p>
                  <w:pPr>
                    <w:widowControl/>
                    <w:adjustRightInd w:val="0"/>
                    <w:snapToGrid w:val="0"/>
                    <w:jc w:val="center"/>
                    <w:rPr>
                      <w:b/>
                      <w:bCs/>
                      <w:szCs w:val="21"/>
                    </w:rPr>
                  </w:pPr>
                  <w:r>
                    <w:rPr>
                      <w:rFonts w:hint="eastAsia"/>
                      <w:b/>
                      <w:bCs/>
                      <w:szCs w:val="21"/>
                    </w:rPr>
                    <w:t>名称</w:t>
                  </w:r>
                </w:p>
              </w:tc>
              <w:tc>
                <w:tcPr>
                  <w:tcW w:w="1113"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szCs w:val="21"/>
                    </w:rPr>
                  </w:pPr>
                  <w:r>
                    <w:rPr>
                      <w:rFonts w:hint="eastAsia"/>
                      <w:b/>
                      <w:bCs/>
                      <w:szCs w:val="21"/>
                    </w:rPr>
                    <w:t>监测点坐标</w:t>
                  </w:r>
                </w:p>
              </w:tc>
              <w:tc>
                <w:tcPr>
                  <w:tcW w:w="599"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szCs w:val="21"/>
                    </w:rPr>
                  </w:pPr>
                  <w:r>
                    <w:rPr>
                      <w:rFonts w:hint="eastAsia"/>
                      <w:b/>
                      <w:bCs/>
                      <w:szCs w:val="21"/>
                    </w:rPr>
                    <w:t>监测因子</w:t>
                  </w:r>
                </w:p>
              </w:tc>
              <w:tc>
                <w:tcPr>
                  <w:tcW w:w="1287"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szCs w:val="21"/>
                    </w:rPr>
                  </w:pPr>
                  <w:r>
                    <w:rPr>
                      <w:rFonts w:hint="eastAsia"/>
                      <w:b/>
                      <w:bCs/>
                      <w:szCs w:val="21"/>
                    </w:rPr>
                    <w:t>监测时段</w:t>
                  </w:r>
                </w:p>
              </w:tc>
              <w:tc>
                <w:tcPr>
                  <w:tcW w:w="511"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szCs w:val="21"/>
                    </w:rPr>
                  </w:pPr>
                  <w:r>
                    <w:rPr>
                      <w:rFonts w:hint="eastAsia"/>
                      <w:b/>
                      <w:bCs/>
                      <w:szCs w:val="21"/>
                    </w:rPr>
                    <w:t>相对厂址方位</w:t>
                  </w:r>
                </w:p>
              </w:tc>
              <w:tc>
                <w:tcPr>
                  <w:tcW w:w="643"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szCs w:val="21"/>
                    </w:rPr>
                  </w:pPr>
                  <w:r>
                    <w:rPr>
                      <w:rFonts w:hint="eastAsia"/>
                      <w:b/>
                      <w:bCs/>
                      <w:szCs w:val="21"/>
                    </w:rPr>
                    <w:t>相对厂界距离</w:t>
                  </w:r>
                  <w:r>
                    <w:rPr>
                      <w:b/>
                      <w:bCs/>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1"/>
                    </w:rPr>
                  </w:pPr>
                </w:p>
              </w:tc>
              <w:tc>
                <w:tcPr>
                  <w:tcW w:w="59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szCs w:val="21"/>
                    </w:rPr>
                  </w:pPr>
                  <w:r>
                    <w:rPr>
                      <w:rFonts w:hint="eastAsia"/>
                      <w:b/>
                      <w:bCs/>
                      <w:szCs w:val="21"/>
                    </w:rPr>
                    <w:t>经度</w:t>
                  </w:r>
                </w:p>
              </w:tc>
              <w:tc>
                <w:tcPr>
                  <w:tcW w:w="51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szCs w:val="21"/>
                    </w:rPr>
                  </w:pPr>
                  <w:r>
                    <w:rPr>
                      <w:rFonts w:hint="eastAsia"/>
                      <w:b/>
                      <w:bCs/>
                      <w:szCs w:val="21"/>
                    </w:rPr>
                    <w:t>纬度</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4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rFonts w:hint="eastAsia"/>
                      <w:szCs w:val="21"/>
                    </w:rPr>
                    <w:t>项目厂址</w:t>
                  </w:r>
                </w:p>
              </w:tc>
              <w:tc>
                <w:tcPr>
                  <w:tcW w:w="59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szCs w:val="21"/>
                    </w:rPr>
                    <w:t>108.24488371</w:t>
                  </w:r>
                </w:p>
              </w:tc>
              <w:tc>
                <w:tcPr>
                  <w:tcW w:w="51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34.19438463</w:t>
                  </w:r>
                </w:p>
              </w:tc>
              <w:tc>
                <w:tcPr>
                  <w:tcW w:w="599"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rFonts w:hint="eastAsia"/>
                      <w:szCs w:val="21"/>
                    </w:rPr>
                    <w:t>汞、氯化氢、二噁英</w:t>
                  </w:r>
                </w:p>
              </w:tc>
              <w:tc>
                <w:tcPr>
                  <w:tcW w:w="1287"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rFonts w:hint="eastAsia"/>
                      <w:szCs w:val="21"/>
                    </w:rPr>
                    <w:t>汞、氯化氢：</w:t>
                  </w:r>
                  <w:r>
                    <w:rPr>
                      <w:szCs w:val="21"/>
                    </w:rPr>
                    <w:t>2023.4.11~2023.4.18</w:t>
                  </w:r>
                </w:p>
                <w:p>
                  <w:pPr>
                    <w:widowControl/>
                    <w:adjustRightInd w:val="0"/>
                    <w:snapToGrid w:val="0"/>
                    <w:jc w:val="center"/>
                    <w:rPr>
                      <w:szCs w:val="21"/>
                    </w:rPr>
                  </w:pPr>
                  <w:r>
                    <w:rPr>
                      <w:rFonts w:hint="eastAsia"/>
                      <w:szCs w:val="21"/>
                    </w:rPr>
                    <w:t>二噁英：</w:t>
                  </w:r>
                  <w:r>
                    <w:rPr>
                      <w:szCs w:val="21"/>
                    </w:rPr>
                    <w:t>2023.4.7~2023.4.13</w:t>
                  </w:r>
                </w:p>
              </w:tc>
              <w:tc>
                <w:tcPr>
                  <w:tcW w:w="51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szCs w:val="21"/>
                    </w:rPr>
                    <w:t>/</w:t>
                  </w:r>
                </w:p>
              </w:tc>
              <w:tc>
                <w:tcPr>
                  <w:tcW w:w="643"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4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rFonts w:hint="eastAsia"/>
                      <w:szCs w:val="21"/>
                    </w:rPr>
                    <w:t>渭中村</w:t>
                  </w:r>
                </w:p>
              </w:tc>
              <w:tc>
                <w:tcPr>
                  <w:tcW w:w="59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szCs w:val="21"/>
                    </w:rPr>
                    <w:t>108.24836019</w:t>
                  </w:r>
                </w:p>
              </w:tc>
              <w:tc>
                <w:tcPr>
                  <w:tcW w:w="51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34.18982740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1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rFonts w:hint="eastAsia"/>
                      <w:szCs w:val="21"/>
                    </w:rPr>
                    <w:t>东南</w:t>
                  </w:r>
                </w:p>
              </w:tc>
              <w:tc>
                <w:tcPr>
                  <w:tcW w:w="643"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szCs w:val="21"/>
                    </w:rPr>
                    <w:t>450</w:t>
                  </w:r>
                </w:p>
              </w:tc>
            </w:tr>
          </w:tbl>
          <w:p>
            <w:pPr>
              <w:adjustRightInd w:val="0"/>
              <w:snapToGrid w:val="0"/>
              <w:spacing w:line="360" w:lineRule="auto"/>
              <w:ind w:firstLine="480" w:firstLineChars="200"/>
              <w:rPr>
                <w:sz w:val="24"/>
              </w:rPr>
            </w:pPr>
            <w:r>
              <w:rPr>
                <w:rFonts w:hint="eastAsia"/>
                <w:sz w:val="24"/>
              </w:rPr>
              <w:t>氨、硫化氢、臭气浓度引用陕西泽希检测服务有限公司对《周至县疾病预防控制中心周至县公共卫生建设项目环境质量现状监测》（泽希检测（综）</w:t>
            </w:r>
            <w:r>
              <w:rPr>
                <w:sz w:val="24"/>
              </w:rPr>
              <w:t>202308040</w:t>
            </w:r>
            <w:r>
              <w:rPr>
                <w:rFonts w:hint="eastAsia"/>
                <w:sz w:val="24"/>
              </w:rPr>
              <w:t>号），监测项目监测点位见表</w:t>
            </w:r>
            <w:r>
              <w:rPr>
                <w:sz w:val="24"/>
              </w:rPr>
              <w:t>3-2</w:t>
            </w:r>
            <w:r>
              <w:rPr>
                <w:rFonts w:hint="eastAsia"/>
                <w:sz w:val="24"/>
              </w:rPr>
              <w:t>。</w:t>
            </w:r>
          </w:p>
          <w:p>
            <w:pPr>
              <w:adjustRightInd w:val="0"/>
              <w:snapToGrid w:val="0"/>
              <w:ind w:firstLine="482"/>
              <w:jc w:val="center"/>
              <w:rPr>
                <w:b/>
                <w:sz w:val="24"/>
              </w:rPr>
            </w:pPr>
            <w:r>
              <w:rPr>
                <w:rFonts w:hint="eastAsia"/>
                <w:b/>
                <w:sz w:val="24"/>
              </w:rPr>
              <w:t>表</w:t>
            </w:r>
            <w:r>
              <w:rPr>
                <w:b/>
                <w:sz w:val="24"/>
              </w:rPr>
              <w:t>3-2</w:t>
            </w:r>
            <w:r>
              <w:rPr>
                <w:rFonts w:hint="eastAsia"/>
                <w:b/>
                <w:sz w:val="24"/>
              </w:rPr>
              <w:t>引用监测点位基本信息一览表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1585"/>
              <w:gridCol w:w="2133"/>
              <w:gridCol w:w="1504"/>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rFonts w:hint="eastAsia"/>
                      <w:b/>
                      <w:bCs/>
                      <w:szCs w:val="21"/>
                    </w:rPr>
                    <w:t>监测点名称</w:t>
                  </w:r>
                </w:p>
              </w:tc>
              <w:tc>
                <w:tcPr>
                  <w:tcW w:w="9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rFonts w:hint="eastAsia"/>
                      <w:b/>
                      <w:bCs/>
                      <w:szCs w:val="21"/>
                    </w:rPr>
                    <w:t>监测因子</w:t>
                  </w:r>
                </w:p>
              </w:tc>
              <w:tc>
                <w:tcPr>
                  <w:tcW w:w="12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rFonts w:hint="eastAsia"/>
                      <w:b/>
                      <w:bCs/>
                      <w:szCs w:val="21"/>
                    </w:rPr>
                    <w:t>监测时段</w:t>
                  </w:r>
                </w:p>
              </w:tc>
              <w:tc>
                <w:tcPr>
                  <w:tcW w:w="8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rFonts w:hint="eastAsia"/>
                      <w:b/>
                      <w:bCs/>
                      <w:szCs w:val="21"/>
                    </w:rPr>
                    <w:t>相对本厂址方位</w:t>
                  </w:r>
                </w:p>
              </w:tc>
              <w:tc>
                <w:tcPr>
                  <w:tcW w:w="79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rFonts w:hint="eastAsia"/>
                      <w:b/>
                      <w:bCs/>
                      <w:szCs w:val="21"/>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textAlignment w:val="center"/>
                    <w:rPr>
                      <w:bCs/>
                      <w:szCs w:val="21"/>
                    </w:rPr>
                  </w:pPr>
                  <w:r>
                    <w:rPr>
                      <w:rFonts w:hint="eastAsia"/>
                      <w:szCs w:val="21"/>
                    </w:rPr>
                    <w:t>周至县公共卫生建设项目地</w:t>
                  </w:r>
                </w:p>
              </w:tc>
              <w:tc>
                <w:tcPr>
                  <w:tcW w:w="9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H</w:t>
                  </w:r>
                  <w:r>
                    <w:rPr>
                      <w:szCs w:val="21"/>
                      <w:vertAlign w:val="subscript"/>
                    </w:rPr>
                    <w:t>2</w:t>
                  </w:r>
                  <w:r>
                    <w:rPr>
                      <w:szCs w:val="21"/>
                    </w:rPr>
                    <w:t>S</w:t>
                  </w:r>
                  <w:r>
                    <w:rPr>
                      <w:rFonts w:hint="eastAsia"/>
                      <w:szCs w:val="21"/>
                    </w:rPr>
                    <w:t>、</w:t>
                  </w:r>
                  <w:r>
                    <w:rPr>
                      <w:szCs w:val="21"/>
                    </w:rPr>
                    <w:t>NH</w:t>
                  </w:r>
                  <w:r>
                    <w:rPr>
                      <w:szCs w:val="21"/>
                      <w:vertAlign w:val="subscript"/>
                    </w:rPr>
                    <w:t>3</w:t>
                  </w:r>
                  <w:r>
                    <w:rPr>
                      <w:rFonts w:hint="eastAsia"/>
                      <w:szCs w:val="21"/>
                    </w:rPr>
                    <w:t>、臭气浓度</w:t>
                  </w:r>
                </w:p>
              </w:tc>
              <w:tc>
                <w:tcPr>
                  <w:tcW w:w="12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2023.8.11-2023.8.17</w:t>
                  </w:r>
                </w:p>
              </w:tc>
              <w:tc>
                <w:tcPr>
                  <w:tcW w:w="8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西南</w:t>
                  </w:r>
                </w:p>
              </w:tc>
              <w:tc>
                <w:tcPr>
                  <w:tcW w:w="79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5km</w:t>
                  </w:r>
                </w:p>
              </w:tc>
            </w:tr>
          </w:tbl>
          <w:p>
            <w:pPr>
              <w:pStyle w:val="8"/>
              <w:adjustRightInd w:val="0"/>
              <w:snapToGrid w:val="0"/>
              <w:spacing w:line="360" w:lineRule="auto"/>
              <w:ind w:firstLine="480" w:firstLineChars="200"/>
              <w:rPr>
                <w:rFonts w:ascii="Times New Roman" w:hAnsi="Times New Roman" w:cs="Times New Roman"/>
                <w:b/>
                <w:bCs/>
                <w:sz w:val="24"/>
                <w:szCs w:val="24"/>
              </w:rPr>
            </w:pPr>
            <w:r>
              <w:rPr>
                <w:rFonts w:hint="eastAsia"/>
                <w:sz w:val="24"/>
              </w:rPr>
              <w:t>由监测结果可知，项目所在地区域环境空气其他污染物氯化氢、氨、硫化氢均满足《环境影响评价技术导则大气环境》附录</w:t>
            </w:r>
            <w:r>
              <w:rPr>
                <w:sz w:val="24"/>
              </w:rPr>
              <w:t>D</w:t>
            </w:r>
            <w:r>
              <w:rPr>
                <w:rFonts w:hint="eastAsia"/>
                <w:sz w:val="24"/>
              </w:rPr>
              <w:t>中其他污染物空气质量浓度参考限值；汞满足《环境空气质量标准》（</w:t>
            </w:r>
            <w:r>
              <w:rPr>
                <w:sz w:val="24"/>
              </w:rPr>
              <w:t>GB 3095-2012</w:t>
            </w:r>
            <w:r>
              <w:rPr>
                <w:rFonts w:hint="eastAsia"/>
                <w:sz w:val="24"/>
              </w:rPr>
              <w:t>）附录</w:t>
            </w:r>
            <w:r>
              <w:rPr>
                <w:sz w:val="24"/>
              </w:rPr>
              <w:t>A</w:t>
            </w:r>
            <w:r>
              <w:rPr>
                <w:rFonts w:hint="eastAsia"/>
                <w:sz w:val="24"/>
              </w:rPr>
              <w:t>的相关要求；二噁英监测结果满足日本环境质量标准限值；项目所在区域大气环境质量现状较好。</w:t>
            </w:r>
          </w:p>
          <w:p>
            <w:pPr>
              <w:pStyle w:val="8"/>
              <w:adjustRightInd w:val="0"/>
              <w:snapToGrid w:val="0"/>
              <w:spacing w:line="360" w:lineRule="auto"/>
              <w:ind w:firstLine="482" w:firstLineChars="200"/>
              <w:rPr>
                <w:rFonts w:ascii="Times New Roman" w:hAnsi="Times New Roman" w:cs="Times New Roman"/>
                <w:b/>
                <w:bCs/>
                <w:sz w:val="24"/>
                <w:szCs w:val="24"/>
              </w:rPr>
            </w:pPr>
            <w:r>
              <w:rPr>
                <w:rFonts w:ascii="Times New Roman" w:hAnsi="Times New Roman" w:cs="Times New Roman"/>
                <w:b/>
                <w:bCs/>
                <w:sz w:val="24"/>
                <w:szCs w:val="24"/>
              </w:rPr>
              <w:t>2、声环境质量现状</w:t>
            </w:r>
          </w:p>
          <w:p>
            <w:pPr>
              <w:topLinePunct/>
              <w:adjustRightInd w:val="0"/>
              <w:snapToGrid w:val="0"/>
              <w:spacing w:line="360" w:lineRule="auto"/>
              <w:ind w:firstLine="480" w:firstLineChars="200"/>
              <w:rPr>
                <w:kern w:val="0"/>
                <w:sz w:val="24"/>
              </w:rPr>
            </w:pPr>
            <w:r>
              <w:rPr>
                <w:kern w:val="0"/>
                <w:sz w:val="24"/>
              </w:rPr>
              <w:t>本项目委托陕西博润检测服务有限公司于2023年4月11日对声环境质量进行监测。</w:t>
            </w:r>
          </w:p>
          <w:p>
            <w:pPr>
              <w:topLinePunct/>
              <w:adjustRightInd w:val="0"/>
              <w:snapToGrid w:val="0"/>
              <w:spacing w:line="360" w:lineRule="auto"/>
              <w:ind w:firstLine="480" w:firstLineChars="200"/>
              <w:rPr>
                <w:kern w:val="0"/>
                <w:sz w:val="24"/>
              </w:rPr>
            </w:pPr>
            <w:r>
              <w:rPr>
                <w:kern w:val="0"/>
                <w:sz w:val="24"/>
              </w:rPr>
              <w:t>（1）监测点位：共设置2个声环境质量现状监测点位，位于项目西侧的庙和渭中森林管护站处，具体监测点位见附图5。</w:t>
            </w:r>
          </w:p>
          <w:p>
            <w:pPr>
              <w:topLinePunct/>
              <w:adjustRightInd w:val="0"/>
              <w:snapToGrid w:val="0"/>
              <w:spacing w:line="360" w:lineRule="auto"/>
              <w:ind w:firstLine="480" w:firstLineChars="200"/>
              <w:rPr>
                <w:kern w:val="0"/>
                <w:sz w:val="24"/>
              </w:rPr>
            </w:pPr>
            <w:r>
              <w:rPr>
                <w:kern w:val="0"/>
                <w:sz w:val="24"/>
              </w:rPr>
              <w:t>（2）监测项目：等效连续A声级。</w:t>
            </w:r>
          </w:p>
          <w:p>
            <w:pPr>
              <w:topLinePunct/>
              <w:adjustRightInd w:val="0"/>
              <w:snapToGrid w:val="0"/>
              <w:spacing w:line="360" w:lineRule="auto"/>
              <w:ind w:firstLine="480" w:firstLineChars="200"/>
              <w:rPr>
                <w:kern w:val="0"/>
                <w:sz w:val="24"/>
              </w:rPr>
            </w:pPr>
            <w:r>
              <w:rPr>
                <w:kern w:val="0"/>
                <w:sz w:val="24"/>
              </w:rPr>
              <w:t>（3）监测频率：监测1天。昼间、夜间各监测1次。</w:t>
            </w:r>
          </w:p>
          <w:p>
            <w:pPr>
              <w:topLinePunct/>
              <w:adjustRightInd w:val="0"/>
              <w:snapToGrid w:val="0"/>
              <w:spacing w:line="360" w:lineRule="auto"/>
              <w:ind w:firstLine="480" w:firstLineChars="200"/>
              <w:rPr>
                <w:bCs/>
                <w:sz w:val="24"/>
                <w:szCs w:val="32"/>
              </w:rPr>
            </w:pPr>
            <w:r>
              <w:rPr>
                <w:kern w:val="0"/>
                <w:sz w:val="24"/>
              </w:rPr>
              <w:t>（4）评价结果</w:t>
            </w:r>
          </w:p>
          <w:p>
            <w:pPr>
              <w:pStyle w:val="4"/>
              <w:keepNext/>
              <w:topLinePunct/>
              <w:adjustRightInd w:val="0"/>
              <w:snapToGrid w:val="0"/>
              <w:rPr>
                <w:rFonts w:ascii="Times New Roman" w:hAnsi="Times New Roman" w:cs="Times New Roman"/>
              </w:rPr>
            </w:pPr>
            <w:r>
              <w:rPr>
                <w:rFonts w:ascii="Times New Roman" w:hAnsi="Times New Roman" w:cs="Times New Roman"/>
              </w:rPr>
              <w:t>表3-3声环境质量监测结果</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527"/>
              <w:gridCol w:w="1762"/>
              <w:gridCol w:w="3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Merge w:val="restart"/>
                  <w:vAlign w:val="center"/>
                </w:tcPr>
                <w:p>
                  <w:pPr>
                    <w:topLinePunct/>
                    <w:jc w:val="center"/>
                    <w:rPr>
                      <w:b/>
                      <w:szCs w:val="21"/>
                    </w:rPr>
                  </w:pPr>
                  <w:r>
                    <w:rPr>
                      <w:b/>
                      <w:szCs w:val="21"/>
                    </w:rPr>
                    <w:t>检测日期</w:t>
                  </w:r>
                </w:p>
              </w:tc>
              <w:tc>
                <w:tcPr>
                  <w:tcW w:w="1496" w:type="pct"/>
                  <w:vMerge w:val="restart"/>
                  <w:vAlign w:val="center"/>
                </w:tcPr>
                <w:p>
                  <w:pPr>
                    <w:topLinePunct/>
                    <w:jc w:val="center"/>
                    <w:rPr>
                      <w:b/>
                      <w:szCs w:val="21"/>
                    </w:rPr>
                  </w:pPr>
                  <w:r>
                    <w:rPr>
                      <w:b/>
                      <w:szCs w:val="21"/>
                    </w:rPr>
                    <w:t>监测点位</w:t>
                  </w:r>
                </w:p>
              </w:tc>
              <w:tc>
                <w:tcPr>
                  <w:tcW w:w="2835" w:type="pct"/>
                  <w:gridSpan w:val="2"/>
                  <w:vAlign w:val="center"/>
                </w:tcPr>
                <w:p>
                  <w:pPr>
                    <w:topLinePunct/>
                    <w:jc w:val="center"/>
                    <w:rPr>
                      <w:b/>
                      <w:szCs w:val="21"/>
                    </w:rPr>
                  </w:pPr>
                  <w:r>
                    <w:rPr>
                      <w:b/>
                      <w:szCs w:val="21"/>
                    </w:rPr>
                    <w:t>监测结果Leq[dB(A)]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Merge w:val="continue"/>
                  <w:vAlign w:val="center"/>
                </w:tcPr>
                <w:p>
                  <w:pPr>
                    <w:topLinePunct/>
                    <w:jc w:val="center"/>
                    <w:rPr>
                      <w:b/>
                      <w:szCs w:val="21"/>
                    </w:rPr>
                  </w:pPr>
                </w:p>
              </w:tc>
              <w:tc>
                <w:tcPr>
                  <w:tcW w:w="1496" w:type="pct"/>
                  <w:vMerge w:val="continue"/>
                  <w:vAlign w:val="center"/>
                </w:tcPr>
                <w:p>
                  <w:pPr>
                    <w:topLinePunct/>
                    <w:jc w:val="center"/>
                    <w:rPr>
                      <w:b/>
                      <w:szCs w:val="21"/>
                    </w:rPr>
                  </w:pPr>
                </w:p>
              </w:tc>
              <w:tc>
                <w:tcPr>
                  <w:tcW w:w="1044" w:type="pct"/>
                  <w:vAlign w:val="center"/>
                </w:tcPr>
                <w:p>
                  <w:pPr>
                    <w:topLinePunct/>
                    <w:jc w:val="center"/>
                    <w:rPr>
                      <w:b/>
                      <w:szCs w:val="21"/>
                    </w:rPr>
                  </w:pPr>
                  <w:r>
                    <w:rPr>
                      <w:b/>
                      <w:szCs w:val="21"/>
                    </w:rPr>
                    <w:t>昼间</w:t>
                  </w:r>
                </w:p>
              </w:tc>
              <w:tc>
                <w:tcPr>
                  <w:tcW w:w="1791" w:type="pct"/>
                  <w:vAlign w:val="center"/>
                </w:tcPr>
                <w:p>
                  <w:pPr>
                    <w:topLinePunct/>
                    <w:jc w:val="center"/>
                    <w:rPr>
                      <w:b/>
                      <w:szCs w:val="21"/>
                    </w:rPr>
                  </w:pPr>
                  <w:r>
                    <w:rPr>
                      <w:b/>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Merge w:val="restart"/>
                  <w:vAlign w:val="center"/>
                </w:tcPr>
                <w:p>
                  <w:pPr>
                    <w:topLinePunct/>
                    <w:jc w:val="center"/>
                    <w:rPr>
                      <w:bCs/>
                      <w:szCs w:val="21"/>
                    </w:rPr>
                  </w:pPr>
                  <w:r>
                    <w:rPr>
                      <w:bCs/>
                      <w:szCs w:val="21"/>
                    </w:rPr>
                    <w:t>4月11日</w:t>
                  </w:r>
                </w:p>
              </w:tc>
              <w:tc>
                <w:tcPr>
                  <w:tcW w:w="1496" w:type="pct"/>
                  <w:vAlign w:val="center"/>
                </w:tcPr>
                <w:p>
                  <w:pPr>
                    <w:topLinePunct/>
                    <w:jc w:val="center"/>
                    <w:rPr>
                      <w:bCs/>
                      <w:szCs w:val="21"/>
                    </w:rPr>
                  </w:pPr>
                  <w:r>
                    <w:rPr>
                      <w:bCs/>
                      <w:szCs w:val="21"/>
                    </w:rPr>
                    <w:t>N1庙</w:t>
                  </w:r>
                </w:p>
              </w:tc>
              <w:tc>
                <w:tcPr>
                  <w:tcW w:w="1044" w:type="pct"/>
                  <w:vAlign w:val="center"/>
                </w:tcPr>
                <w:p>
                  <w:pPr>
                    <w:topLinePunct/>
                    <w:jc w:val="center"/>
                    <w:rPr>
                      <w:bCs/>
                      <w:szCs w:val="21"/>
                    </w:rPr>
                  </w:pPr>
                  <w:r>
                    <w:rPr>
                      <w:bCs/>
                      <w:szCs w:val="21"/>
                    </w:rPr>
                    <w:t>52</w:t>
                  </w:r>
                </w:p>
              </w:tc>
              <w:tc>
                <w:tcPr>
                  <w:tcW w:w="1791" w:type="pct"/>
                  <w:vAlign w:val="center"/>
                </w:tcPr>
                <w:p>
                  <w:pPr>
                    <w:topLinePunct/>
                    <w:jc w:val="center"/>
                    <w:rPr>
                      <w:bCs/>
                      <w:szCs w:val="21"/>
                    </w:rPr>
                  </w:pPr>
                  <w:r>
                    <w:rPr>
                      <w:bCs/>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Merge w:val="continue"/>
                  <w:vAlign w:val="center"/>
                </w:tcPr>
                <w:p>
                  <w:pPr>
                    <w:topLinePunct/>
                    <w:jc w:val="center"/>
                    <w:rPr>
                      <w:bCs/>
                      <w:szCs w:val="21"/>
                    </w:rPr>
                  </w:pPr>
                </w:p>
              </w:tc>
              <w:tc>
                <w:tcPr>
                  <w:tcW w:w="1496" w:type="pct"/>
                  <w:vAlign w:val="center"/>
                </w:tcPr>
                <w:p>
                  <w:pPr>
                    <w:topLinePunct/>
                    <w:jc w:val="center"/>
                    <w:rPr>
                      <w:bCs/>
                      <w:szCs w:val="21"/>
                    </w:rPr>
                  </w:pPr>
                  <w:r>
                    <w:rPr>
                      <w:bCs/>
                      <w:szCs w:val="21"/>
                    </w:rPr>
                    <w:t>N2渭中森林管护站</w:t>
                  </w:r>
                </w:p>
              </w:tc>
              <w:tc>
                <w:tcPr>
                  <w:tcW w:w="1044" w:type="pct"/>
                  <w:vAlign w:val="center"/>
                </w:tcPr>
                <w:p>
                  <w:pPr>
                    <w:topLinePunct/>
                    <w:jc w:val="center"/>
                    <w:rPr>
                      <w:bCs/>
                      <w:szCs w:val="21"/>
                    </w:rPr>
                  </w:pPr>
                  <w:r>
                    <w:rPr>
                      <w:bCs/>
                      <w:szCs w:val="21"/>
                    </w:rPr>
                    <w:t>50</w:t>
                  </w:r>
                </w:p>
              </w:tc>
              <w:tc>
                <w:tcPr>
                  <w:tcW w:w="1791" w:type="pct"/>
                  <w:vAlign w:val="center"/>
                </w:tcPr>
                <w:p>
                  <w:pPr>
                    <w:topLinePunct/>
                    <w:jc w:val="center"/>
                    <w:rPr>
                      <w:bCs/>
                      <w:szCs w:val="21"/>
                    </w:rPr>
                  </w:pPr>
                  <w:r>
                    <w:rPr>
                      <w:bCs/>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5" w:type="pct"/>
                  <w:gridSpan w:val="2"/>
                  <w:vAlign w:val="center"/>
                </w:tcPr>
                <w:p>
                  <w:pPr>
                    <w:topLinePunct/>
                    <w:jc w:val="center"/>
                    <w:rPr>
                      <w:bCs/>
                      <w:szCs w:val="21"/>
                    </w:rPr>
                  </w:pPr>
                  <w:r>
                    <w:rPr>
                      <w:bCs/>
                      <w:szCs w:val="21"/>
                    </w:rPr>
                    <w:t>标准限值</w:t>
                  </w:r>
                </w:p>
              </w:tc>
              <w:tc>
                <w:tcPr>
                  <w:tcW w:w="1044" w:type="pct"/>
                  <w:vAlign w:val="center"/>
                </w:tcPr>
                <w:p>
                  <w:pPr>
                    <w:topLinePunct/>
                    <w:jc w:val="center"/>
                    <w:rPr>
                      <w:bCs/>
                      <w:szCs w:val="21"/>
                    </w:rPr>
                  </w:pPr>
                  <w:r>
                    <w:rPr>
                      <w:bCs/>
                      <w:szCs w:val="21"/>
                    </w:rPr>
                    <w:t>60</w:t>
                  </w:r>
                </w:p>
              </w:tc>
              <w:tc>
                <w:tcPr>
                  <w:tcW w:w="1791" w:type="pct"/>
                  <w:vAlign w:val="center"/>
                </w:tcPr>
                <w:p>
                  <w:pPr>
                    <w:topLinePunct/>
                    <w:jc w:val="center"/>
                    <w:rPr>
                      <w:bCs/>
                      <w:szCs w:val="21"/>
                    </w:rPr>
                  </w:pPr>
                  <w:r>
                    <w:rPr>
                      <w:bCs/>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vAlign w:val="center"/>
                </w:tcPr>
                <w:p>
                  <w:pPr>
                    <w:topLinePunct/>
                    <w:jc w:val="center"/>
                    <w:rPr>
                      <w:bCs/>
                      <w:szCs w:val="21"/>
                    </w:rPr>
                  </w:pPr>
                  <w:r>
                    <w:rPr>
                      <w:bCs/>
                      <w:szCs w:val="21"/>
                    </w:rPr>
                    <w:t>气象条件</w:t>
                  </w:r>
                </w:p>
              </w:tc>
              <w:tc>
                <w:tcPr>
                  <w:tcW w:w="4332" w:type="pct"/>
                  <w:gridSpan w:val="3"/>
                  <w:vAlign w:val="center"/>
                </w:tcPr>
                <w:p>
                  <w:pPr>
                    <w:topLinePunct/>
                    <w:jc w:val="center"/>
                    <w:rPr>
                      <w:bCs/>
                      <w:szCs w:val="21"/>
                    </w:rPr>
                  </w:pPr>
                  <w:r>
                    <w:t>04月11日昼间：晴，风速：1.8m/s；夜间：阴，风速：1.4m/s。</w:t>
                  </w:r>
                </w:p>
              </w:tc>
            </w:tr>
          </w:tbl>
          <w:p>
            <w:pPr>
              <w:adjustRightInd w:val="0"/>
              <w:snapToGrid w:val="0"/>
              <w:spacing w:line="360" w:lineRule="auto"/>
              <w:ind w:firstLine="480" w:firstLineChars="200"/>
              <w:rPr>
                <w:kern w:val="0"/>
                <w:sz w:val="24"/>
              </w:rPr>
            </w:pPr>
            <w:r>
              <w:rPr>
                <w:sz w:val="24"/>
              </w:rPr>
              <w:t>从表3-1可以看出，本项目拟建场地西侧庙和渭中森林管护站的昼间和夜间声环境质量现状监测值均符合《声环境质量标准》（GB3096-2008）中的2类标准值，项目所在区域声环境质量良好。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pPr>
              <w:adjustRightInd w:val="0"/>
              <w:snapToGrid w:val="0"/>
              <w:jc w:val="center"/>
              <w:rPr>
                <w:kern w:val="0"/>
                <w:sz w:val="24"/>
              </w:rPr>
            </w:pPr>
            <w:r>
              <w:rPr>
                <w:kern w:val="0"/>
                <w:sz w:val="24"/>
              </w:rPr>
              <w:t>环境</w:t>
            </w:r>
          </w:p>
          <w:p>
            <w:pPr>
              <w:adjustRightInd w:val="0"/>
              <w:snapToGrid w:val="0"/>
              <w:jc w:val="center"/>
              <w:rPr>
                <w:kern w:val="0"/>
                <w:sz w:val="24"/>
              </w:rPr>
            </w:pPr>
            <w:r>
              <w:rPr>
                <w:kern w:val="0"/>
                <w:sz w:val="24"/>
              </w:rPr>
              <w:t>保护</w:t>
            </w:r>
          </w:p>
          <w:p>
            <w:pPr>
              <w:adjustRightInd w:val="0"/>
              <w:snapToGrid w:val="0"/>
              <w:jc w:val="center"/>
              <w:rPr>
                <w:kern w:val="0"/>
                <w:sz w:val="24"/>
              </w:rPr>
            </w:pPr>
            <w:r>
              <w:rPr>
                <w:kern w:val="0"/>
                <w:sz w:val="24"/>
              </w:rPr>
              <w:t>目标</w:t>
            </w:r>
          </w:p>
        </w:tc>
        <w:tc>
          <w:tcPr>
            <w:tcW w:w="8190" w:type="dxa"/>
          </w:tcPr>
          <w:p>
            <w:pPr>
              <w:adjustRightInd w:val="0"/>
              <w:snapToGrid w:val="0"/>
              <w:spacing w:line="360" w:lineRule="auto"/>
              <w:ind w:firstLine="480" w:firstLineChars="200"/>
              <w:rPr>
                <w:kern w:val="0"/>
                <w:sz w:val="24"/>
              </w:rPr>
            </w:pPr>
            <w:r>
              <w:rPr>
                <w:kern w:val="0"/>
                <w:sz w:val="24"/>
              </w:rPr>
              <w:t>根据现场调查，项目周围500m范围内无自然保护区、风景名胜区、水源保护区等环境敏感区，厂界外50m范围内无声环境敏感目标。</w:t>
            </w:r>
          </w:p>
          <w:p>
            <w:pPr>
              <w:adjustRightInd w:val="0"/>
              <w:snapToGrid w:val="0"/>
              <w:spacing w:line="360" w:lineRule="auto"/>
              <w:ind w:firstLine="480" w:firstLineChars="200"/>
              <w:rPr>
                <w:kern w:val="0"/>
                <w:sz w:val="24"/>
              </w:rPr>
            </w:pPr>
            <w:r>
              <w:rPr>
                <w:kern w:val="0"/>
                <w:sz w:val="24"/>
              </w:rPr>
              <w:t>环境空气保护目标见</w:t>
            </w:r>
            <w:r>
              <w:rPr>
                <w:rFonts w:hint="eastAsia"/>
                <w:kern w:val="0"/>
                <w:sz w:val="24"/>
              </w:rPr>
              <w:t>下表，</w:t>
            </w:r>
            <w:r>
              <w:rPr>
                <w:kern w:val="0"/>
                <w:sz w:val="24"/>
              </w:rPr>
              <w:t>见附图</w:t>
            </w:r>
            <w:r>
              <w:rPr>
                <w:rFonts w:hint="eastAsia"/>
                <w:kern w:val="0"/>
                <w:sz w:val="24"/>
              </w:rPr>
              <w:t>16</w:t>
            </w:r>
            <w:r>
              <w:rPr>
                <w:kern w:val="0"/>
                <w:sz w:val="24"/>
              </w:rPr>
              <w:t>。</w:t>
            </w:r>
          </w:p>
          <w:p>
            <w:pPr>
              <w:adjustRightInd w:val="0"/>
              <w:snapToGrid w:val="0"/>
              <w:ind w:firstLine="482"/>
              <w:jc w:val="center"/>
              <w:rPr>
                <w:b/>
                <w:sz w:val="24"/>
              </w:rPr>
            </w:pPr>
            <w:r>
              <w:rPr>
                <w:rFonts w:hint="eastAsia"/>
                <w:b/>
                <w:sz w:val="24"/>
              </w:rPr>
              <w:t>表</w:t>
            </w:r>
            <w:r>
              <w:rPr>
                <w:b/>
                <w:sz w:val="24"/>
              </w:rPr>
              <w:t xml:space="preserve">3-4  </w:t>
            </w:r>
            <w:r>
              <w:rPr>
                <w:rFonts w:hint="eastAsia"/>
                <w:b/>
                <w:sz w:val="24"/>
              </w:rPr>
              <w:t>大气环境保护目标表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22"/>
              <w:gridCol w:w="1027"/>
              <w:gridCol w:w="950"/>
              <w:gridCol w:w="1959"/>
              <w:gridCol w:w="680"/>
              <w:gridCol w:w="1143"/>
              <w:gridCol w:w="992"/>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b/>
                      <w:bCs/>
                      <w:szCs w:val="21"/>
                    </w:rPr>
                  </w:pPr>
                  <w:r>
                    <w:rPr>
                      <w:rFonts w:hint="eastAsia"/>
                      <w:b/>
                      <w:bCs/>
                      <w:szCs w:val="21"/>
                    </w:rPr>
                    <w:t>名称</w:t>
                  </w:r>
                </w:p>
              </w:tc>
              <w:tc>
                <w:tcPr>
                  <w:tcW w:w="1188"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b/>
                      <w:bCs/>
                      <w:szCs w:val="21"/>
                    </w:rPr>
                  </w:pPr>
                  <w:r>
                    <w:rPr>
                      <w:rFonts w:hint="eastAsia"/>
                      <w:b/>
                      <w:bCs/>
                      <w:szCs w:val="21"/>
                    </w:rPr>
                    <w:t>坐标</w:t>
                  </w:r>
                </w:p>
              </w:tc>
              <w:tc>
                <w:tcPr>
                  <w:tcW w:w="1155"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b/>
                      <w:bCs/>
                      <w:szCs w:val="21"/>
                    </w:rPr>
                  </w:pPr>
                  <w:r>
                    <w:rPr>
                      <w:rFonts w:hint="eastAsia"/>
                      <w:b/>
                      <w:bCs/>
                      <w:szCs w:val="21"/>
                    </w:rPr>
                    <w:t>保护</w:t>
                  </w:r>
                </w:p>
                <w:p>
                  <w:pPr>
                    <w:widowControl/>
                    <w:adjustRightInd w:val="0"/>
                    <w:snapToGrid w:val="0"/>
                    <w:jc w:val="center"/>
                    <w:rPr>
                      <w:b/>
                      <w:bCs/>
                      <w:szCs w:val="21"/>
                    </w:rPr>
                  </w:pPr>
                  <w:r>
                    <w:rPr>
                      <w:rFonts w:hint="eastAsia"/>
                      <w:b/>
                      <w:bCs/>
                      <w:szCs w:val="21"/>
                    </w:rPr>
                    <w:t>对象</w:t>
                  </w:r>
                </w:p>
              </w:tc>
              <w:tc>
                <w:tcPr>
                  <w:tcW w:w="402"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b/>
                      <w:bCs/>
                      <w:szCs w:val="21"/>
                    </w:rPr>
                  </w:pPr>
                  <w:r>
                    <w:rPr>
                      <w:rFonts w:hint="eastAsia"/>
                      <w:b/>
                      <w:bCs/>
                      <w:szCs w:val="21"/>
                    </w:rPr>
                    <w:t>保护内容</w:t>
                  </w:r>
                </w:p>
              </w:tc>
              <w:tc>
                <w:tcPr>
                  <w:tcW w:w="675"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b/>
                      <w:bCs/>
                      <w:szCs w:val="21"/>
                    </w:rPr>
                  </w:pPr>
                  <w:r>
                    <w:rPr>
                      <w:rFonts w:hint="eastAsia"/>
                      <w:b/>
                      <w:bCs/>
                      <w:szCs w:val="21"/>
                    </w:rPr>
                    <w:t>环境功能区</w:t>
                  </w:r>
                </w:p>
              </w:tc>
              <w:tc>
                <w:tcPr>
                  <w:tcW w:w="585"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b/>
                      <w:bCs/>
                      <w:szCs w:val="21"/>
                    </w:rPr>
                  </w:pPr>
                  <w:r>
                    <w:rPr>
                      <w:rFonts w:hint="eastAsia"/>
                      <w:b/>
                      <w:bCs/>
                      <w:szCs w:val="21"/>
                    </w:rPr>
                    <w:t>相对厂址方位</w:t>
                  </w:r>
                </w:p>
              </w:tc>
              <w:tc>
                <w:tcPr>
                  <w:tcW w:w="687"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b/>
                      <w:bCs/>
                      <w:szCs w:val="21"/>
                    </w:rPr>
                  </w:pPr>
                  <w:r>
                    <w:rPr>
                      <w:rFonts w:hint="eastAsia"/>
                      <w:b/>
                      <w:bCs/>
                      <w:szCs w:val="21"/>
                    </w:rPr>
                    <w:t>相对厂界距离</w:t>
                  </w:r>
                  <w:r>
                    <w:rPr>
                      <w:b/>
                      <w:bCs/>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1"/>
                    </w:rPr>
                  </w:pP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b/>
                      <w:bCs/>
                      <w:szCs w:val="21"/>
                    </w:rPr>
                  </w:pPr>
                  <w:r>
                    <w:rPr>
                      <w:rFonts w:hint="eastAsia"/>
                      <w:b/>
                      <w:bCs/>
                      <w:szCs w:val="21"/>
                    </w:rPr>
                    <w:t>经度</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b/>
                      <w:bCs/>
                      <w:szCs w:val="21"/>
                    </w:rPr>
                  </w:pPr>
                  <w:r>
                    <w:rPr>
                      <w:rFonts w:hint="eastAsia"/>
                      <w:b/>
                      <w:bCs/>
                      <w:szCs w:val="21"/>
                    </w:rPr>
                    <w:t>纬度</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康家堡</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108.246609027</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34.213265565</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230</w:t>
                  </w:r>
                  <w:r>
                    <w:rPr>
                      <w:rFonts w:hint="eastAsia"/>
                      <w:szCs w:val="21"/>
                    </w:rPr>
                    <w:t>户，约</w:t>
                  </w:r>
                  <w:r>
                    <w:rPr>
                      <w:szCs w:val="21"/>
                    </w:rPr>
                    <w:t>575</w:t>
                  </w:r>
                  <w:r>
                    <w:rPr>
                      <w:rFonts w:hint="eastAsia"/>
                      <w:szCs w:val="21"/>
                    </w:rPr>
                    <w:t>人）</w:t>
                  </w:r>
                </w:p>
              </w:tc>
              <w:tc>
                <w:tcPr>
                  <w:tcW w:w="402" w:type="pct"/>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21"/>
                    </w:rPr>
                  </w:pPr>
                  <w:r>
                    <w:rPr>
                      <w:rFonts w:hint="eastAsia"/>
                      <w:szCs w:val="21"/>
                    </w:rPr>
                    <w:t>大气环境</w:t>
                  </w:r>
                </w:p>
              </w:tc>
              <w:tc>
                <w:tcPr>
                  <w:tcW w:w="675"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环境空气二类区</w:t>
                  </w: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朱家堡</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108.254552389</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34.213744339</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170</w:t>
                  </w:r>
                  <w:r>
                    <w:rPr>
                      <w:rFonts w:hint="eastAsia"/>
                      <w:szCs w:val="21"/>
                    </w:rPr>
                    <w:t>户，约</w:t>
                  </w:r>
                  <w:r>
                    <w:rPr>
                      <w:szCs w:val="21"/>
                    </w:rPr>
                    <w:t>425</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东北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2247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黄家堡</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108.255976642</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34.215309408</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320</w:t>
                  </w:r>
                  <w:r>
                    <w:rPr>
                      <w:rFonts w:hint="eastAsia"/>
                      <w:szCs w:val="21"/>
                    </w:rPr>
                    <w:t>户，约</w:t>
                  </w:r>
                  <w:r>
                    <w:rPr>
                      <w:szCs w:val="21"/>
                    </w:rPr>
                    <w:t>800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东北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2477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田家堡</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108.253366852</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34.215509233</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150</w:t>
                  </w:r>
                  <w:r>
                    <w:rPr>
                      <w:rFonts w:hint="eastAsia"/>
                      <w:szCs w:val="21"/>
                    </w:rPr>
                    <w:t>户，约</w:t>
                  </w:r>
                  <w:r>
                    <w:rPr>
                      <w:szCs w:val="21"/>
                    </w:rPr>
                    <w:t>375</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东北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2362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瓦子岗</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108.263669217</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34.215652731</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140</w:t>
                  </w:r>
                  <w:r>
                    <w:rPr>
                      <w:rFonts w:hint="eastAsia"/>
                      <w:szCs w:val="21"/>
                    </w:rPr>
                    <w:t>户，约</w:t>
                  </w:r>
                  <w:r>
                    <w:rPr>
                      <w:szCs w:val="21"/>
                    </w:rPr>
                    <w:t>350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东北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2932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渭中村</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108.240789974</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34.190622356</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250</w:t>
                  </w:r>
                  <w:r>
                    <w:rPr>
                      <w:rFonts w:hint="eastAsia"/>
                      <w:szCs w:val="21"/>
                    </w:rPr>
                    <w:t>户，约</w:t>
                  </w:r>
                  <w:r>
                    <w:rPr>
                      <w:szCs w:val="21"/>
                    </w:rPr>
                    <w:t>630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南寨号</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108.238781000</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34.188039389</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90</w:t>
                  </w:r>
                  <w:r>
                    <w:rPr>
                      <w:rFonts w:hint="eastAsia"/>
                      <w:szCs w:val="21"/>
                    </w:rPr>
                    <w:t>户，约</w:t>
                  </w:r>
                  <w:r>
                    <w:rPr>
                      <w:szCs w:val="21"/>
                    </w:rPr>
                    <w:t>250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普吉号</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108.231148774</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34.189616528</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150</w:t>
                  </w:r>
                  <w:r>
                    <w:rPr>
                      <w:rFonts w:hint="eastAsia"/>
                      <w:szCs w:val="21"/>
                    </w:rPr>
                    <w:t>户，约</w:t>
                  </w:r>
                  <w:r>
                    <w:rPr>
                      <w:szCs w:val="21"/>
                    </w:rPr>
                    <w:t>370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西南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洪凉号</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108.220393116</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34.190952268</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200</w:t>
                  </w:r>
                  <w:r>
                    <w:rPr>
                      <w:rFonts w:hint="eastAsia"/>
                      <w:szCs w:val="21"/>
                    </w:rPr>
                    <w:t>户，约</w:t>
                  </w:r>
                  <w:r>
                    <w:rPr>
                      <w:szCs w:val="21"/>
                    </w:rPr>
                    <w:t>500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西南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高寨号</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108.222841972</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34.179755387</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500</w:t>
                  </w:r>
                  <w:r>
                    <w:rPr>
                      <w:rFonts w:hint="eastAsia"/>
                      <w:szCs w:val="21"/>
                    </w:rPr>
                    <w:t>户，约</w:t>
                  </w:r>
                  <w:r>
                    <w:rPr>
                      <w:szCs w:val="21"/>
                    </w:rPr>
                    <w:t>1300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西南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2267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渭泉村</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108.216308111</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34.187549886</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240</w:t>
                  </w:r>
                  <w:r>
                    <w:rPr>
                      <w:rFonts w:hint="eastAsia"/>
                      <w:szCs w:val="21"/>
                    </w:rPr>
                    <w:t>户，约</w:t>
                  </w:r>
                  <w:r>
                    <w:rPr>
                      <w:szCs w:val="21"/>
                    </w:rPr>
                    <w:t>600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西南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正村号</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108.235510046</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34.185624060</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250</w:t>
                  </w:r>
                  <w:r>
                    <w:rPr>
                      <w:rFonts w:hint="eastAsia"/>
                      <w:szCs w:val="21"/>
                    </w:rPr>
                    <w:t>户，约</w:t>
                  </w:r>
                  <w:r>
                    <w:rPr>
                      <w:szCs w:val="21"/>
                    </w:rPr>
                    <w:t>630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西南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西南社</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108.227425868</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34.179153231</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100</w:t>
                  </w:r>
                  <w:r>
                    <w:rPr>
                      <w:rFonts w:hint="eastAsia"/>
                      <w:szCs w:val="21"/>
                    </w:rPr>
                    <w:t>户，约</w:t>
                  </w:r>
                  <w:r>
                    <w:rPr>
                      <w:szCs w:val="21"/>
                    </w:rPr>
                    <w:t>250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西南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2046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孙家号</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108.238449747</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34.185951289</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120</w:t>
                  </w:r>
                  <w:r>
                    <w:rPr>
                      <w:rFonts w:hint="eastAsia"/>
                      <w:szCs w:val="21"/>
                    </w:rPr>
                    <w:t>户，约</w:t>
                  </w:r>
                  <w:r>
                    <w:rPr>
                      <w:szCs w:val="21"/>
                    </w:rPr>
                    <w:t>270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康家号</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108.244384134</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34.183939633</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100</w:t>
                  </w:r>
                  <w:r>
                    <w:rPr>
                      <w:rFonts w:hint="eastAsia"/>
                      <w:szCs w:val="21"/>
                    </w:rPr>
                    <w:t>户，约</w:t>
                  </w:r>
                  <w:r>
                    <w:rPr>
                      <w:szCs w:val="21"/>
                    </w:rPr>
                    <w:t>250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东南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朱田号</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108.250789249</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34.189341602</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130</w:t>
                  </w:r>
                  <w:r>
                    <w:rPr>
                      <w:rFonts w:hint="eastAsia"/>
                      <w:szCs w:val="21"/>
                    </w:rPr>
                    <w:t>户，约</w:t>
                  </w:r>
                  <w:r>
                    <w:rPr>
                      <w:szCs w:val="21"/>
                    </w:rPr>
                    <w:t>330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东南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黄家号</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108.256116116</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34.188928541</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200</w:t>
                  </w:r>
                  <w:r>
                    <w:rPr>
                      <w:rFonts w:hint="eastAsia"/>
                      <w:szCs w:val="21"/>
                    </w:rPr>
                    <w:t>户，约</w:t>
                  </w:r>
                  <w:r>
                    <w:rPr>
                      <w:szCs w:val="21"/>
                    </w:rPr>
                    <w:t>500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东南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渭友村</w:t>
                  </w:r>
                </w:p>
              </w:tc>
              <w:tc>
                <w:tcPr>
                  <w:tcW w:w="6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108.259699548</w:t>
                  </w:r>
                </w:p>
              </w:tc>
              <w:tc>
                <w:tcPr>
                  <w:tcW w:w="58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34.183290538</w:t>
                  </w:r>
                </w:p>
              </w:tc>
              <w:tc>
                <w:tcPr>
                  <w:tcW w:w="115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居民（</w:t>
                  </w:r>
                  <w:r>
                    <w:rPr>
                      <w:szCs w:val="21"/>
                    </w:rPr>
                    <w:t>340</w:t>
                  </w:r>
                  <w:r>
                    <w:rPr>
                      <w:rFonts w:hint="eastAsia"/>
                      <w:szCs w:val="21"/>
                    </w:rPr>
                    <w:t>户，约</w:t>
                  </w:r>
                  <w:r>
                    <w:rPr>
                      <w:szCs w:val="21"/>
                    </w:rPr>
                    <w:t>850</w:t>
                  </w:r>
                  <w:r>
                    <w:rPr>
                      <w:rFonts w:hint="eastAsia"/>
                      <w:szCs w:val="21"/>
                    </w:rPr>
                    <w:t>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585"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rFonts w:hint="eastAsia"/>
                      <w:szCs w:val="21"/>
                    </w:rPr>
                    <w:t>东南</w:t>
                  </w:r>
                </w:p>
              </w:tc>
              <w:tc>
                <w:tcPr>
                  <w:tcW w:w="68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Cs w:val="21"/>
                    </w:rPr>
                  </w:pPr>
                  <w:r>
                    <w:rPr>
                      <w:szCs w:val="21"/>
                    </w:rPr>
                    <w:t>2144</w:t>
                  </w:r>
                </w:p>
              </w:tc>
            </w:tr>
          </w:tbl>
          <w:p>
            <w:pPr>
              <w:adjustRightInd w:val="0"/>
              <w:snapToGrid w:val="0"/>
              <w:spacing w:line="360" w:lineRule="auto"/>
              <w:ind w:firstLine="480" w:firstLineChars="200"/>
              <w:rPr>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00" w:type="dxa"/>
            <w:tcMar>
              <w:left w:w="28" w:type="dxa"/>
              <w:right w:w="28" w:type="dxa"/>
            </w:tcMar>
            <w:vAlign w:val="center"/>
          </w:tcPr>
          <w:p>
            <w:pPr>
              <w:adjustRightInd w:val="0"/>
              <w:snapToGrid w:val="0"/>
              <w:jc w:val="center"/>
              <w:rPr>
                <w:kern w:val="0"/>
                <w:sz w:val="24"/>
              </w:rPr>
            </w:pPr>
            <w:r>
              <w:rPr>
                <w:kern w:val="0"/>
                <w:sz w:val="24"/>
              </w:rPr>
              <w:t>污染</w:t>
            </w:r>
          </w:p>
          <w:p>
            <w:pPr>
              <w:adjustRightInd w:val="0"/>
              <w:snapToGrid w:val="0"/>
              <w:jc w:val="center"/>
              <w:rPr>
                <w:kern w:val="0"/>
                <w:sz w:val="24"/>
              </w:rPr>
            </w:pPr>
            <w:r>
              <w:rPr>
                <w:kern w:val="0"/>
                <w:sz w:val="24"/>
              </w:rPr>
              <w:t>物排</w:t>
            </w:r>
          </w:p>
          <w:p>
            <w:pPr>
              <w:adjustRightInd w:val="0"/>
              <w:snapToGrid w:val="0"/>
              <w:jc w:val="center"/>
              <w:rPr>
                <w:kern w:val="0"/>
                <w:sz w:val="24"/>
              </w:rPr>
            </w:pPr>
            <w:r>
              <w:rPr>
                <w:kern w:val="0"/>
                <w:sz w:val="24"/>
              </w:rPr>
              <w:t>放控</w:t>
            </w:r>
          </w:p>
          <w:p>
            <w:pPr>
              <w:adjustRightInd w:val="0"/>
              <w:snapToGrid w:val="0"/>
              <w:jc w:val="center"/>
              <w:rPr>
                <w:kern w:val="0"/>
                <w:sz w:val="24"/>
              </w:rPr>
            </w:pPr>
            <w:r>
              <w:rPr>
                <w:kern w:val="0"/>
                <w:sz w:val="24"/>
              </w:rPr>
              <w:t>制标</w:t>
            </w:r>
          </w:p>
          <w:p>
            <w:pPr>
              <w:adjustRightInd w:val="0"/>
              <w:snapToGrid w:val="0"/>
              <w:jc w:val="center"/>
              <w:rPr>
                <w:kern w:val="0"/>
                <w:sz w:val="24"/>
              </w:rPr>
            </w:pPr>
            <w:r>
              <w:rPr>
                <w:kern w:val="0"/>
                <w:sz w:val="24"/>
              </w:rPr>
              <w:t>准</w:t>
            </w:r>
          </w:p>
        </w:tc>
        <w:tc>
          <w:tcPr>
            <w:tcW w:w="8190" w:type="dxa"/>
            <w:vAlign w:val="center"/>
          </w:tcPr>
          <w:p>
            <w:pPr>
              <w:spacing w:line="324" w:lineRule="auto"/>
              <w:ind w:firstLine="482" w:firstLineChars="200"/>
              <w:rPr>
                <w:b/>
                <w:sz w:val="24"/>
              </w:rPr>
            </w:pPr>
            <w:r>
              <w:rPr>
                <w:b/>
                <w:sz w:val="24"/>
              </w:rPr>
              <w:t>1、施工期污染物排放标准</w:t>
            </w:r>
          </w:p>
          <w:p>
            <w:pPr>
              <w:spacing w:line="324" w:lineRule="auto"/>
              <w:ind w:firstLine="480" w:firstLineChars="200"/>
              <w:rPr>
                <w:sz w:val="24"/>
              </w:rPr>
            </w:pPr>
            <w:r>
              <w:rPr>
                <w:sz w:val="24"/>
              </w:rPr>
              <w:t>（1）施工期扬尘执行《施工场界扬尘排放限值》（DB61/1078-2017）中的浓度限值，见表3-5。</w:t>
            </w:r>
          </w:p>
          <w:p>
            <w:pPr>
              <w:jc w:val="center"/>
              <w:rPr>
                <w:b/>
                <w:bCs/>
                <w:sz w:val="24"/>
              </w:rPr>
            </w:pPr>
            <w:r>
              <w:rPr>
                <w:b/>
                <w:bCs/>
                <w:sz w:val="24"/>
              </w:rPr>
              <w:t>表3-5施工场界扬尘（总悬浮颗粒物）浓度限值</w:t>
            </w:r>
          </w:p>
          <w:tbl>
            <w:tblPr>
              <w:tblStyle w:val="17"/>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796"/>
              <w:gridCol w:w="1204"/>
              <w:gridCol w:w="3000"/>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44" w:type="pct"/>
                  <w:vAlign w:val="center"/>
                </w:tcPr>
                <w:p>
                  <w:pPr>
                    <w:snapToGrid w:val="0"/>
                    <w:jc w:val="center"/>
                    <w:rPr>
                      <w:b/>
                      <w:szCs w:val="21"/>
                    </w:rPr>
                  </w:pPr>
                  <w:r>
                    <w:rPr>
                      <w:b/>
                      <w:szCs w:val="21"/>
                    </w:rPr>
                    <w:t>序号</w:t>
                  </w:r>
                </w:p>
              </w:tc>
              <w:tc>
                <w:tcPr>
                  <w:tcW w:w="1068" w:type="pct"/>
                  <w:vAlign w:val="center"/>
                </w:tcPr>
                <w:p>
                  <w:pPr>
                    <w:snapToGrid w:val="0"/>
                    <w:jc w:val="center"/>
                    <w:rPr>
                      <w:b/>
                      <w:szCs w:val="21"/>
                    </w:rPr>
                  </w:pPr>
                  <w:r>
                    <w:rPr>
                      <w:b/>
                      <w:szCs w:val="21"/>
                    </w:rPr>
                    <w:t>污染物</w:t>
                  </w:r>
                </w:p>
              </w:tc>
              <w:tc>
                <w:tcPr>
                  <w:tcW w:w="716" w:type="pct"/>
                  <w:vAlign w:val="center"/>
                </w:tcPr>
                <w:p>
                  <w:pPr>
                    <w:snapToGrid w:val="0"/>
                    <w:jc w:val="center"/>
                    <w:rPr>
                      <w:b/>
                      <w:szCs w:val="21"/>
                    </w:rPr>
                  </w:pPr>
                  <w:r>
                    <w:rPr>
                      <w:b/>
                      <w:szCs w:val="21"/>
                    </w:rPr>
                    <w:t>监控点</w:t>
                  </w:r>
                </w:p>
              </w:tc>
              <w:tc>
                <w:tcPr>
                  <w:tcW w:w="1784" w:type="pct"/>
                  <w:vAlign w:val="center"/>
                </w:tcPr>
                <w:p>
                  <w:pPr>
                    <w:snapToGrid w:val="0"/>
                    <w:jc w:val="center"/>
                    <w:rPr>
                      <w:b/>
                      <w:szCs w:val="21"/>
                    </w:rPr>
                  </w:pPr>
                  <w:r>
                    <w:rPr>
                      <w:b/>
                      <w:szCs w:val="21"/>
                    </w:rPr>
                    <w:t>施工阶段</w:t>
                  </w:r>
                </w:p>
              </w:tc>
              <w:tc>
                <w:tcPr>
                  <w:tcW w:w="1088" w:type="pct"/>
                  <w:vAlign w:val="center"/>
                </w:tcPr>
                <w:p>
                  <w:pPr>
                    <w:snapToGrid w:val="0"/>
                    <w:jc w:val="center"/>
                    <w:rPr>
                      <w:b/>
                      <w:szCs w:val="21"/>
                    </w:rPr>
                  </w:pPr>
                  <w:r>
                    <w:rPr>
                      <w:b/>
                      <w:szCs w:val="21"/>
                    </w:rPr>
                    <w:t>小时平均浓度限值（mg/m</w:t>
                  </w:r>
                  <w:r>
                    <w:rPr>
                      <w:b/>
                      <w:szCs w:val="21"/>
                      <w:vertAlign w:val="superscript"/>
                    </w:rPr>
                    <w:t>3</w:t>
                  </w:r>
                  <w:r>
                    <w:rPr>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44" w:type="pct"/>
                  <w:vAlign w:val="center"/>
                </w:tcPr>
                <w:p>
                  <w:pPr>
                    <w:snapToGrid w:val="0"/>
                    <w:jc w:val="center"/>
                    <w:rPr>
                      <w:szCs w:val="21"/>
                    </w:rPr>
                  </w:pPr>
                  <w:r>
                    <w:rPr>
                      <w:szCs w:val="21"/>
                    </w:rPr>
                    <w:t>1</w:t>
                  </w:r>
                </w:p>
              </w:tc>
              <w:tc>
                <w:tcPr>
                  <w:tcW w:w="1068" w:type="pct"/>
                  <w:vMerge w:val="restart"/>
                  <w:vAlign w:val="center"/>
                </w:tcPr>
                <w:p>
                  <w:pPr>
                    <w:snapToGrid w:val="0"/>
                    <w:ind w:left="-105" w:leftChars="-50" w:right="-105" w:rightChars="-50"/>
                    <w:jc w:val="center"/>
                    <w:rPr>
                      <w:szCs w:val="21"/>
                    </w:rPr>
                  </w:pPr>
                  <w:r>
                    <w:rPr>
                      <w:szCs w:val="21"/>
                    </w:rPr>
                    <w:t>施工扬尘（即总悬浮颗粒物TSP）</w:t>
                  </w:r>
                </w:p>
              </w:tc>
              <w:tc>
                <w:tcPr>
                  <w:tcW w:w="716" w:type="pct"/>
                  <w:vMerge w:val="restart"/>
                  <w:vAlign w:val="center"/>
                </w:tcPr>
                <w:p>
                  <w:pPr>
                    <w:snapToGrid w:val="0"/>
                    <w:ind w:left="-105" w:leftChars="-50" w:right="-105" w:rightChars="-50"/>
                    <w:jc w:val="center"/>
                    <w:rPr>
                      <w:szCs w:val="21"/>
                    </w:rPr>
                  </w:pPr>
                  <w:r>
                    <w:rPr>
                      <w:szCs w:val="21"/>
                    </w:rPr>
                    <w:t>周界外浓度最高点</w:t>
                  </w:r>
                  <w:r>
                    <w:rPr>
                      <w:szCs w:val="21"/>
                      <w:vertAlign w:val="superscript"/>
                    </w:rPr>
                    <w:t>a</w:t>
                  </w:r>
                </w:p>
              </w:tc>
              <w:tc>
                <w:tcPr>
                  <w:tcW w:w="1784" w:type="pct"/>
                  <w:vAlign w:val="center"/>
                </w:tcPr>
                <w:p>
                  <w:pPr>
                    <w:snapToGrid w:val="0"/>
                    <w:jc w:val="center"/>
                    <w:rPr>
                      <w:szCs w:val="21"/>
                    </w:rPr>
                  </w:pPr>
                  <w:r>
                    <w:rPr>
                      <w:szCs w:val="21"/>
                    </w:rPr>
                    <w:t>拆除、土方及地基处理工程</w:t>
                  </w:r>
                </w:p>
              </w:tc>
              <w:tc>
                <w:tcPr>
                  <w:tcW w:w="1088" w:type="pct"/>
                  <w:vAlign w:val="center"/>
                </w:tcPr>
                <w:p>
                  <w:pPr>
                    <w:snapToGrid w:val="0"/>
                    <w:jc w:val="center"/>
                    <w:rPr>
                      <w:szCs w:val="21"/>
                    </w:rPr>
                  </w:pPr>
                  <w:r>
                    <w:rPr>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44" w:type="pct"/>
                  <w:vAlign w:val="center"/>
                </w:tcPr>
                <w:p>
                  <w:pPr>
                    <w:snapToGrid w:val="0"/>
                    <w:jc w:val="center"/>
                    <w:rPr>
                      <w:szCs w:val="21"/>
                    </w:rPr>
                  </w:pPr>
                  <w:r>
                    <w:rPr>
                      <w:szCs w:val="21"/>
                    </w:rPr>
                    <w:t>2</w:t>
                  </w:r>
                </w:p>
              </w:tc>
              <w:tc>
                <w:tcPr>
                  <w:tcW w:w="1068" w:type="pct"/>
                  <w:vMerge w:val="continue"/>
                  <w:vAlign w:val="center"/>
                </w:tcPr>
                <w:p>
                  <w:pPr>
                    <w:snapToGrid w:val="0"/>
                    <w:jc w:val="center"/>
                    <w:rPr>
                      <w:szCs w:val="21"/>
                    </w:rPr>
                  </w:pPr>
                </w:p>
              </w:tc>
              <w:tc>
                <w:tcPr>
                  <w:tcW w:w="716" w:type="pct"/>
                  <w:vMerge w:val="continue"/>
                  <w:vAlign w:val="center"/>
                </w:tcPr>
                <w:p>
                  <w:pPr>
                    <w:snapToGrid w:val="0"/>
                    <w:jc w:val="center"/>
                    <w:rPr>
                      <w:szCs w:val="21"/>
                    </w:rPr>
                  </w:pPr>
                </w:p>
              </w:tc>
              <w:tc>
                <w:tcPr>
                  <w:tcW w:w="1784" w:type="pct"/>
                  <w:vAlign w:val="center"/>
                </w:tcPr>
                <w:p>
                  <w:pPr>
                    <w:snapToGrid w:val="0"/>
                    <w:jc w:val="center"/>
                    <w:rPr>
                      <w:szCs w:val="21"/>
                    </w:rPr>
                  </w:pPr>
                  <w:r>
                    <w:rPr>
                      <w:szCs w:val="21"/>
                    </w:rPr>
                    <w:t>基础、主体结构及装饰工程</w:t>
                  </w:r>
                </w:p>
              </w:tc>
              <w:tc>
                <w:tcPr>
                  <w:tcW w:w="1088" w:type="pct"/>
                  <w:vAlign w:val="center"/>
                </w:tcPr>
                <w:p>
                  <w:pPr>
                    <w:snapToGrid w:val="0"/>
                    <w:jc w:val="center"/>
                    <w:rPr>
                      <w:szCs w:val="21"/>
                    </w:rPr>
                  </w:pPr>
                  <w:r>
                    <w:rPr>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000" w:type="pct"/>
                  <w:gridSpan w:val="5"/>
                  <w:vAlign w:val="center"/>
                </w:tcPr>
                <w:p>
                  <w:pPr>
                    <w:snapToGrid w:val="0"/>
                    <w:ind w:left="-105" w:leftChars="-50" w:right="-105" w:rightChars="-50"/>
                    <w:rPr>
                      <w:szCs w:val="21"/>
                    </w:rPr>
                  </w:pPr>
                  <w:r>
                    <w:rPr>
                      <w:szCs w:val="21"/>
                      <w:vertAlign w:val="superscript"/>
                    </w:rPr>
                    <w:t>a</w:t>
                  </w:r>
                  <w:r>
                    <w:rPr>
                      <w:szCs w:val="21"/>
                    </w:rPr>
                    <w:t>周界外浓度最高点一般应设置于无组织排放源下风向的单位周界外10m范围内，若预计无组织排放的最大落地浓度超出10m范围，可将监控点移至该预计浓度最高点附近。</w:t>
                  </w:r>
                </w:p>
              </w:tc>
            </w:tr>
          </w:tbl>
          <w:p>
            <w:pPr>
              <w:spacing w:line="324" w:lineRule="auto"/>
              <w:ind w:firstLine="480" w:firstLineChars="200"/>
              <w:rPr>
                <w:sz w:val="24"/>
              </w:rPr>
            </w:pPr>
            <w:r>
              <w:rPr>
                <w:sz w:val="24"/>
              </w:rPr>
              <w:t>（2）施工期场界噪声执行《建筑施工场界环境噪声排放标准》（GB12523-2011）中的排放限值，见表3-6。</w:t>
            </w:r>
          </w:p>
          <w:p>
            <w:pPr>
              <w:jc w:val="center"/>
              <w:rPr>
                <w:b/>
                <w:bCs/>
                <w:sz w:val="24"/>
              </w:rPr>
            </w:pPr>
            <w:r>
              <w:rPr>
                <w:b/>
                <w:bCs/>
                <w:sz w:val="24"/>
              </w:rPr>
              <w:t>表3-6噪声排放标准单位：dB</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003"/>
              <w:gridCol w:w="6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3" w:type="pct"/>
                  <w:vAlign w:val="center"/>
                </w:tcPr>
                <w:p>
                  <w:pPr>
                    <w:jc w:val="center"/>
                    <w:rPr>
                      <w:b/>
                      <w:szCs w:val="21"/>
                    </w:rPr>
                  </w:pPr>
                  <w:r>
                    <w:rPr>
                      <w:b/>
                      <w:szCs w:val="21"/>
                    </w:rPr>
                    <w:t>昼间</w:t>
                  </w:r>
                </w:p>
              </w:tc>
              <w:tc>
                <w:tcPr>
                  <w:tcW w:w="594" w:type="pct"/>
                  <w:vAlign w:val="center"/>
                </w:tcPr>
                <w:p>
                  <w:pPr>
                    <w:jc w:val="center"/>
                    <w:rPr>
                      <w:b/>
                      <w:szCs w:val="21"/>
                    </w:rPr>
                  </w:pPr>
                  <w:r>
                    <w:rPr>
                      <w:b/>
                      <w:szCs w:val="21"/>
                    </w:rPr>
                    <w:t>夜间</w:t>
                  </w:r>
                </w:p>
              </w:tc>
              <w:tc>
                <w:tcPr>
                  <w:tcW w:w="3813" w:type="pct"/>
                  <w:vAlign w:val="center"/>
                </w:tcPr>
                <w:p>
                  <w:pPr>
                    <w:jc w:val="center"/>
                    <w:rPr>
                      <w:b/>
                      <w:szCs w:val="21"/>
                    </w:rPr>
                  </w:pPr>
                  <w:r>
                    <w:rPr>
                      <w:b/>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3" w:type="pct"/>
                  <w:vAlign w:val="center"/>
                </w:tcPr>
                <w:p>
                  <w:pPr>
                    <w:jc w:val="center"/>
                    <w:rPr>
                      <w:szCs w:val="21"/>
                    </w:rPr>
                  </w:pPr>
                  <w:r>
                    <w:rPr>
                      <w:szCs w:val="21"/>
                    </w:rPr>
                    <w:t>70</w:t>
                  </w:r>
                </w:p>
              </w:tc>
              <w:tc>
                <w:tcPr>
                  <w:tcW w:w="594" w:type="pct"/>
                  <w:vAlign w:val="center"/>
                </w:tcPr>
                <w:p>
                  <w:pPr>
                    <w:jc w:val="center"/>
                    <w:rPr>
                      <w:szCs w:val="21"/>
                    </w:rPr>
                  </w:pPr>
                  <w:r>
                    <w:rPr>
                      <w:szCs w:val="21"/>
                    </w:rPr>
                    <w:t>55</w:t>
                  </w:r>
                </w:p>
              </w:tc>
              <w:tc>
                <w:tcPr>
                  <w:tcW w:w="3813" w:type="pct"/>
                  <w:vAlign w:val="center"/>
                </w:tcPr>
                <w:p>
                  <w:pPr>
                    <w:jc w:val="center"/>
                    <w:rPr>
                      <w:szCs w:val="21"/>
                    </w:rPr>
                  </w:pPr>
                  <w:r>
                    <w:rPr>
                      <w:szCs w:val="21"/>
                    </w:rPr>
                    <w:t>《建筑施工场界环境噪声排放标准》（GB12523-2011）</w:t>
                  </w:r>
                </w:p>
              </w:tc>
            </w:tr>
          </w:tbl>
          <w:p>
            <w:pPr>
              <w:spacing w:line="324" w:lineRule="auto"/>
              <w:ind w:firstLine="480" w:firstLineChars="200"/>
              <w:rPr>
                <w:sz w:val="24"/>
              </w:rPr>
            </w:pPr>
            <w:r>
              <w:rPr>
                <w:sz w:val="24"/>
              </w:rPr>
              <w:t>（3）施工期生活污水</w:t>
            </w:r>
          </w:p>
          <w:p>
            <w:pPr>
              <w:spacing w:line="324" w:lineRule="auto"/>
              <w:ind w:firstLine="480" w:firstLineChars="200"/>
              <w:rPr>
                <w:sz w:val="24"/>
              </w:rPr>
            </w:pPr>
            <w:r>
              <w:rPr>
                <w:sz w:val="24"/>
              </w:rPr>
              <w:t>设置临时旱厕，不外排。</w:t>
            </w:r>
          </w:p>
          <w:p>
            <w:pPr>
              <w:spacing w:line="324" w:lineRule="auto"/>
              <w:ind w:firstLine="480" w:firstLineChars="200"/>
              <w:rPr>
                <w:b/>
                <w:sz w:val="24"/>
              </w:rPr>
            </w:pPr>
            <w:r>
              <w:rPr>
                <w:sz w:val="24"/>
              </w:rPr>
              <w:t>（4）施工期一般工业固体废物贮存执行《一般工业固体废物贮存和填埋污染控制标准》（GB18599-2020）中的有关规定，生活垃圾执行《生活垃圾填埋场污染控制标准》（GB 16889-2008）。</w:t>
            </w:r>
          </w:p>
          <w:p>
            <w:pPr>
              <w:spacing w:line="324" w:lineRule="auto"/>
              <w:ind w:firstLine="482" w:firstLineChars="200"/>
              <w:rPr>
                <w:b/>
                <w:sz w:val="24"/>
              </w:rPr>
            </w:pPr>
            <w:r>
              <w:rPr>
                <w:b/>
                <w:sz w:val="24"/>
              </w:rPr>
              <w:t>2、运营期污染物排放标准</w:t>
            </w:r>
          </w:p>
          <w:p>
            <w:pPr>
              <w:autoSpaceDE w:val="0"/>
              <w:autoSpaceDN w:val="0"/>
              <w:adjustRightInd w:val="0"/>
              <w:snapToGrid w:val="0"/>
              <w:spacing w:line="360" w:lineRule="auto"/>
              <w:ind w:firstLine="482" w:firstLineChars="200"/>
              <w:rPr>
                <w:b/>
                <w:sz w:val="24"/>
              </w:rPr>
            </w:pPr>
            <w:r>
              <w:rPr>
                <w:b/>
                <w:sz w:val="24"/>
              </w:rPr>
              <w:t>（1）大气污染物排放标准</w:t>
            </w:r>
          </w:p>
          <w:p>
            <w:pPr>
              <w:pStyle w:val="65"/>
              <w:spacing w:before="24" w:after="24" w:line="360" w:lineRule="auto"/>
              <w:ind w:firstLine="480" w:firstLineChars="200"/>
              <w:rPr>
                <w:rFonts w:ascii="Times New Roman" w:hAnsi="Times New Roman" w:cs="Times New Roman"/>
                <w:sz w:val="24"/>
              </w:rPr>
            </w:pPr>
            <w:r>
              <w:rPr>
                <w:rFonts w:ascii="Times New Roman" w:hAnsi="Times New Roman" w:cs="Times New Roman"/>
                <w:sz w:val="24"/>
              </w:rPr>
              <w:t>运营期火化炉废气排放执行《火葬场大气污染物排放标准》（GB13801-2015）表2标准，遗物焚烧炉废气、祭祀炉废气排放执行《火葬场大气污染物排放标准》（GB13801-2015）表3标准；餐饮油烟排放执行《饮食业油烟排放标准（试行）》（GB18483-2001）表2中“中型”饮食业单位标准</w:t>
            </w:r>
            <w:r>
              <w:rPr>
                <w:sz w:val="24"/>
              </w:rPr>
              <w:t>；污水处理产生的恶臭污染物执行《恶臭污染物排放标准》（GB14554-93）。</w:t>
            </w:r>
          </w:p>
          <w:p>
            <w:pPr>
              <w:tabs>
                <w:tab w:val="left" w:pos="2820"/>
                <w:tab w:val="center" w:pos="4577"/>
              </w:tabs>
              <w:adjustRightInd w:val="0"/>
              <w:snapToGrid w:val="0"/>
              <w:spacing w:line="400" w:lineRule="exact"/>
              <w:ind w:firstLine="482"/>
              <w:jc w:val="center"/>
              <w:rPr>
                <w:b/>
                <w:sz w:val="24"/>
              </w:rPr>
            </w:pPr>
            <w:r>
              <w:rPr>
                <w:b/>
                <w:sz w:val="24"/>
              </w:rPr>
              <w:t>表3-7污染物排放标准</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77"/>
              <w:gridCol w:w="1094"/>
              <w:gridCol w:w="827"/>
              <w:gridCol w:w="1034"/>
              <w:gridCol w:w="699"/>
              <w:gridCol w:w="699"/>
              <w:gridCol w:w="2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7" w:hRule="atLeast"/>
                <w:jc w:val="center"/>
              </w:trPr>
              <w:tc>
                <w:tcPr>
                  <w:tcW w:w="90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污染源</w:t>
                  </w: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污染物</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排放限值mg/m</w:t>
                  </w:r>
                  <w:r>
                    <w:rPr>
                      <w:b/>
                      <w:bCs/>
                      <w:szCs w:val="21"/>
                      <w:vertAlign w:val="superscript"/>
                    </w:rPr>
                    <w:t>3</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单位</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最低去除效率%</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污染物排放监控位置</w:t>
                  </w:r>
                </w:p>
              </w:tc>
              <w:tc>
                <w:tcPr>
                  <w:tcW w:w="157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0"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火化炉废气</w:t>
                  </w: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烟尘</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120</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439"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烟囱</w:t>
                  </w:r>
                </w:p>
              </w:tc>
              <w:tc>
                <w:tcPr>
                  <w:tcW w:w="1570"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《火葬场大气污染物排放标准》（GB13801-2015）表2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二氧化硫</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30</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氮氧化物（以NO</w:t>
                  </w:r>
                  <w:r>
                    <w:rPr>
                      <w:szCs w:val="21"/>
                      <w:vertAlign w:val="subscript"/>
                    </w:rPr>
                    <w:t>2</w:t>
                  </w:r>
                  <w:r>
                    <w:rPr>
                      <w:szCs w:val="21"/>
                    </w:rPr>
                    <w:t>计）</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200</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一氧化碳</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150</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氯化氢</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30</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汞</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0.1</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二噁英</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0.5</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szCs w:val="21"/>
                    </w:rPr>
                    <w:t>ng-TEQ/m</w:t>
                  </w:r>
                  <w:r>
                    <w:rPr>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烟气黑度（林格曼黑度）</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1</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szCs w:val="21"/>
                    </w:rPr>
                    <w:t>级</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烟囱排放口</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00"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bCs/>
                      <w:szCs w:val="21"/>
                    </w:rPr>
                    <w:t>遗物焚烧炉、祭祀炉废气</w:t>
                  </w: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bCs/>
                      <w:szCs w:val="21"/>
                    </w:rPr>
                    <w:t>烟尘</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bCs/>
                      <w:szCs w:val="21"/>
                    </w:rPr>
                    <w:t>80</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szCs w:val="21"/>
                    </w:rPr>
                    <w:t>/</w:t>
                  </w:r>
                </w:p>
              </w:tc>
              <w:tc>
                <w:tcPr>
                  <w:tcW w:w="439"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bCs/>
                      <w:szCs w:val="21"/>
                    </w:rPr>
                    <w:t>烟囱</w:t>
                  </w:r>
                </w:p>
              </w:tc>
              <w:tc>
                <w:tcPr>
                  <w:tcW w:w="1570"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《火葬场大气污染物排放标准》（GB13801-2015）表3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二氧化硫</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szCs w:val="21"/>
                    </w:rPr>
                    <w:t>100</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氮氧化物（以NO</w:t>
                  </w:r>
                  <w:r>
                    <w:rPr>
                      <w:szCs w:val="21"/>
                      <w:vertAlign w:val="subscript"/>
                    </w:rPr>
                    <w:t>2</w:t>
                  </w:r>
                  <w:r>
                    <w:rPr>
                      <w:szCs w:val="21"/>
                    </w:rPr>
                    <w:t>计）</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szCs w:val="21"/>
                    </w:rPr>
                    <w:t>300</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一氧化碳</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szCs w:val="21"/>
                    </w:rPr>
                    <w:t>200</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氯化氢</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szCs w:val="21"/>
                    </w:rPr>
                    <w:t>50</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二噁英</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szCs w:val="21"/>
                    </w:rPr>
                    <w:t>1.0</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ng-TEQ/m</w:t>
                  </w:r>
                  <w:r>
                    <w:rPr>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烟气黑度（林格曼黑度）</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szCs w:val="21"/>
                    </w:rPr>
                    <w:t>1</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级</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szCs w:val="21"/>
                    </w:rPr>
                    <w:t>烟囱排放口</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0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食堂油烟</w:t>
                  </w: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油烟</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szCs w:val="21"/>
                    </w:rPr>
                    <w:t>2.0</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60</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157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《饮食业油烟排放标准（试行）》（GB18483-2001）表2中“中型”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00" w:type="pct"/>
                  <w:vMerge w:val="restart"/>
                  <w:tcBorders>
                    <w:top w:val="single" w:color="auto" w:sz="4" w:space="0"/>
                    <w:left w:val="single" w:color="auto" w:sz="4" w:space="0"/>
                    <w:right w:val="single" w:color="auto" w:sz="4" w:space="0"/>
                  </w:tcBorders>
                  <w:vAlign w:val="center"/>
                </w:tcPr>
                <w:p>
                  <w:pPr>
                    <w:adjustRightInd w:val="0"/>
                    <w:snapToGrid w:val="0"/>
                    <w:jc w:val="center"/>
                    <w:rPr>
                      <w:szCs w:val="21"/>
                    </w:rPr>
                  </w:pPr>
                  <w:r>
                    <w:rPr>
                      <w:szCs w:val="21"/>
                    </w:rPr>
                    <w:t>恶臭污染物</w:t>
                  </w: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氨</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1.5</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439" w:type="pct"/>
                  <w:vMerge w:val="restart"/>
                  <w:tcBorders>
                    <w:top w:val="single" w:color="auto" w:sz="4" w:space="0"/>
                    <w:left w:val="single" w:color="auto" w:sz="4" w:space="0"/>
                    <w:right w:val="single" w:color="auto" w:sz="4" w:space="0"/>
                  </w:tcBorders>
                  <w:vAlign w:val="center"/>
                </w:tcPr>
                <w:p>
                  <w:pPr>
                    <w:adjustRightInd w:val="0"/>
                    <w:snapToGrid w:val="0"/>
                    <w:jc w:val="center"/>
                    <w:rPr>
                      <w:szCs w:val="21"/>
                    </w:rPr>
                  </w:pPr>
                  <w:r>
                    <w:rPr>
                      <w:szCs w:val="21"/>
                    </w:rPr>
                    <w:t>厂界</w:t>
                  </w:r>
                </w:p>
              </w:tc>
              <w:tc>
                <w:tcPr>
                  <w:tcW w:w="1570" w:type="pct"/>
                  <w:vMerge w:val="restart"/>
                  <w:tcBorders>
                    <w:top w:val="single" w:color="auto" w:sz="4" w:space="0"/>
                    <w:left w:val="single" w:color="auto" w:sz="4" w:space="0"/>
                    <w:right w:val="single" w:color="auto" w:sz="4" w:space="0"/>
                  </w:tcBorders>
                  <w:vAlign w:val="center"/>
                </w:tcPr>
                <w:p>
                  <w:pPr>
                    <w:adjustRightInd w:val="0"/>
                    <w:snapToGrid w:val="0"/>
                    <w:jc w:val="center"/>
                    <w:rPr>
                      <w:szCs w:val="21"/>
                    </w:rPr>
                  </w:pPr>
                  <w:r>
                    <w:rPr>
                      <w:szCs w:val="21"/>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0" w:type="pct"/>
                  <w:vMerge w:val="continue"/>
                  <w:tcBorders>
                    <w:left w:val="single" w:color="auto" w:sz="4" w:space="0"/>
                    <w:right w:val="single" w:color="auto" w:sz="4" w:space="0"/>
                  </w:tcBorders>
                  <w:vAlign w:val="center"/>
                </w:tcPr>
                <w:p>
                  <w:pPr>
                    <w:adjustRightInd w:val="0"/>
                    <w:snapToGrid w:val="0"/>
                    <w:jc w:val="center"/>
                    <w:rPr>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硫化氢</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0.06</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bCs/>
                      <w:szCs w:val="21"/>
                    </w:rPr>
                    <w:t>mg/m</w:t>
                  </w:r>
                  <w:r>
                    <w:rPr>
                      <w:bCs/>
                      <w:szCs w:val="21"/>
                      <w:vertAlign w:val="superscript"/>
                    </w:rPr>
                    <w:t>3</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439" w:type="pct"/>
                  <w:vMerge w:val="continue"/>
                  <w:tcBorders>
                    <w:left w:val="single" w:color="auto" w:sz="4" w:space="0"/>
                    <w:right w:val="single" w:color="auto" w:sz="4" w:space="0"/>
                  </w:tcBorders>
                  <w:vAlign w:val="center"/>
                </w:tcPr>
                <w:p>
                  <w:pPr>
                    <w:adjustRightInd w:val="0"/>
                    <w:snapToGrid w:val="0"/>
                    <w:jc w:val="center"/>
                    <w:rPr>
                      <w:szCs w:val="21"/>
                    </w:rPr>
                  </w:pPr>
                </w:p>
              </w:tc>
              <w:tc>
                <w:tcPr>
                  <w:tcW w:w="1570" w:type="pct"/>
                  <w:vMerge w:val="continue"/>
                  <w:tcBorders>
                    <w:left w:val="single" w:color="auto" w:sz="4" w:space="0"/>
                    <w:right w:val="single" w:color="auto" w:sz="4" w:space="0"/>
                  </w:tcBorders>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0" w:type="pct"/>
                  <w:vMerge w:val="continue"/>
                  <w:tcBorders>
                    <w:left w:val="single" w:color="auto" w:sz="4" w:space="0"/>
                    <w:bottom w:val="single" w:color="auto" w:sz="4" w:space="0"/>
                    <w:right w:val="single" w:color="auto" w:sz="4" w:space="0"/>
                  </w:tcBorders>
                  <w:vAlign w:val="center"/>
                </w:tcPr>
                <w:p>
                  <w:pPr>
                    <w:adjustRightInd w:val="0"/>
                    <w:snapToGrid w:val="0"/>
                    <w:jc w:val="center"/>
                    <w:rPr>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臭气浓度</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20</w:t>
                  </w:r>
                </w:p>
              </w:tc>
              <w:tc>
                <w:tcPr>
                  <w:tcW w:w="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bCs/>
                      <w:szCs w:val="21"/>
                    </w:rPr>
                    <w:t>无量纲</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439" w:type="pct"/>
                  <w:vMerge w:val="continue"/>
                  <w:tcBorders>
                    <w:left w:val="single" w:color="auto" w:sz="4" w:space="0"/>
                    <w:bottom w:val="single" w:color="auto" w:sz="4" w:space="0"/>
                    <w:right w:val="single" w:color="auto" w:sz="4" w:space="0"/>
                  </w:tcBorders>
                  <w:vAlign w:val="center"/>
                </w:tcPr>
                <w:p>
                  <w:pPr>
                    <w:adjustRightInd w:val="0"/>
                    <w:snapToGrid w:val="0"/>
                    <w:jc w:val="center"/>
                    <w:rPr>
                      <w:szCs w:val="21"/>
                    </w:rPr>
                  </w:pPr>
                </w:p>
              </w:tc>
              <w:tc>
                <w:tcPr>
                  <w:tcW w:w="1570" w:type="pct"/>
                  <w:vMerge w:val="continue"/>
                  <w:tcBorders>
                    <w:left w:val="single" w:color="auto" w:sz="4" w:space="0"/>
                    <w:bottom w:val="single" w:color="auto" w:sz="4" w:space="0"/>
                    <w:right w:val="single" w:color="auto" w:sz="4" w:space="0"/>
                  </w:tcBorders>
                  <w:vAlign w:val="center"/>
                </w:tcPr>
                <w:p>
                  <w:pPr>
                    <w:adjustRightInd w:val="0"/>
                    <w:snapToGrid w:val="0"/>
                    <w:jc w:val="center"/>
                    <w:rPr>
                      <w:szCs w:val="21"/>
                    </w:rPr>
                  </w:pPr>
                </w:p>
              </w:tc>
            </w:tr>
          </w:tbl>
          <w:p>
            <w:pPr>
              <w:autoSpaceDE w:val="0"/>
              <w:autoSpaceDN w:val="0"/>
              <w:adjustRightInd w:val="0"/>
              <w:spacing w:line="360" w:lineRule="auto"/>
              <w:ind w:firstLine="482" w:firstLineChars="200"/>
              <w:rPr>
                <w:b/>
                <w:sz w:val="24"/>
              </w:rPr>
            </w:pPr>
            <w:r>
              <w:rPr>
                <w:b/>
                <w:sz w:val="24"/>
              </w:rPr>
              <w:t>（2）废水</w:t>
            </w:r>
          </w:p>
          <w:p>
            <w:pPr>
              <w:pStyle w:val="65"/>
              <w:spacing w:before="24" w:after="24" w:line="360" w:lineRule="auto"/>
              <w:ind w:firstLine="480" w:firstLineChars="200"/>
              <w:rPr>
                <w:rFonts w:ascii="Times New Roman" w:hAnsi="Times New Roman" w:cs="Times New Roman"/>
                <w:bCs/>
                <w:sz w:val="24"/>
              </w:rPr>
            </w:pPr>
            <w:r>
              <w:rPr>
                <w:rFonts w:ascii="Times New Roman" w:hAnsi="Times New Roman" w:cs="Times New Roman"/>
                <w:bCs/>
                <w:sz w:val="24"/>
              </w:rPr>
              <w:t>生活污水排放执行《污水综合排放标准》（GB8978-1996）中三级标准；氨氮排放标准</w:t>
            </w:r>
            <w:r>
              <w:rPr>
                <w:rFonts w:hint="eastAsia" w:ascii="Times New Roman" w:hAnsi="Times New Roman" w:cs="Times New Roman"/>
                <w:bCs/>
                <w:sz w:val="24"/>
              </w:rPr>
              <w:t>执行</w:t>
            </w:r>
            <w:r>
              <w:rPr>
                <w:rFonts w:ascii="Times New Roman" w:hAnsi="Times New Roman" w:cs="Times New Roman"/>
                <w:bCs/>
                <w:sz w:val="24"/>
              </w:rPr>
              <w:t>《污水排入城镇下水道水质标准》（GB/T31962-2015）中B级标准。</w:t>
            </w:r>
          </w:p>
          <w:p>
            <w:pPr>
              <w:pStyle w:val="65"/>
              <w:spacing w:before="24" w:after="24"/>
              <w:jc w:val="center"/>
              <w:rPr>
                <w:rFonts w:ascii="Times New Roman" w:hAnsi="Times New Roman" w:cs="Times New Roman"/>
                <w:bCs/>
                <w:sz w:val="24"/>
              </w:rPr>
            </w:pPr>
            <w:r>
              <w:rPr>
                <w:rFonts w:ascii="Times New Roman" w:hAnsi="Times New Roman" w:cs="Times New Roman"/>
                <w:b/>
                <w:bCs/>
                <w:sz w:val="24"/>
              </w:rPr>
              <w:t>表3-8生活污水排放标准一览表</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650"/>
              <w:gridCol w:w="782"/>
              <w:gridCol w:w="911"/>
              <w:gridCol w:w="783"/>
              <w:gridCol w:w="809"/>
              <w:gridCol w:w="611"/>
              <w:gridCol w:w="1084"/>
              <w:gridCol w:w="10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020" w:type="pct"/>
                  <w:vAlign w:val="center"/>
                </w:tcPr>
                <w:p>
                  <w:pPr>
                    <w:jc w:val="center"/>
                    <w:rPr>
                      <w:szCs w:val="21"/>
                    </w:rPr>
                  </w:pPr>
                  <w:r>
                    <w:rPr>
                      <w:szCs w:val="21"/>
                    </w:rPr>
                    <w:t>排放指标</w:t>
                  </w:r>
                </w:p>
              </w:tc>
              <w:tc>
                <w:tcPr>
                  <w:tcW w:w="388" w:type="pct"/>
                  <w:vAlign w:val="center"/>
                </w:tcPr>
                <w:p>
                  <w:pPr>
                    <w:pStyle w:val="64"/>
                    <w:spacing w:line="240" w:lineRule="auto"/>
                    <w:ind w:firstLine="0" w:firstLineChars="0"/>
                    <w:jc w:val="center"/>
                    <w:rPr>
                      <w:sz w:val="21"/>
                      <w:szCs w:val="21"/>
                    </w:rPr>
                  </w:pPr>
                  <w:r>
                    <w:rPr>
                      <w:sz w:val="21"/>
                      <w:szCs w:val="21"/>
                    </w:rPr>
                    <w:t>pH</w:t>
                  </w:r>
                </w:p>
              </w:tc>
              <w:tc>
                <w:tcPr>
                  <w:tcW w:w="466" w:type="pct"/>
                  <w:vAlign w:val="center"/>
                </w:tcPr>
                <w:p>
                  <w:pPr>
                    <w:jc w:val="center"/>
                    <w:rPr>
                      <w:szCs w:val="21"/>
                    </w:rPr>
                  </w:pPr>
                  <w:r>
                    <w:rPr>
                      <w:szCs w:val="21"/>
                    </w:rPr>
                    <w:t>COD</w:t>
                  </w:r>
                </w:p>
              </w:tc>
              <w:tc>
                <w:tcPr>
                  <w:tcW w:w="543" w:type="pct"/>
                  <w:vAlign w:val="center"/>
                </w:tcPr>
                <w:p>
                  <w:pPr>
                    <w:jc w:val="center"/>
                    <w:rPr>
                      <w:szCs w:val="21"/>
                    </w:rPr>
                  </w:pPr>
                  <w:r>
                    <w:rPr>
                      <w:szCs w:val="21"/>
                    </w:rPr>
                    <w:t>BOD</w:t>
                  </w:r>
                  <w:r>
                    <w:rPr>
                      <w:szCs w:val="21"/>
                      <w:vertAlign w:val="subscript"/>
                    </w:rPr>
                    <w:t>5</w:t>
                  </w:r>
                </w:p>
              </w:tc>
              <w:tc>
                <w:tcPr>
                  <w:tcW w:w="466" w:type="pct"/>
                  <w:vAlign w:val="center"/>
                </w:tcPr>
                <w:p>
                  <w:pPr>
                    <w:jc w:val="center"/>
                    <w:rPr>
                      <w:szCs w:val="21"/>
                    </w:rPr>
                  </w:pPr>
                  <w:r>
                    <w:rPr>
                      <w:szCs w:val="21"/>
                    </w:rPr>
                    <w:t>SS</w:t>
                  </w:r>
                </w:p>
              </w:tc>
              <w:tc>
                <w:tcPr>
                  <w:tcW w:w="464" w:type="pct"/>
                  <w:vAlign w:val="center"/>
                </w:tcPr>
                <w:p>
                  <w:pPr>
                    <w:jc w:val="center"/>
                    <w:rPr>
                      <w:szCs w:val="21"/>
                    </w:rPr>
                  </w:pPr>
                  <w:r>
                    <w:rPr>
                      <w:szCs w:val="21"/>
                    </w:rPr>
                    <w:t>NH</w:t>
                  </w:r>
                  <w:r>
                    <w:rPr>
                      <w:szCs w:val="21"/>
                      <w:vertAlign w:val="subscript"/>
                    </w:rPr>
                    <w:t>3</w:t>
                  </w:r>
                  <w:r>
                    <w:rPr>
                      <w:szCs w:val="21"/>
                    </w:rPr>
                    <w:t>-N</w:t>
                  </w:r>
                </w:p>
              </w:tc>
              <w:tc>
                <w:tcPr>
                  <w:tcW w:w="364" w:type="pct"/>
                  <w:vAlign w:val="center"/>
                </w:tcPr>
                <w:p>
                  <w:pPr>
                    <w:jc w:val="center"/>
                    <w:rPr>
                      <w:szCs w:val="21"/>
                    </w:rPr>
                  </w:pPr>
                  <w:r>
                    <w:rPr>
                      <w:szCs w:val="21"/>
                    </w:rPr>
                    <w:t>总氮</w:t>
                  </w:r>
                </w:p>
              </w:tc>
              <w:tc>
                <w:tcPr>
                  <w:tcW w:w="645" w:type="pct"/>
                  <w:vAlign w:val="center"/>
                </w:tcPr>
                <w:p>
                  <w:pPr>
                    <w:jc w:val="center"/>
                    <w:rPr>
                      <w:szCs w:val="21"/>
                    </w:rPr>
                  </w:pPr>
                  <w:r>
                    <w:rPr>
                      <w:szCs w:val="21"/>
                    </w:rPr>
                    <w:t>总磷</w:t>
                  </w:r>
                </w:p>
              </w:tc>
              <w:tc>
                <w:tcPr>
                  <w:tcW w:w="644" w:type="pct"/>
                  <w:vAlign w:val="center"/>
                </w:tcPr>
                <w:p>
                  <w:pPr>
                    <w:jc w:val="center"/>
                    <w:rPr>
                      <w:szCs w:val="21"/>
                    </w:rPr>
                  </w:pPr>
                  <w:r>
                    <w:rPr>
                      <w:szCs w:val="21"/>
                    </w:rPr>
                    <w:t>动植物油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 w:type="pct"/>
                  <w:vAlign w:val="center"/>
                </w:tcPr>
                <w:p>
                  <w:pPr>
                    <w:jc w:val="center"/>
                    <w:rPr>
                      <w:szCs w:val="21"/>
                    </w:rPr>
                  </w:pPr>
                  <w:r>
                    <w:rPr>
                      <w:szCs w:val="21"/>
                    </w:rPr>
                    <w:t>排放浓度（mg/L）</w:t>
                  </w:r>
                </w:p>
              </w:tc>
              <w:tc>
                <w:tcPr>
                  <w:tcW w:w="388" w:type="pct"/>
                  <w:vAlign w:val="center"/>
                </w:tcPr>
                <w:p>
                  <w:pPr>
                    <w:pStyle w:val="64"/>
                    <w:spacing w:line="240" w:lineRule="auto"/>
                    <w:ind w:firstLine="0" w:firstLineChars="0"/>
                    <w:jc w:val="center"/>
                    <w:rPr>
                      <w:sz w:val="21"/>
                      <w:szCs w:val="21"/>
                    </w:rPr>
                  </w:pPr>
                  <w:r>
                    <w:rPr>
                      <w:sz w:val="21"/>
                      <w:szCs w:val="21"/>
                    </w:rPr>
                    <w:t>6~9</w:t>
                  </w:r>
                </w:p>
              </w:tc>
              <w:tc>
                <w:tcPr>
                  <w:tcW w:w="466" w:type="pct"/>
                  <w:vAlign w:val="center"/>
                </w:tcPr>
                <w:p>
                  <w:pPr>
                    <w:jc w:val="center"/>
                    <w:rPr>
                      <w:szCs w:val="21"/>
                    </w:rPr>
                  </w:pPr>
                  <w:r>
                    <w:rPr>
                      <w:szCs w:val="21"/>
                    </w:rPr>
                    <w:t>500</w:t>
                  </w:r>
                </w:p>
              </w:tc>
              <w:tc>
                <w:tcPr>
                  <w:tcW w:w="543" w:type="pct"/>
                  <w:vAlign w:val="center"/>
                </w:tcPr>
                <w:p>
                  <w:pPr>
                    <w:jc w:val="center"/>
                    <w:rPr>
                      <w:szCs w:val="21"/>
                    </w:rPr>
                  </w:pPr>
                  <w:r>
                    <w:rPr>
                      <w:szCs w:val="21"/>
                    </w:rPr>
                    <w:t>300</w:t>
                  </w:r>
                </w:p>
              </w:tc>
              <w:tc>
                <w:tcPr>
                  <w:tcW w:w="466" w:type="pct"/>
                  <w:vAlign w:val="center"/>
                </w:tcPr>
                <w:p>
                  <w:pPr>
                    <w:jc w:val="center"/>
                    <w:rPr>
                      <w:szCs w:val="21"/>
                    </w:rPr>
                  </w:pPr>
                  <w:r>
                    <w:rPr>
                      <w:szCs w:val="21"/>
                    </w:rPr>
                    <w:t>400</w:t>
                  </w:r>
                </w:p>
              </w:tc>
              <w:tc>
                <w:tcPr>
                  <w:tcW w:w="464" w:type="pct"/>
                  <w:vAlign w:val="center"/>
                </w:tcPr>
                <w:p>
                  <w:pPr>
                    <w:jc w:val="center"/>
                    <w:rPr>
                      <w:szCs w:val="21"/>
                    </w:rPr>
                  </w:pPr>
                  <w:r>
                    <w:rPr>
                      <w:szCs w:val="21"/>
                    </w:rPr>
                    <w:t>45</w:t>
                  </w:r>
                </w:p>
              </w:tc>
              <w:tc>
                <w:tcPr>
                  <w:tcW w:w="364" w:type="pct"/>
                  <w:vAlign w:val="center"/>
                </w:tcPr>
                <w:p>
                  <w:pPr>
                    <w:jc w:val="center"/>
                    <w:rPr>
                      <w:szCs w:val="21"/>
                    </w:rPr>
                  </w:pPr>
                  <w:r>
                    <w:rPr>
                      <w:szCs w:val="21"/>
                    </w:rPr>
                    <w:t>70</w:t>
                  </w:r>
                </w:p>
              </w:tc>
              <w:tc>
                <w:tcPr>
                  <w:tcW w:w="645" w:type="pct"/>
                  <w:vAlign w:val="center"/>
                </w:tcPr>
                <w:p>
                  <w:pPr>
                    <w:jc w:val="center"/>
                    <w:rPr>
                      <w:szCs w:val="21"/>
                    </w:rPr>
                  </w:pPr>
                  <w:r>
                    <w:rPr>
                      <w:szCs w:val="21"/>
                    </w:rPr>
                    <w:t>8</w:t>
                  </w:r>
                </w:p>
              </w:tc>
              <w:tc>
                <w:tcPr>
                  <w:tcW w:w="644" w:type="pct"/>
                  <w:vAlign w:val="center"/>
                </w:tcPr>
                <w:p>
                  <w:pPr>
                    <w:jc w:val="center"/>
                    <w:rPr>
                      <w:szCs w:val="21"/>
                    </w:rPr>
                  </w:pPr>
                  <w:r>
                    <w:rPr>
                      <w:szCs w:val="21"/>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 w:type="pct"/>
                  <w:vAlign w:val="center"/>
                </w:tcPr>
                <w:p>
                  <w:pPr>
                    <w:jc w:val="center"/>
                    <w:rPr>
                      <w:szCs w:val="21"/>
                    </w:rPr>
                  </w:pPr>
                  <w:r>
                    <w:rPr>
                      <w:szCs w:val="21"/>
                    </w:rPr>
                    <w:t>执行标准</w:t>
                  </w:r>
                </w:p>
              </w:tc>
              <w:tc>
                <w:tcPr>
                  <w:tcW w:w="3980" w:type="pct"/>
                  <w:gridSpan w:val="8"/>
                  <w:vAlign w:val="center"/>
                </w:tcPr>
                <w:p>
                  <w:pPr>
                    <w:jc w:val="center"/>
                    <w:rPr>
                      <w:szCs w:val="21"/>
                    </w:rPr>
                  </w:pPr>
                  <w:r>
                    <w:rPr>
                      <w:szCs w:val="21"/>
                    </w:rPr>
                    <w:t>《污水综合排放标准》（GB8978-1996）三级标准</w:t>
                  </w:r>
                </w:p>
                <w:p>
                  <w:pPr>
                    <w:jc w:val="center"/>
                    <w:rPr>
                      <w:szCs w:val="21"/>
                    </w:rPr>
                  </w:pPr>
                  <w:r>
                    <w:rPr>
                      <w:szCs w:val="21"/>
                    </w:rPr>
                    <w:t>《污水排入城镇下水道水质标准》（GB/T31962-2015）B级标准</w:t>
                  </w:r>
                </w:p>
              </w:tc>
            </w:tr>
          </w:tbl>
          <w:p>
            <w:pPr>
              <w:spacing w:line="360" w:lineRule="auto"/>
              <w:ind w:firstLine="480" w:firstLineChars="200"/>
              <w:rPr>
                <w:sz w:val="24"/>
              </w:rPr>
            </w:pPr>
            <w:r>
              <w:rPr>
                <w:bCs/>
                <w:sz w:val="24"/>
              </w:rPr>
              <w:t>生产废水排放</w:t>
            </w:r>
            <w:r>
              <w:rPr>
                <w:rFonts w:hint="eastAsia"/>
                <w:bCs/>
                <w:sz w:val="24"/>
              </w:rPr>
              <w:t>参照</w:t>
            </w:r>
            <w:r>
              <w:rPr>
                <w:bCs/>
                <w:sz w:val="24"/>
              </w:rPr>
              <w:t>执行</w:t>
            </w:r>
            <w:r>
              <w:rPr>
                <w:sz w:val="24"/>
              </w:rPr>
              <w:t>《医疗机构水污染物排放标准》（GB18466-2005）中表2预处理标准</w:t>
            </w:r>
            <w:r>
              <w:rPr>
                <w:bCs/>
                <w:sz w:val="24"/>
              </w:rPr>
              <w:t>。NH</w:t>
            </w:r>
            <w:r>
              <w:rPr>
                <w:bCs/>
                <w:sz w:val="24"/>
                <w:vertAlign w:val="subscript"/>
              </w:rPr>
              <w:t>3</w:t>
            </w:r>
            <w:r>
              <w:rPr>
                <w:bCs/>
                <w:sz w:val="24"/>
              </w:rPr>
              <w:t>-N和总余氯排放标准</w:t>
            </w:r>
            <w:r>
              <w:rPr>
                <w:rFonts w:hint="eastAsia"/>
                <w:bCs/>
                <w:sz w:val="24"/>
              </w:rPr>
              <w:t>执行</w:t>
            </w:r>
            <w:r>
              <w:rPr>
                <w:bCs/>
                <w:sz w:val="24"/>
              </w:rPr>
              <w:t>《污水排入城镇下水道水质标准》（GB/T31962-2015）中B级标准。</w:t>
            </w:r>
          </w:p>
          <w:p>
            <w:pPr>
              <w:pStyle w:val="65"/>
              <w:spacing w:before="24" w:after="24"/>
              <w:jc w:val="center"/>
              <w:rPr>
                <w:rFonts w:ascii="Times New Roman" w:hAnsi="Times New Roman" w:cs="Times New Roman"/>
                <w:b/>
                <w:bCs/>
                <w:szCs w:val="21"/>
              </w:rPr>
            </w:pPr>
            <w:r>
              <w:rPr>
                <w:rFonts w:ascii="Times New Roman" w:hAnsi="Times New Roman" w:cs="Times New Roman"/>
                <w:b/>
                <w:bCs/>
                <w:sz w:val="24"/>
              </w:rPr>
              <w:t>表3-9生产废水排放标准一览表</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70"/>
              <w:gridCol w:w="738"/>
              <w:gridCol w:w="796"/>
              <w:gridCol w:w="946"/>
              <w:gridCol w:w="644"/>
              <w:gridCol w:w="1280"/>
              <w:gridCol w:w="1716"/>
              <w:gridCol w:w="9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Align w:val="center"/>
                </w:tcPr>
                <w:p>
                  <w:pPr>
                    <w:jc w:val="center"/>
                    <w:rPr>
                      <w:szCs w:val="21"/>
                    </w:rPr>
                  </w:pPr>
                  <w:r>
                    <w:rPr>
                      <w:szCs w:val="21"/>
                    </w:rPr>
                    <w:t>排放指标</w:t>
                  </w:r>
                </w:p>
              </w:tc>
              <w:tc>
                <w:tcPr>
                  <w:tcW w:w="438" w:type="pct"/>
                  <w:vAlign w:val="center"/>
                </w:tcPr>
                <w:p>
                  <w:pPr>
                    <w:pStyle w:val="64"/>
                    <w:spacing w:line="240" w:lineRule="auto"/>
                    <w:ind w:firstLine="0" w:firstLineChars="0"/>
                    <w:jc w:val="center"/>
                    <w:rPr>
                      <w:sz w:val="21"/>
                      <w:szCs w:val="21"/>
                    </w:rPr>
                  </w:pPr>
                  <w:r>
                    <w:rPr>
                      <w:sz w:val="21"/>
                      <w:szCs w:val="21"/>
                    </w:rPr>
                    <w:t>pH</w:t>
                  </w:r>
                </w:p>
              </w:tc>
              <w:tc>
                <w:tcPr>
                  <w:tcW w:w="472" w:type="pct"/>
                  <w:vAlign w:val="center"/>
                </w:tcPr>
                <w:p>
                  <w:pPr>
                    <w:jc w:val="center"/>
                    <w:rPr>
                      <w:szCs w:val="21"/>
                    </w:rPr>
                  </w:pPr>
                  <w:r>
                    <w:rPr>
                      <w:szCs w:val="21"/>
                    </w:rPr>
                    <w:t>COD</w:t>
                  </w:r>
                </w:p>
              </w:tc>
              <w:tc>
                <w:tcPr>
                  <w:tcW w:w="561" w:type="pct"/>
                  <w:vAlign w:val="center"/>
                </w:tcPr>
                <w:p>
                  <w:pPr>
                    <w:jc w:val="center"/>
                    <w:rPr>
                      <w:szCs w:val="21"/>
                    </w:rPr>
                  </w:pPr>
                  <w:r>
                    <w:rPr>
                      <w:szCs w:val="21"/>
                    </w:rPr>
                    <w:t>BOD</w:t>
                  </w:r>
                  <w:r>
                    <w:rPr>
                      <w:szCs w:val="21"/>
                      <w:vertAlign w:val="subscript"/>
                    </w:rPr>
                    <w:t>5</w:t>
                  </w:r>
                </w:p>
              </w:tc>
              <w:tc>
                <w:tcPr>
                  <w:tcW w:w="382" w:type="pct"/>
                  <w:vAlign w:val="center"/>
                </w:tcPr>
                <w:p>
                  <w:pPr>
                    <w:jc w:val="center"/>
                    <w:rPr>
                      <w:szCs w:val="21"/>
                    </w:rPr>
                  </w:pPr>
                  <w:r>
                    <w:rPr>
                      <w:szCs w:val="21"/>
                    </w:rPr>
                    <w:t>SS</w:t>
                  </w:r>
                </w:p>
              </w:tc>
              <w:tc>
                <w:tcPr>
                  <w:tcW w:w="759" w:type="pct"/>
                  <w:vAlign w:val="center"/>
                </w:tcPr>
                <w:p>
                  <w:pPr>
                    <w:jc w:val="center"/>
                    <w:rPr>
                      <w:szCs w:val="21"/>
                    </w:rPr>
                  </w:pPr>
                  <w:r>
                    <w:rPr>
                      <w:szCs w:val="21"/>
                    </w:rPr>
                    <w:t>NH</w:t>
                  </w:r>
                  <w:r>
                    <w:rPr>
                      <w:szCs w:val="21"/>
                      <w:vertAlign w:val="subscript"/>
                    </w:rPr>
                    <w:t>3</w:t>
                  </w:r>
                  <w:r>
                    <w:rPr>
                      <w:szCs w:val="21"/>
                    </w:rPr>
                    <w:t>-N</w:t>
                  </w:r>
                </w:p>
              </w:tc>
              <w:tc>
                <w:tcPr>
                  <w:tcW w:w="1018" w:type="pct"/>
                  <w:vAlign w:val="center"/>
                </w:tcPr>
                <w:p>
                  <w:pPr>
                    <w:jc w:val="center"/>
                    <w:rPr>
                      <w:szCs w:val="21"/>
                    </w:rPr>
                  </w:pPr>
                  <w:r>
                    <w:rPr>
                      <w:szCs w:val="21"/>
                    </w:rPr>
                    <w:t>粪大肠菌群数</w:t>
                  </w:r>
                </w:p>
              </w:tc>
              <w:tc>
                <w:tcPr>
                  <w:tcW w:w="556" w:type="pct"/>
                  <w:vAlign w:val="center"/>
                </w:tcPr>
                <w:p>
                  <w:pPr>
                    <w:jc w:val="center"/>
                    <w:rPr>
                      <w:szCs w:val="21"/>
                    </w:rPr>
                  </w:pPr>
                  <w:r>
                    <w:rPr>
                      <w:szCs w:val="21"/>
                    </w:rPr>
                    <w:t>总余氯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Align w:val="center"/>
                </w:tcPr>
                <w:p>
                  <w:pPr>
                    <w:jc w:val="center"/>
                    <w:rPr>
                      <w:szCs w:val="21"/>
                    </w:rPr>
                  </w:pPr>
                  <w:r>
                    <w:rPr>
                      <w:szCs w:val="21"/>
                    </w:rPr>
                    <w:t>排放浓度（mg/L）</w:t>
                  </w:r>
                </w:p>
              </w:tc>
              <w:tc>
                <w:tcPr>
                  <w:tcW w:w="438" w:type="pct"/>
                  <w:vAlign w:val="center"/>
                </w:tcPr>
                <w:p>
                  <w:pPr>
                    <w:pStyle w:val="64"/>
                    <w:spacing w:line="240" w:lineRule="auto"/>
                    <w:ind w:firstLine="0" w:firstLineChars="0"/>
                    <w:jc w:val="center"/>
                    <w:rPr>
                      <w:sz w:val="21"/>
                      <w:szCs w:val="21"/>
                    </w:rPr>
                  </w:pPr>
                  <w:r>
                    <w:rPr>
                      <w:sz w:val="21"/>
                      <w:szCs w:val="21"/>
                    </w:rPr>
                    <w:t>6~9</w:t>
                  </w:r>
                </w:p>
              </w:tc>
              <w:tc>
                <w:tcPr>
                  <w:tcW w:w="472" w:type="pct"/>
                  <w:vAlign w:val="center"/>
                </w:tcPr>
                <w:p>
                  <w:pPr>
                    <w:jc w:val="center"/>
                    <w:rPr>
                      <w:szCs w:val="21"/>
                    </w:rPr>
                  </w:pPr>
                  <w:r>
                    <w:rPr>
                      <w:szCs w:val="21"/>
                    </w:rPr>
                    <w:t>250</w:t>
                  </w:r>
                </w:p>
              </w:tc>
              <w:tc>
                <w:tcPr>
                  <w:tcW w:w="561" w:type="pct"/>
                  <w:vAlign w:val="center"/>
                </w:tcPr>
                <w:p>
                  <w:pPr>
                    <w:jc w:val="center"/>
                    <w:rPr>
                      <w:szCs w:val="21"/>
                    </w:rPr>
                  </w:pPr>
                  <w:r>
                    <w:rPr>
                      <w:szCs w:val="21"/>
                    </w:rPr>
                    <w:t>100</w:t>
                  </w:r>
                </w:p>
              </w:tc>
              <w:tc>
                <w:tcPr>
                  <w:tcW w:w="382" w:type="pct"/>
                  <w:vAlign w:val="center"/>
                </w:tcPr>
                <w:p>
                  <w:pPr>
                    <w:jc w:val="center"/>
                    <w:rPr>
                      <w:szCs w:val="21"/>
                    </w:rPr>
                  </w:pPr>
                  <w:r>
                    <w:rPr>
                      <w:szCs w:val="21"/>
                    </w:rPr>
                    <w:t>60</w:t>
                  </w:r>
                </w:p>
              </w:tc>
              <w:tc>
                <w:tcPr>
                  <w:tcW w:w="759" w:type="pct"/>
                  <w:vAlign w:val="center"/>
                </w:tcPr>
                <w:p>
                  <w:pPr>
                    <w:jc w:val="center"/>
                    <w:rPr>
                      <w:szCs w:val="21"/>
                    </w:rPr>
                  </w:pPr>
                  <w:r>
                    <w:rPr>
                      <w:szCs w:val="21"/>
                    </w:rPr>
                    <w:t>45</w:t>
                  </w:r>
                </w:p>
              </w:tc>
              <w:tc>
                <w:tcPr>
                  <w:tcW w:w="1018" w:type="pct"/>
                  <w:vAlign w:val="center"/>
                </w:tcPr>
                <w:p>
                  <w:pPr>
                    <w:jc w:val="center"/>
                    <w:rPr>
                      <w:szCs w:val="21"/>
                    </w:rPr>
                  </w:pPr>
                  <w:r>
                    <w:rPr>
                      <w:szCs w:val="21"/>
                    </w:rPr>
                    <w:t>5000</w:t>
                  </w:r>
                  <w:r>
                    <w:rPr>
                      <w:b/>
                      <w:bCs/>
                      <w:szCs w:val="21"/>
                    </w:rPr>
                    <w:t xml:space="preserve"> MPN/L</w:t>
                  </w:r>
                </w:p>
              </w:tc>
              <w:tc>
                <w:tcPr>
                  <w:tcW w:w="556" w:type="pct"/>
                  <w:vAlign w:val="center"/>
                </w:tcPr>
                <w:p>
                  <w:pPr>
                    <w:jc w:val="center"/>
                    <w:rPr>
                      <w:szCs w:val="21"/>
                    </w:rPr>
                  </w:pPr>
                  <w:r>
                    <w:rPr>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813" w:type="pct"/>
                  <w:vAlign w:val="center"/>
                </w:tcPr>
                <w:p>
                  <w:pPr>
                    <w:jc w:val="center"/>
                    <w:rPr>
                      <w:szCs w:val="21"/>
                    </w:rPr>
                  </w:pPr>
                  <w:r>
                    <w:rPr>
                      <w:szCs w:val="21"/>
                    </w:rPr>
                    <w:t>执行标准</w:t>
                  </w:r>
                </w:p>
              </w:tc>
              <w:tc>
                <w:tcPr>
                  <w:tcW w:w="4187" w:type="pct"/>
                  <w:gridSpan w:val="7"/>
                  <w:vAlign w:val="center"/>
                </w:tcPr>
                <w:p>
                  <w:pPr>
                    <w:jc w:val="center"/>
                    <w:rPr>
                      <w:szCs w:val="21"/>
                    </w:rPr>
                  </w:pPr>
                  <w:r>
                    <w:rPr>
                      <w:szCs w:val="21"/>
                    </w:rPr>
                    <w:t>《医疗机构水污染物排放标准》（GB18466-2005）中表2预处理标准</w:t>
                  </w:r>
                </w:p>
                <w:p>
                  <w:pPr>
                    <w:jc w:val="center"/>
                    <w:rPr>
                      <w:szCs w:val="21"/>
                    </w:rPr>
                  </w:pPr>
                  <w:r>
                    <w:rPr>
                      <w:szCs w:val="21"/>
                    </w:rPr>
                    <w:t>《污水排入城镇下水道水质标准》（GB/T31962-2015）B级标准</w:t>
                  </w:r>
                </w:p>
              </w:tc>
            </w:tr>
          </w:tbl>
          <w:p>
            <w:pPr>
              <w:autoSpaceDE w:val="0"/>
              <w:autoSpaceDN w:val="0"/>
              <w:adjustRightInd w:val="0"/>
              <w:spacing w:line="360" w:lineRule="auto"/>
              <w:ind w:firstLine="482" w:firstLineChars="200"/>
              <w:rPr>
                <w:b/>
                <w:sz w:val="24"/>
              </w:rPr>
            </w:pPr>
            <w:r>
              <w:rPr>
                <w:b/>
                <w:sz w:val="24"/>
              </w:rPr>
              <w:t>（3）噪声排放标准</w:t>
            </w:r>
          </w:p>
          <w:p>
            <w:pPr>
              <w:autoSpaceDE w:val="0"/>
              <w:autoSpaceDN w:val="0"/>
              <w:adjustRightInd w:val="0"/>
              <w:spacing w:line="360" w:lineRule="auto"/>
              <w:ind w:firstLine="480" w:firstLineChars="200"/>
              <w:rPr>
                <w:sz w:val="24"/>
              </w:rPr>
            </w:pPr>
            <w:r>
              <w:rPr>
                <w:sz w:val="24"/>
              </w:rPr>
              <w:t>项目营运期厂界噪声执行《工业企业厂界环境噪声排放标准》（GB12348-2008）中的2类。详见下表。</w:t>
            </w:r>
          </w:p>
          <w:p>
            <w:pPr>
              <w:jc w:val="center"/>
              <w:outlineLvl w:val="0"/>
              <w:rPr>
                <w:b/>
                <w:bCs/>
                <w:sz w:val="24"/>
              </w:rPr>
            </w:pPr>
            <w:r>
              <w:rPr>
                <w:b/>
                <w:bCs/>
                <w:sz w:val="24"/>
              </w:rPr>
              <w:t>表3-10工业企业厂界环境噪声排放标准</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355"/>
              <w:gridCol w:w="1432"/>
              <w:gridCol w:w="4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Merge w:val="restart"/>
                  <w:vAlign w:val="center"/>
                </w:tcPr>
                <w:p>
                  <w:pPr>
                    <w:widowControl/>
                    <w:adjustRightInd w:val="0"/>
                    <w:snapToGrid w:val="0"/>
                    <w:jc w:val="center"/>
                    <w:rPr>
                      <w:b/>
                      <w:szCs w:val="21"/>
                    </w:rPr>
                  </w:pPr>
                  <w:r>
                    <w:rPr>
                      <w:b/>
                      <w:szCs w:val="21"/>
                    </w:rPr>
                    <w:t>类别</w:t>
                  </w:r>
                </w:p>
              </w:tc>
              <w:tc>
                <w:tcPr>
                  <w:tcW w:w="2641" w:type="dxa"/>
                  <w:gridSpan w:val="2"/>
                  <w:tcMar>
                    <w:left w:w="0" w:type="dxa"/>
                    <w:right w:w="0" w:type="dxa"/>
                  </w:tcMar>
                  <w:vAlign w:val="center"/>
                </w:tcPr>
                <w:p>
                  <w:pPr>
                    <w:widowControl/>
                    <w:adjustRightInd w:val="0"/>
                    <w:snapToGrid w:val="0"/>
                    <w:jc w:val="center"/>
                    <w:rPr>
                      <w:b/>
                      <w:szCs w:val="21"/>
                    </w:rPr>
                  </w:pPr>
                  <w:r>
                    <w:rPr>
                      <w:b/>
                      <w:szCs w:val="21"/>
                    </w:rPr>
                    <w:t>标准值</w:t>
                  </w:r>
                </w:p>
              </w:tc>
              <w:tc>
                <w:tcPr>
                  <w:tcW w:w="4230" w:type="dxa"/>
                  <w:vMerge w:val="restart"/>
                  <w:tcMar>
                    <w:left w:w="0" w:type="dxa"/>
                    <w:right w:w="0" w:type="dxa"/>
                  </w:tcMar>
                  <w:vAlign w:val="center"/>
                </w:tcPr>
                <w:p>
                  <w:pPr>
                    <w:widowControl/>
                    <w:adjustRightInd w:val="0"/>
                    <w:snapToGrid w:val="0"/>
                    <w:jc w:val="center"/>
                    <w:rPr>
                      <w:b/>
                      <w:szCs w:val="21"/>
                    </w:rPr>
                  </w:pPr>
                  <w:r>
                    <w:rPr>
                      <w:b/>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Merge w:val="continue"/>
                  <w:vAlign w:val="center"/>
                </w:tcPr>
                <w:p>
                  <w:pPr>
                    <w:widowControl/>
                    <w:adjustRightInd w:val="0"/>
                    <w:snapToGrid w:val="0"/>
                    <w:jc w:val="center"/>
                    <w:rPr>
                      <w:b/>
                      <w:szCs w:val="21"/>
                    </w:rPr>
                  </w:pPr>
                </w:p>
              </w:tc>
              <w:tc>
                <w:tcPr>
                  <w:tcW w:w="1284" w:type="dxa"/>
                  <w:tcMar>
                    <w:left w:w="0" w:type="dxa"/>
                    <w:right w:w="0" w:type="dxa"/>
                  </w:tcMar>
                  <w:vAlign w:val="center"/>
                </w:tcPr>
                <w:p>
                  <w:pPr>
                    <w:widowControl/>
                    <w:adjustRightInd w:val="0"/>
                    <w:snapToGrid w:val="0"/>
                    <w:jc w:val="center"/>
                    <w:rPr>
                      <w:b/>
                      <w:szCs w:val="21"/>
                    </w:rPr>
                  </w:pPr>
                  <w:r>
                    <w:rPr>
                      <w:b/>
                      <w:szCs w:val="21"/>
                    </w:rPr>
                    <w:t>昼间</w:t>
                  </w:r>
                </w:p>
              </w:tc>
              <w:tc>
                <w:tcPr>
                  <w:tcW w:w="1357" w:type="dxa"/>
                  <w:tcMar>
                    <w:left w:w="0" w:type="dxa"/>
                    <w:right w:w="0" w:type="dxa"/>
                  </w:tcMar>
                  <w:vAlign w:val="center"/>
                </w:tcPr>
                <w:p>
                  <w:pPr>
                    <w:widowControl/>
                    <w:adjustRightInd w:val="0"/>
                    <w:snapToGrid w:val="0"/>
                    <w:jc w:val="center"/>
                    <w:rPr>
                      <w:b/>
                      <w:szCs w:val="21"/>
                    </w:rPr>
                  </w:pPr>
                  <w:r>
                    <w:rPr>
                      <w:b/>
                      <w:szCs w:val="21"/>
                    </w:rPr>
                    <w:t>夜间</w:t>
                  </w:r>
                </w:p>
              </w:tc>
              <w:tc>
                <w:tcPr>
                  <w:tcW w:w="4230" w:type="dxa"/>
                  <w:vMerge w:val="continue"/>
                  <w:tcMar>
                    <w:left w:w="0" w:type="dxa"/>
                    <w:right w:w="0" w:type="dxa"/>
                  </w:tcMar>
                  <w:vAlign w:val="center"/>
                </w:tcPr>
                <w:p>
                  <w:pPr>
                    <w:widowControl/>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Align w:val="center"/>
                </w:tcPr>
                <w:p>
                  <w:pPr>
                    <w:widowControl/>
                    <w:adjustRightInd w:val="0"/>
                    <w:snapToGrid w:val="0"/>
                    <w:jc w:val="center"/>
                    <w:rPr>
                      <w:szCs w:val="21"/>
                    </w:rPr>
                  </w:pPr>
                  <w:r>
                    <w:rPr>
                      <w:szCs w:val="21"/>
                    </w:rPr>
                    <w:t>2</w:t>
                  </w:r>
                </w:p>
              </w:tc>
              <w:tc>
                <w:tcPr>
                  <w:tcW w:w="1284" w:type="dxa"/>
                  <w:tcMar>
                    <w:left w:w="0" w:type="dxa"/>
                    <w:right w:w="0" w:type="dxa"/>
                  </w:tcMar>
                  <w:vAlign w:val="center"/>
                </w:tcPr>
                <w:p>
                  <w:pPr>
                    <w:widowControl/>
                    <w:adjustRightInd w:val="0"/>
                    <w:snapToGrid w:val="0"/>
                    <w:jc w:val="center"/>
                    <w:rPr>
                      <w:szCs w:val="21"/>
                    </w:rPr>
                  </w:pPr>
                  <w:r>
                    <w:rPr>
                      <w:szCs w:val="21"/>
                    </w:rPr>
                    <w:t>60</w:t>
                  </w:r>
                </w:p>
              </w:tc>
              <w:tc>
                <w:tcPr>
                  <w:tcW w:w="1357" w:type="dxa"/>
                  <w:tcMar>
                    <w:left w:w="0" w:type="dxa"/>
                    <w:right w:w="0" w:type="dxa"/>
                  </w:tcMar>
                  <w:vAlign w:val="center"/>
                </w:tcPr>
                <w:p>
                  <w:pPr>
                    <w:widowControl/>
                    <w:adjustRightInd w:val="0"/>
                    <w:snapToGrid w:val="0"/>
                    <w:jc w:val="center"/>
                    <w:rPr>
                      <w:szCs w:val="21"/>
                    </w:rPr>
                  </w:pPr>
                  <w:r>
                    <w:rPr>
                      <w:szCs w:val="21"/>
                    </w:rPr>
                    <w:t>50</w:t>
                  </w:r>
                </w:p>
              </w:tc>
              <w:tc>
                <w:tcPr>
                  <w:tcW w:w="4230" w:type="dxa"/>
                  <w:tcMar>
                    <w:left w:w="0" w:type="dxa"/>
                    <w:right w:w="0" w:type="dxa"/>
                  </w:tcMar>
                  <w:vAlign w:val="center"/>
                </w:tcPr>
                <w:p>
                  <w:pPr>
                    <w:widowControl/>
                    <w:adjustRightInd w:val="0"/>
                    <w:snapToGrid w:val="0"/>
                    <w:jc w:val="center"/>
                    <w:rPr>
                      <w:szCs w:val="21"/>
                    </w:rPr>
                  </w:pPr>
                  <w:r>
                    <w:rPr>
                      <w:szCs w:val="21"/>
                    </w:rPr>
                    <w:t>《工业企业厂界环境噪声排放标准》（GB12348-2008）</w:t>
                  </w:r>
                </w:p>
              </w:tc>
            </w:tr>
          </w:tbl>
          <w:p>
            <w:pPr>
              <w:autoSpaceDE w:val="0"/>
              <w:autoSpaceDN w:val="0"/>
              <w:adjustRightInd w:val="0"/>
              <w:snapToGrid w:val="0"/>
              <w:spacing w:line="360" w:lineRule="auto"/>
              <w:ind w:firstLine="482" w:firstLineChars="200"/>
              <w:rPr>
                <w:b/>
                <w:sz w:val="24"/>
              </w:rPr>
            </w:pPr>
            <w:r>
              <w:rPr>
                <w:b/>
                <w:sz w:val="24"/>
              </w:rPr>
              <w:t>（4）固体废物</w:t>
            </w:r>
          </w:p>
          <w:p>
            <w:pPr>
              <w:autoSpaceDE w:val="0"/>
              <w:autoSpaceDN w:val="0"/>
              <w:adjustRightInd w:val="0"/>
              <w:snapToGrid w:val="0"/>
              <w:spacing w:line="360" w:lineRule="auto"/>
              <w:ind w:firstLine="480" w:firstLineChars="200"/>
              <w:rPr>
                <w:sz w:val="24"/>
              </w:rPr>
            </w:pPr>
            <w:r>
              <w:rPr>
                <w:sz w:val="24"/>
              </w:rPr>
              <w:t>项目产生的一般工业固体废物贮存执行《一般工业固体废物贮存和填埋污染控制标准》（GB18599-2020）中的有关规定，危险废物处理执行《危险废物贮存污染控制标准》（GB18597-2023）有关规定</w:t>
            </w:r>
            <w:r>
              <w:rPr>
                <w:rFonts w:hint="eastAsia"/>
                <w:sz w:val="24"/>
              </w:rPr>
              <w:t>，</w:t>
            </w:r>
            <w:r>
              <w:rPr>
                <w:sz w:val="24"/>
              </w:rPr>
              <w:t>污泥参照执行</w:t>
            </w:r>
            <w:r>
              <w:rPr>
                <w:rFonts w:hint="eastAsia"/>
                <w:sz w:val="24"/>
              </w:rPr>
              <w:t>《医疗机构水污染物排放标准》（GB18446-2005）中的表4医疗机构污泥控制标准。</w:t>
            </w:r>
          </w:p>
          <w:p>
            <w:pPr>
              <w:autoSpaceDE w:val="0"/>
              <w:autoSpaceDN w:val="0"/>
              <w:adjustRightInd w:val="0"/>
              <w:snapToGrid w:val="0"/>
              <w:spacing w:line="360" w:lineRule="auto"/>
              <w:ind w:firstLine="480" w:firstLineChars="200"/>
              <w:rPr>
                <w:kern w:val="0"/>
                <w:szCs w:val="21"/>
              </w:rPr>
            </w:pPr>
            <w:r>
              <w:rPr>
                <w:sz w:val="24"/>
              </w:rPr>
              <w:t>（5）其他排放标准按照国家规定标准执行。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800" w:type="dxa"/>
            <w:vAlign w:val="center"/>
          </w:tcPr>
          <w:p>
            <w:pPr>
              <w:adjustRightInd w:val="0"/>
              <w:snapToGrid w:val="0"/>
              <w:jc w:val="center"/>
              <w:rPr>
                <w:kern w:val="0"/>
                <w:sz w:val="24"/>
              </w:rPr>
            </w:pPr>
            <w:r>
              <w:rPr>
                <w:kern w:val="0"/>
                <w:sz w:val="24"/>
              </w:rPr>
              <w:t>总量</w:t>
            </w:r>
          </w:p>
          <w:p>
            <w:pPr>
              <w:adjustRightInd w:val="0"/>
              <w:snapToGrid w:val="0"/>
              <w:jc w:val="center"/>
              <w:rPr>
                <w:kern w:val="0"/>
                <w:sz w:val="24"/>
              </w:rPr>
            </w:pPr>
            <w:r>
              <w:rPr>
                <w:kern w:val="0"/>
                <w:sz w:val="24"/>
              </w:rPr>
              <w:t>控制</w:t>
            </w:r>
          </w:p>
          <w:p>
            <w:pPr>
              <w:adjustRightInd w:val="0"/>
              <w:snapToGrid w:val="0"/>
              <w:jc w:val="center"/>
              <w:rPr>
                <w:kern w:val="0"/>
                <w:sz w:val="24"/>
              </w:rPr>
            </w:pPr>
            <w:r>
              <w:rPr>
                <w:kern w:val="0"/>
                <w:sz w:val="24"/>
              </w:rPr>
              <w:t>指标</w:t>
            </w:r>
          </w:p>
        </w:tc>
        <w:tc>
          <w:tcPr>
            <w:tcW w:w="8190" w:type="dxa"/>
            <w:vAlign w:val="center"/>
          </w:tcPr>
          <w:p>
            <w:pPr>
              <w:pStyle w:val="65"/>
              <w:spacing w:before="24" w:after="24" w:line="360" w:lineRule="auto"/>
              <w:ind w:firstLine="480" w:firstLineChars="200"/>
              <w:rPr>
                <w:rFonts w:ascii="Times New Roman" w:hAnsi="Times New Roman" w:cs="Times New Roman"/>
                <w:sz w:val="24"/>
              </w:rPr>
            </w:pPr>
            <w:r>
              <w:rPr>
                <w:rFonts w:ascii="Times New Roman" w:hAnsi="Times New Roman" w:cs="Times New Roman"/>
                <w:sz w:val="24"/>
              </w:rPr>
              <w:t>项目涉及的废气污染物“总量控制”建议指标见下表：</w:t>
            </w:r>
          </w:p>
          <w:p>
            <w:pPr>
              <w:pStyle w:val="65"/>
              <w:spacing w:before="24" w:after="24"/>
              <w:jc w:val="center"/>
              <w:rPr>
                <w:rFonts w:ascii="Times New Roman" w:hAnsi="Times New Roman" w:cs="Times New Roman"/>
                <w:sz w:val="24"/>
              </w:rPr>
            </w:pPr>
            <w:r>
              <w:rPr>
                <w:rFonts w:ascii="Times New Roman" w:hAnsi="Times New Roman" w:cs="Times New Roman"/>
                <w:b/>
                <w:sz w:val="24"/>
              </w:rPr>
              <w:t>表3-11项目总量控制污染物排放统计表</w:t>
            </w:r>
          </w:p>
          <w:tbl>
            <w:tblPr>
              <w:tblStyle w:val="17"/>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70"/>
              <w:gridCol w:w="2541"/>
              <w:gridCol w:w="4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11" w:type="dxa"/>
                  <w:gridSpan w:val="2"/>
                  <w:vAlign w:val="center"/>
                </w:tcPr>
                <w:p>
                  <w:pPr>
                    <w:pStyle w:val="65"/>
                    <w:adjustRightInd w:val="0"/>
                    <w:snapToGrid w:val="0"/>
                    <w:jc w:val="center"/>
                    <w:rPr>
                      <w:rFonts w:ascii="Times New Roman" w:hAnsi="Times New Roman" w:cs="Times New Roman"/>
                      <w:szCs w:val="21"/>
                    </w:rPr>
                  </w:pPr>
                  <w:r>
                    <w:rPr>
                      <w:rFonts w:ascii="Times New Roman" w:hAnsi="Times New Roman" w:cs="Times New Roman"/>
                      <w:szCs w:val="21"/>
                    </w:rPr>
                    <w:t>种类</w:t>
                  </w:r>
                </w:p>
              </w:tc>
              <w:tc>
                <w:tcPr>
                  <w:tcW w:w="4009" w:type="dxa"/>
                  <w:vAlign w:val="center"/>
                </w:tcPr>
                <w:p>
                  <w:pPr>
                    <w:pStyle w:val="65"/>
                    <w:adjustRightInd w:val="0"/>
                    <w:snapToGrid w:val="0"/>
                    <w:jc w:val="center"/>
                    <w:rPr>
                      <w:rFonts w:ascii="Times New Roman" w:hAnsi="Times New Roman" w:cs="Times New Roman"/>
                      <w:szCs w:val="21"/>
                    </w:rPr>
                  </w:pPr>
                  <w:r>
                    <w:rPr>
                      <w:rFonts w:ascii="Times New Roman" w:hAnsi="Times New Roman" w:cs="Times New Roman"/>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70" w:type="dxa"/>
                  <w:vMerge w:val="restart"/>
                  <w:vAlign w:val="center"/>
                </w:tcPr>
                <w:p>
                  <w:pPr>
                    <w:pStyle w:val="65"/>
                    <w:adjustRightInd w:val="0"/>
                    <w:snapToGrid w:val="0"/>
                    <w:jc w:val="center"/>
                    <w:rPr>
                      <w:rFonts w:ascii="Times New Roman" w:hAnsi="Times New Roman" w:cs="Times New Roman"/>
                      <w:szCs w:val="21"/>
                    </w:rPr>
                  </w:pPr>
                  <w:r>
                    <w:rPr>
                      <w:rFonts w:ascii="Times New Roman" w:hAnsi="Times New Roman" w:cs="Times New Roman"/>
                      <w:szCs w:val="21"/>
                    </w:rPr>
                    <w:t>废气</w:t>
                  </w:r>
                </w:p>
              </w:tc>
              <w:tc>
                <w:tcPr>
                  <w:tcW w:w="2541" w:type="dxa"/>
                  <w:vAlign w:val="center"/>
                </w:tcPr>
                <w:p>
                  <w:pPr>
                    <w:pStyle w:val="65"/>
                    <w:adjustRightInd w:val="0"/>
                    <w:snapToGrid w:val="0"/>
                    <w:jc w:val="center"/>
                    <w:rPr>
                      <w:rFonts w:ascii="Times New Roman" w:hAnsi="Times New Roman" w:cs="Times New Roman"/>
                      <w:szCs w:val="21"/>
                    </w:rPr>
                  </w:pPr>
                  <w:r>
                    <w:rPr>
                      <w:rFonts w:ascii="Times New Roman" w:hAnsi="Times New Roman" w:cs="Times New Roman"/>
                      <w:position w:val="2"/>
                      <w:szCs w:val="21"/>
                    </w:rPr>
                    <w:t>SO</w:t>
                  </w:r>
                  <w:r>
                    <w:rPr>
                      <w:rFonts w:ascii="Times New Roman" w:hAnsi="Times New Roman" w:cs="Times New Roman"/>
                      <w:position w:val="2"/>
                      <w:szCs w:val="21"/>
                      <w:vertAlign w:val="subscript"/>
                    </w:rPr>
                    <w:t>2</w:t>
                  </w:r>
                </w:p>
              </w:tc>
              <w:tc>
                <w:tcPr>
                  <w:tcW w:w="4009" w:type="dxa"/>
                  <w:vAlign w:val="center"/>
                </w:tcPr>
                <w:p>
                  <w:pPr>
                    <w:pStyle w:val="65"/>
                    <w:adjustRightInd w:val="0"/>
                    <w:snapToGrid w:val="0"/>
                    <w:jc w:val="center"/>
                    <w:rPr>
                      <w:rFonts w:ascii="Times New Roman" w:hAnsi="Times New Roman" w:cs="Times New Roman"/>
                      <w:szCs w:val="21"/>
                    </w:rPr>
                  </w:pPr>
                  <w:r>
                    <w:rPr>
                      <w:rFonts w:ascii="Times New Roman" w:hAnsi="Times New Roman" w:cs="Times New Roman"/>
                      <w:szCs w:val="21"/>
                    </w:rPr>
                    <w:t>0.98</w:t>
                  </w:r>
                  <w:r>
                    <w:rPr>
                      <w:rFonts w:ascii="Times New Roman" w:hAnsi="Times New Roman" w:cs="Times New Roman"/>
                      <w:sz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70" w:type="dxa"/>
                  <w:vMerge w:val="continue"/>
                  <w:vAlign w:val="center"/>
                </w:tcPr>
                <w:p>
                  <w:pPr>
                    <w:adjustRightInd w:val="0"/>
                    <w:snapToGrid w:val="0"/>
                    <w:jc w:val="center"/>
                    <w:rPr>
                      <w:szCs w:val="21"/>
                    </w:rPr>
                  </w:pPr>
                </w:p>
              </w:tc>
              <w:tc>
                <w:tcPr>
                  <w:tcW w:w="2541" w:type="dxa"/>
                  <w:vAlign w:val="center"/>
                </w:tcPr>
                <w:p>
                  <w:pPr>
                    <w:pStyle w:val="65"/>
                    <w:adjustRightInd w:val="0"/>
                    <w:snapToGrid w:val="0"/>
                    <w:jc w:val="center"/>
                    <w:rPr>
                      <w:rFonts w:ascii="Times New Roman" w:hAnsi="Times New Roman" w:cs="Times New Roman"/>
                      <w:szCs w:val="21"/>
                    </w:rPr>
                  </w:pPr>
                  <w:r>
                    <w:rPr>
                      <w:rFonts w:ascii="Times New Roman" w:hAnsi="Times New Roman" w:cs="Times New Roman"/>
                      <w:szCs w:val="21"/>
                    </w:rPr>
                    <w:t>NOx</w:t>
                  </w:r>
                </w:p>
              </w:tc>
              <w:tc>
                <w:tcPr>
                  <w:tcW w:w="4009" w:type="dxa"/>
                  <w:vAlign w:val="center"/>
                </w:tcPr>
                <w:p>
                  <w:pPr>
                    <w:pStyle w:val="65"/>
                    <w:adjustRightInd w:val="0"/>
                    <w:snapToGrid w:val="0"/>
                    <w:jc w:val="center"/>
                    <w:rPr>
                      <w:rFonts w:ascii="Times New Roman" w:hAnsi="Times New Roman" w:cs="Times New Roman"/>
                      <w:szCs w:val="21"/>
                    </w:rPr>
                  </w:pPr>
                  <w:r>
                    <w:rPr>
                      <w:rFonts w:ascii="Times New Roman" w:hAnsi="Times New Roman" w:cs="Times New Roman"/>
                      <w:szCs w:val="21"/>
                    </w:rPr>
                    <w:t>1.91</w:t>
                  </w:r>
                  <w:r>
                    <w:rPr>
                      <w:rFonts w:ascii="Times New Roman" w:hAnsi="Times New Roman" w:cs="Times New Roman"/>
                      <w:sz w:val="24"/>
                    </w:rPr>
                    <w:t>t/a</w:t>
                  </w:r>
                </w:p>
              </w:tc>
            </w:tr>
          </w:tbl>
          <w:p>
            <w:pPr>
              <w:adjustRightInd w:val="0"/>
              <w:snapToGrid w:val="0"/>
              <w:jc w:val="center"/>
              <w:rPr>
                <w:kern w:val="0"/>
                <w:sz w:val="24"/>
              </w:rPr>
            </w:pPr>
          </w:p>
          <w:p>
            <w:pPr>
              <w:adjustRightInd w:val="0"/>
              <w:snapToGrid w:val="0"/>
              <w:jc w:val="center"/>
              <w:rPr>
                <w:kern w:val="0"/>
                <w:sz w:val="24"/>
              </w:rPr>
            </w:pPr>
          </w:p>
          <w:p>
            <w:pPr>
              <w:adjustRightInd w:val="0"/>
              <w:snapToGrid w:val="0"/>
              <w:jc w:val="center"/>
              <w:rPr>
                <w:kern w:val="0"/>
                <w:sz w:val="24"/>
              </w:rPr>
            </w:pPr>
          </w:p>
          <w:p>
            <w:pPr>
              <w:adjustRightInd w:val="0"/>
              <w:snapToGrid w:val="0"/>
              <w:jc w:val="center"/>
              <w:rPr>
                <w:kern w:val="0"/>
                <w:sz w:val="24"/>
              </w:rPr>
            </w:pPr>
          </w:p>
          <w:p>
            <w:pPr>
              <w:adjustRightInd w:val="0"/>
              <w:snapToGrid w:val="0"/>
              <w:jc w:val="center"/>
              <w:rPr>
                <w:kern w:val="0"/>
                <w:sz w:val="24"/>
              </w:rPr>
            </w:pPr>
          </w:p>
          <w:p>
            <w:pPr>
              <w:adjustRightInd w:val="0"/>
              <w:snapToGrid w:val="0"/>
              <w:jc w:val="center"/>
              <w:rPr>
                <w:kern w:val="0"/>
                <w:sz w:val="24"/>
              </w:rPr>
            </w:pPr>
          </w:p>
          <w:p>
            <w:pPr>
              <w:adjustRightInd w:val="0"/>
              <w:snapToGrid w:val="0"/>
              <w:jc w:val="center"/>
              <w:rPr>
                <w:kern w:val="0"/>
                <w:sz w:val="24"/>
              </w:rPr>
            </w:pPr>
          </w:p>
          <w:p>
            <w:pPr>
              <w:adjustRightInd w:val="0"/>
              <w:snapToGrid w:val="0"/>
              <w:jc w:val="center"/>
              <w:rPr>
                <w:kern w:val="0"/>
                <w:sz w:val="24"/>
              </w:rPr>
            </w:pPr>
          </w:p>
          <w:p>
            <w:pPr>
              <w:adjustRightInd w:val="0"/>
              <w:snapToGrid w:val="0"/>
              <w:jc w:val="center"/>
              <w:rPr>
                <w:kern w:val="0"/>
                <w:sz w:val="24"/>
              </w:rPr>
            </w:pPr>
          </w:p>
          <w:p>
            <w:pPr>
              <w:adjustRightInd w:val="0"/>
              <w:snapToGrid w:val="0"/>
              <w:jc w:val="center"/>
              <w:rPr>
                <w:kern w:val="0"/>
                <w:sz w:val="24"/>
              </w:rPr>
            </w:pPr>
          </w:p>
        </w:tc>
      </w:tr>
    </w:tbl>
    <w:p>
      <w:pPr>
        <w:pStyle w:val="14"/>
        <w:jc w:val="center"/>
        <w:outlineLvl w:val="0"/>
        <w:rPr>
          <w:rFonts w:ascii="Times New Roman" w:hAnsi="Times New Roman"/>
        </w:rPr>
      </w:pPr>
      <w:r>
        <w:rPr>
          <w:rFonts w:ascii="Times New Roman" w:hAnsi="Times New Roman"/>
          <w:snapToGrid w:val="0"/>
          <w:sz w:val="36"/>
          <w:szCs w:val="36"/>
        </w:rPr>
        <w:br w:type="page"/>
      </w:r>
      <w:r>
        <w:rPr>
          <w:rFonts w:ascii="Times New Roman" w:hAnsi="Times New Roman"/>
          <w:snapToGrid w:val="0"/>
          <w:sz w:val="30"/>
          <w:szCs w:val="30"/>
        </w:rPr>
        <w:t>四、主要环境影响和保护措施</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Mar>
              <w:left w:w="28" w:type="dxa"/>
              <w:right w:w="28" w:type="dxa"/>
            </w:tcMar>
            <w:vAlign w:val="center"/>
          </w:tcPr>
          <w:p>
            <w:pPr>
              <w:pStyle w:val="14"/>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pPr>
              <w:pStyle w:val="14"/>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pPr>
              <w:pStyle w:val="14"/>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pPr>
              <w:pStyle w:val="14"/>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pPr>
              <w:pStyle w:val="14"/>
              <w:adjustRightInd w:val="0"/>
              <w:snapToGrid w:val="0"/>
              <w:spacing w:before="0" w:beforeAutospacing="0" w:after="0" w:afterAutospacing="0"/>
              <w:jc w:val="center"/>
              <w:rPr>
                <w:rFonts w:ascii="Times New Roman" w:hAnsi="Times New Roman"/>
                <w:bCs/>
                <w:kern w:val="2"/>
                <w:szCs w:val="24"/>
              </w:rPr>
            </w:pPr>
            <w:r>
              <w:rPr>
                <w:rFonts w:ascii="Times New Roman" w:hAnsi="Times New Roman"/>
                <w:kern w:val="2"/>
                <w:szCs w:val="24"/>
              </w:rPr>
              <w:t>施</w:t>
            </w:r>
          </w:p>
        </w:tc>
        <w:tc>
          <w:tcPr>
            <w:tcW w:w="8162" w:type="dxa"/>
            <w:vAlign w:val="center"/>
          </w:tcPr>
          <w:p>
            <w:pPr>
              <w:autoSpaceDE w:val="0"/>
              <w:autoSpaceDN w:val="0"/>
              <w:adjustRightInd w:val="0"/>
              <w:snapToGrid w:val="0"/>
              <w:spacing w:line="355" w:lineRule="auto"/>
              <w:ind w:firstLine="480" w:firstLineChars="200"/>
              <w:rPr>
                <w:sz w:val="24"/>
              </w:rPr>
            </w:pPr>
            <w:r>
              <w:rPr>
                <w:sz w:val="24"/>
              </w:rPr>
              <w:t>本项目施工期主要为火化楼、骨灰楼、悼念厅、综合楼、管理用房、公共卫生间、地下设备间等的建设，厂区硬化，房屋简单装修及设备安装。</w:t>
            </w:r>
          </w:p>
          <w:p>
            <w:pPr>
              <w:autoSpaceDE w:val="0"/>
              <w:autoSpaceDN w:val="0"/>
              <w:adjustRightInd w:val="0"/>
              <w:snapToGrid w:val="0"/>
              <w:spacing w:line="355" w:lineRule="auto"/>
              <w:ind w:firstLine="482" w:firstLineChars="200"/>
              <w:rPr>
                <w:b/>
                <w:sz w:val="24"/>
              </w:rPr>
            </w:pPr>
            <w:r>
              <w:rPr>
                <w:b/>
                <w:sz w:val="24"/>
              </w:rPr>
              <w:t>1、施工废气污染防治措施</w:t>
            </w:r>
          </w:p>
          <w:p>
            <w:pPr>
              <w:autoSpaceDE w:val="0"/>
              <w:autoSpaceDN w:val="0"/>
              <w:adjustRightInd w:val="0"/>
              <w:snapToGrid w:val="0"/>
              <w:spacing w:line="355" w:lineRule="auto"/>
              <w:ind w:firstLine="480" w:firstLineChars="200"/>
              <w:rPr>
                <w:sz w:val="24"/>
              </w:rPr>
            </w:pPr>
            <w:r>
              <w:rPr>
                <w:sz w:val="24"/>
              </w:rPr>
              <w:t>（1）施工扬尘</w:t>
            </w:r>
          </w:p>
          <w:p>
            <w:pPr>
              <w:autoSpaceDE w:val="0"/>
              <w:autoSpaceDN w:val="0"/>
              <w:adjustRightInd w:val="0"/>
              <w:snapToGrid w:val="0"/>
              <w:spacing w:line="355" w:lineRule="auto"/>
              <w:ind w:firstLine="480" w:firstLineChars="200"/>
              <w:rPr>
                <w:sz w:val="24"/>
              </w:rPr>
            </w:pPr>
            <w:r>
              <w:rPr>
                <w:sz w:val="24"/>
              </w:rPr>
              <w:t>本项目施工土建工程较少，为减轻施工期扬尘对大气环境的影响，施工单位应严格按照《陕西省大气污染防治条例》、《陕西省建筑施工扬尘治理行动方案》、《陕西省扬尘污染专项整治行动方案》等文件要求施工，本次环评提出以下大气污染防治措施：</w:t>
            </w:r>
          </w:p>
          <w:p>
            <w:pPr>
              <w:autoSpaceDE w:val="0"/>
              <w:autoSpaceDN w:val="0"/>
              <w:adjustRightInd w:val="0"/>
              <w:snapToGrid w:val="0"/>
              <w:spacing w:line="355" w:lineRule="auto"/>
              <w:ind w:firstLine="480" w:firstLineChars="200"/>
              <w:rPr>
                <w:sz w:val="24"/>
              </w:rPr>
            </w:pPr>
            <w:r>
              <w:rPr>
                <w:rFonts w:hint="eastAsia" w:ascii="宋体" w:hAnsi="宋体" w:cs="宋体"/>
                <w:sz w:val="24"/>
              </w:rPr>
              <w:t>①</w:t>
            </w:r>
            <w:r>
              <w:rPr>
                <w:sz w:val="24"/>
              </w:rPr>
              <w:t>施工单位必须制定施工现场扬尘预防治理专项方案，并指定专人负责落实，无专项方案严禁开工；工程项目部必须制定重污染天气应急预案，政府发布重污染预警时，立即启动应急响应，同时对进场所有作业人员进行工地扬尘预防治理知识培训。</w:t>
            </w:r>
          </w:p>
          <w:p>
            <w:pPr>
              <w:autoSpaceDE w:val="0"/>
              <w:autoSpaceDN w:val="0"/>
              <w:adjustRightInd w:val="0"/>
              <w:snapToGrid w:val="0"/>
              <w:spacing w:line="355" w:lineRule="auto"/>
              <w:ind w:firstLine="480" w:firstLineChars="200"/>
              <w:rPr>
                <w:sz w:val="24"/>
              </w:rPr>
            </w:pPr>
            <w:r>
              <w:rPr>
                <w:rFonts w:hint="eastAsia" w:ascii="宋体" w:hAnsi="宋体" w:cs="宋体"/>
                <w:sz w:val="24"/>
              </w:rPr>
              <w:t>②</w:t>
            </w:r>
            <w:r>
              <w:rPr>
                <w:sz w:val="24"/>
              </w:rPr>
              <w:t>施工工地严格落实“六个100%管理（工地周边围挡、物料堆放覆盖、土方开挖湿法作业、路面硬化、出入车辆清洗、渣土车辆密闭运输）”。</w:t>
            </w:r>
          </w:p>
          <w:p>
            <w:pPr>
              <w:autoSpaceDE w:val="0"/>
              <w:autoSpaceDN w:val="0"/>
              <w:adjustRightInd w:val="0"/>
              <w:snapToGrid w:val="0"/>
              <w:spacing w:line="355" w:lineRule="auto"/>
              <w:ind w:firstLine="480" w:firstLineChars="200"/>
              <w:rPr>
                <w:sz w:val="24"/>
              </w:rPr>
            </w:pPr>
            <w:r>
              <w:rPr>
                <w:rFonts w:hint="eastAsia" w:ascii="宋体" w:hAnsi="宋体" w:cs="宋体"/>
                <w:sz w:val="24"/>
              </w:rPr>
              <w:t>③</w:t>
            </w:r>
            <w:r>
              <w:rPr>
                <w:sz w:val="24"/>
              </w:rPr>
              <w:t>基础施工前，设置硬质围挡（墙）高度不低于1.8m，围挡（墙）间无缝隙，底部设置防溢座；对易产生扬尘的裸露场地及建筑材料应采取防尘网覆盖，定期洒水抑尘。</w:t>
            </w:r>
          </w:p>
          <w:p>
            <w:pPr>
              <w:autoSpaceDE w:val="0"/>
              <w:autoSpaceDN w:val="0"/>
              <w:adjustRightInd w:val="0"/>
              <w:snapToGrid w:val="0"/>
              <w:spacing w:line="355" w:lineRule="auto"/>
              <w:ind w:firstLine="480" w:firstLineChars="200"/>
              <w:rPr>
                <w:sz w:val="24"/>
              </w:rPr>
            </w:pPr>
            <w:r>
              <w:rPr>
                <w:rFonts w:hint="eastAsia" w:ascii="宋体" w:hAnsi="宋体" w:cs="宋体"/>
                <w:sz w:val="24"/>
              </w:rPr>
              <w:t>④</w:t>
            </w:r>
            <w:r>
              <w:rPr>
                <w:sz w:val="24"/>
              </w:rPr>
              <w:t>工地现场车辆出入口应设置车辆自动冲洗装置。特殊情况下，可采用移动式冲洗设备。车辆冲洗应有专人负责，确保车辆外部、底盘、轮胎处不得粘有污物和泥土，严禁车辆带泥上路。</w:t>
            </w:r>
          </w:p>
          <w:p>
            <w:pPr>
              <w:autoSpaceDE w:val="0"/>
              <w:autoSpaceDN w:val="0"/>
              <w:adjustRightInd w:val="0"/>
              <w:snapToGrid w:val="0"/>
              <w:spacing w:line="355" w:lineRule="auto"/>
              <w:ind w:firstLine="480" w:firstLineChars="200"/>
              <w:rPr>
                <w:sz w:val="24"/>
              </w:rPr>
            </w:pPr>
            <w:r>
              <w:rPr>
                <w:rFonts w:hint="eastAsia" w:ascii="宋体" w:hAnsi="宋体" w:cs="宋体"/>
                <w:sz w:val="24"/>
              </w:rPr>
              <w:t>⑤</w:t>
            </w:r>
            <w:r>
              <w:rPr>
                <w:sz w:val="24"/>
              </w:rPr>
              <w:t>土方作业应当采取洒水压尘措施，配备雾炮机，缩短起尘操作时间。发布雾霾橙色以上等级预警或环境空气质量连续2天达到严重污染日标准且无改善趋势，应暂停建筑工地出土、拆迁等所有土石方作业，同时土方堆放处覆以防尘网。</w:t>
            </w:r>
          </w:p>
          <w:p>
            <w:pPr>
              <w:autoSpaceDE w:val="0"/>
              <w:autoSpaceDN w:val="0"/>
              <w:adjustRightInd w:val="0"/>
              <w:snapToGrid w:val="0"/>
              <w:spacing w:line="355" w:lineRule="auto"/>
              <w:ind w:firstLine="480" w:firstLineChars="200"/>
              <w:rPr>
                <w:sz w:val="24"/>
              </w:rPr>
            </w:pPr>
            <w:r>
              <w:rPr>
                <w:rFonts w:hint="eastAsia" w:ascii="宋体" w:hAnsi="宋体" w:cs="宋体"/>
                <w:sz w:val="24"/>
              </w:rPr>
              <w:t>⑥</w:t>
            </w:r>
            <w:r>
              <w:rPr>
                <w:sz w:val="24"/>
              </w:rPr>
              <w:t>施工现场的建筑垃圾，应严密遮盖，及时清运。建筑垃圾、物料等运输车辆遮盖篷布，采取密闭运输，统一安装卫星定位装置，并与主管部门联网，严禁“跑冒滴漏”和违规驾驶禁。合理规划施工材料运输路线、时间。</w:t>
            </w:r>
          </w:p>
          <w:p>
            <w:pPr>
              <w:autoSpaceDE w:val="0"/>
              <w:autoSpaceDN w:val="0"/>
              <w:adjustRightInd w:val="0"/>
              <w:snapToGrid w:val="0"/>
              <w:spacing w:line="355" w:lineRule="auto"/>
              <w:ind w:firstLine="480" w:firstLineChars="200"/>
              <w:rPr>
                <w:sz w:val="24"/>
              </w:rPr>
            </w:pPr>
            <w:r>
              <w:rPr>
                <w:rFonts w:hint="eastAsia" w:ascii="宋体" w:hAnsi="宋体" w:cs="宋体"/>
                <w:sz w:val="24"/>
              </w:rPr>
              <w:t>⑦</w:t>
            </w:r>
            <w:r>
              <w:rPr>
                <w:sz w:val="24"/>
              </w:rPr>
              <w:t>施工期混凝土应使用商品混凝土，禁止现场搅拌混凝土、配置砂浆。</w:t>
            </w:r>
          </w:p>
          <w:p>
            <w:pPr>
              <w:autoSpaceDE w:val="0"/>
              <w:autoSpaceDN w:val="0"/>
              <w:adjustRightInd w:val="0"/>
              <w:snapToGrid w:val="0"/>
              <w:spacing w:line="355" w:lineRule="auto"/>
              <w:ind w:firstLine="480" w:firstLineChars="200"/>
              <w:rPr>
                <w:sz w:val="24"/>
              </w:rPr>
            </w:pPr>
            <w:r>
              <w:rPr>
                <w:rFonts w:hint="eastAsia" w:ascii="宋体" w:hAnsi="宋体" w:cs="宋体"/>
                <w:sz w:val="24"/>
              </w:rPr>
              <w:t>⑧</w:t>
            </w:r>
            <w:r>
              <w:rPr>
                <w:sz w:val="24"/>
              </w:rPr>
              <w:t>施工工地出入口必须设立环境保护监督牌。注明项目名称、建设单位、施工单位、防治扬尘污染现场监督员姓名和联系电话、项目工期、环保措施、辖区环保部门举报电话等内容。</w:t>
            </w:r>
          </w:p>
          <w:p>
            <w:pPr>
              <w:autoSpaceDE w:val="0"/>
              <w:autoSpaceDN w:val="0"/>
              <w:adjustRightInd w:val="0"/>
              <w:snapToGrid w:val="0"/>
              <w:spacing w:line="355" w:lineRule="auto"/>
              <w:ind w:firstLine="480" w:firstLineChars="200"/>
              <w:rPr>
                <w:sz w:val="24"/>
              </w:rPr>
            </w:pPr>
            <w:r>
              <w:rPr>
                <w:sz w:val="24"/>
              </w:rPr>
              <w:t>在加强管理、切实落实好上述措施后，施工扬尘对大气环境影响较小，同时该影响也将随施工的结束而消失。</w:t>
            </w:r>
          </w:p>
          <w:p>
            <w:pPr>
              <w:autoSpaceDE w:val="0"/>
              <w:autoSpaceDN w:val="0"/>
              <w:adjustRightInd w:val="0"/>
              <w:snapToGrid w:val="0"/>
              <w:spacing w:line="355" w:lineRule="auto"/>
              <w:ind w:firstLine="480" w:firstLineChars="200"/>
              <w:rPr>
                <w:sz w:val="24"/>
              </w:rPr>
            </w:pPr>
            <w:r>
              <w:rPr>
                <w:sz w:val="24"/>
              </w:rPr>
              <w:t>（2）燃油机械及运输车辆尾气</w:t>
            </w:r>
          </w:p>
          <w:p>
            <w:pPr>
              <w:autoSpaceDE w:val="0"/>
              <w:autoSpaceDN w:val="0"/>
              <w:adjustRightInd w:val="0"/>
              <w:snapToGrid w:val="0"/>
              <w:spacing w:line="355" w:lineRule="auto"/>
              <w:ind w:firstLine="480" w:firstLineChars="200"/>
              <w:rPr>
                <w:sz w:val="24"/>
              </w:rPr>
            </w:pPr>
            <w:r>
              <w:rPr>
                <w:sz w:val="24"/>
              </w:rPr>
              <w:t>施工区的燃油设备主要是施工机械和运输车辆，排放的尾气在施工期对作业点和交通道路附近的大气环境会造成一定程度的污染，产生CO、碳氢化合物、NOx等污染物。由于施工区空气流通性好，排放废气中的各项污染物能够很快扩散，并在加强车辆维护保养后，不会对区域环境空气质量造成影响。</w:t>
            </w:r>
          </w:p>
          <w:p>
            <w:pPr>
              <w:autoSpaceDE w:val="0"/>
              <w:autoSpaceDN w:val="0"/>
              <w:adjustRightInd w:val="0"/>
              <w:snapToGrid w:val="0"/>
              <w:spacing w:line="355" w:lineRule="auto"/>
              <w:ind w:firstLine="480" w:firstLineChars="200"/>
              <w:rPr>
                <w:sz w:val="24"/>
              </w:rPr>
            </w:pPr>
            <w:r>
              <w:rPr>
                <w:sz w:val="24"/>
              </w:rPr>
              <w:t>（3）装修废气</w:t>
            </w:r>
          </w:p>
          <w:p>
            <w:pPr>
              <w:autoSpaceDE w:val="0"/>
              <w:autoSpaceDN w:val="0"/>
              <w:adjustRightInd w:val="0"/>
              <w:snapToGrid w:val="0"/>
              <w:spacing w:line="355" w:lineRule="auto"/>
              <w:ind w:firstLine="480" w:firstLineChars="200"/>
              <w:rPr>
                <w:sz w:val="24"/>
              </w:rPr>
            </w:pPr>
            <w:r>
              <w:rPr>
                <w:sz w:val="24"/>
              </w:rPr>
              <w:t>装修废气主要产生于室内外装修阶段，由于项目只是进行简但装修，且工期短，故产生的废气量较小。建议装修时选用符合标准的低挥发性水性涂料，并加强通风。</w:t>
            </w:r>
          </w:p>
          <w:p>
            <w:pPr>
              <w:autoSpaceDE w:val="0"/>
              <w:autoSpaceDN w:val="0"/>
              <w:adjustRightInd w:val="0"/>
              <w:snapToGrid w:val="0"/>
              <w:spacing w:line="355" w:lineRule="auto"/>
              <w:ind w:firstLine="482" w:firstLineChars="200"/>
              <w:rPr>
                <w:b/>
                <w:sz w:val="24"/>
              </w:rPr>
            </w:pPr>
            <w:r>
              <w:rPr>
                <w:b/>
                <w:sz w:val="24"/>
              </w:rPr>
              <w:t>2、施工废水污染防治措施</w:t>
            </w:r>
          </w:p>
          <w:p>
            <w:pPr>
              <w:autoSpaceDE w:val="0"/>
              <w:autoSpaceDN w:val="0"/>
              <w:adjustRightInd w:val="0"/>
              <w:snapToGrid w:val="0"/>
              <w:spacing w:line="355" w:lineRule="auto"/>
              <w:ind w:firstLine="480" w:firstLineChars="200"/>
              <w:rPr>
                <w:sz w:val="24"/>
              </w:rPr>
            </w:pPr>
            <w:r>
              <w:rPr>
                <w:sz w:val="24"/>
              </w:rPr>
              <w:t>（1）施工人员生活污水</w:t>
            </w:r>
          </w:p>
          <w:p>
            <w:pPr>
              <w:autoSpaceDE w:val="0"/>
              <w:autoSpaceDN w:val="0"/>
              <w:adjustRightInd w:val="0"/>
              <w:snapToGrid w:val="0"/>
              <w:spacing w:line="355" w:lineRule="auto"/>
              <w:ind w:firstLine="480" w:firstLineChars="200"/>
              <w:rPr>
                <w:sz w:val="24"/>
              </w:rPr>
            </w:pPr>
            <w:r>
              <w:rPr>
                <w:sz w:val="24"/>
              </w:rPr>
              <w:t>施工现场不设施工营地，租住周边居民房屋，施工人员生活污水设置临时旱厕</w:t>
            </w:r>
            <w:r>
              <w:rPr>
                <w:bCs/>
                <w:sz w:val="24"/>
              </w:rPr>
              <w:t>。</w:t>
            </w:r>
          </w:p>
          <w:p>
            <w:pPr>
              <w:autoSpaceDE w:val="0"/>
              <w:autoSpaceDN w:val="0"/>
              <w:adjustRightInd w:val="0"/>
              <w:snapToGrid w:val="0"/>
              <w:spacing w:line="355" w:lineRule="auto"/>
              <w:ind w:firstLine="480" w:firstLineChars="200"/>
              <w:rPr>
                <w:sz w:val="24"/>
              </w:rPr>
            </w:pPr>
            <w:r>
              <w:rPr>
                <w:sz w:val="24"/>
              </w:rPr>
              <w:t>（2）施工生产废水</w:t>
            </w:r>
          </w:p>
          <w:p>
            <w:pPr>
              <w:autoSpaceDE w:val="0"/>
              <w:autoSpaceDN w:val="0"/>
              <w:adjustRightInd w:val="0"/>
              <w:snapToGrid w:val="0"/>
              <w:spacing w:line="355" w:lineRule="auto"/>
              <w:ind w:firstLine="480" w:firstLineChars="200"/>
              <w:rPr>
                <w:sz w:val="24"/>
              </w:rPr>
            </w:pPr>
            <w:r>
              <w:rPr>
                <w:sz w:val="24"/>
              </w:rPr>
              <w:t>施工废水为混凝土养护、浇筑废水及各种施工机械冲洗废水等，主要含有泥沙成分。在施工过程中设置临时沉淀池对施工废水进行收集，沉淀后上清液回用于场地洒水降尘，做到废水综合利用不外排。</w:t>
            </w:r>
          </w:p>
          <w:p>
            <w:pPr>
              <w:autoSpaceDE w:val="0"/>
              <w:autoSpaceDN w:val="0"/>
              <w:adjustRightInd w:val="0"/>
              <w:snapToGrid w:val="0"/>
              <w:spacing w:line="355" w:lineRule="auto"/>
              <w:ind w:firstLine="482" w:firstLineChars="200"/>
              <w:rPr>
                <w:b/>
                <w:sz w:val="24"/>
              </w:rPr>
            </w:pPr>
            <w:r>
              <w:rPr>
                <w:b/>
                <w:sz w:val="24"/>
              </w:rPr>
              <w:t>3、施工噪声污染防治措施</w:t>
            </w:r>
          </w:p>
          <w:p>
            <w:pPr>
              <w:autoSpaceDE w:val="0"/>
              <w:autoSpaceDN w:val="0"/>
              <w:adjustRightInd w:val="0"/>
              <w:snapToGrid w:val="0"/>
              <w:spacing w:line="355" w:lineRule="auto"/>
              <w:ind w:firstLine="480" w:firstLineChars="200"/>
              <w:rPr>
                <w:sz w:val="24"/>
              </w:rPr>
            </w:pPr>
            <w:r>
              <w:rPr>
                <w:sz w:val="24"/>
              </w:rPr>
              <w:t>本项目施工期噪声主要为施工机械噪声、施工作业噪声和施工车辆噪声。为进一步减轻施工噪声对外环境的影响，环评提出以下噪声防治措施：</w:t>
            </w:r>
          </w:p>
          <w:p>
            <w:pPr>
              <w:autoSpaceDE w:val="0"/>
              <w:autoSpaceDN w:val="0"/>
              <w:adjustRightInd w:val="0"/>
              <w:snapToGrid w:val="0"/>
              <w:spacing w:line="355" w:lineRule="auto"/>
              <w:ind w:firstLine="480" w:firstLineChars="200"/>
              <w:rPr>
                <w:sz w:val="24"/>
              </w:rPr>
            </w:pPr>
            <w:r>
              <w:rPr>
                <w:sz w:val="24"/>
              </w:rPr>
              <w:t>（1）合理布置施工现场，避免在同一地点安排大量的动力机械设备以使局部噪声级过高。</w:t>
            </w:r>
          </w:p>
          <w:p>
            <w:pPr>
              <w:autoSpaceDE w:val="0"/>
              <w:autoSpaceDN w:val="0"/>
              <w:adjustRightInd w:val="0"/>
              <w:snapToGrid w:val="0"/>
              <w:spacing w:line="355" w:lineRule="auto"/>
              <w:ind w:firstLine="480" w:firstLineChars="200"/>
              <w:rPr>
                <w:sz w:val="24"/>
              </w:rPr>
            </w:pPr>
            <w:r>
              <w:rPr>
                <w:sz w:val="24"/>
              </w:rPr>
              <w:t>（2）尽量选用低噪声机械设备，加强施工管理，合理安排作业时间。</w:t>
            </w:r>
          </w:p>
          <w:p>
            <w:pPr>
              <w:autoSpaceDE w:val="0"/>
              <w:autoSpaceDN w:val="0"/>
              <w:adjustRightInd w:val="0"/>
              <w:snapToGrid w:val="0"/>
              <w:spacing w:line="355" w:lineRule="auto"/>
              <w:ind w:firstLine="480" w:firstLineChars="200"/>
              <w:rPr>
                <w:sz w:val="24"/>
              </w:rPr>
            </w:pPr>
            <w:r>
              <w:rPr>
                <w:sz w:val="24"/>
              </w:rPr>
              <w:t>（3）做好宣传工作，倡导科学管理和文明施工，施工单位在施工前应取得地方政府的支持，张贴施工告示与说明，取得当地居民的理解；同时，做好施工人员的环保意识教育，降低人为因素造成的噪声污染。</w:t>
            </w:r>
          </w:p>
          <w:p>
            <w:pPr>
              <w:autoSpaceDE w:val="0"/>
              <w:autoSpaceDN w:val="0"/>
              <w:adjustRightInd w:val="0"/>
              <w:snapToGrid w:val="0"/>
              <w:spacing w:line="355" w:lineRule="auto"/>
              <w:ind w:firstLine="482" w:firstLineChars="200"/>
              <w:rPr>
                <w:b/>
                <w:sz w:val="24"/>
              </w:rPr>
            </w:pPr>
            <w:r>
              <w:rPr>
                <w:b/>
                <w:sz w:val="24"/>
              </w:rPr>
              <w:t>4、施工固废治理措施</w:t>
            </w:r>
          </w:p>
          <w:p>
            <w:pPr>
              <w:autoSpaceDE w:val="0"/>
              <w:autoSpaceDN w:val="0"/>
              <w:adjustRightInd w:val="0"/>
              <w:snapToGrid w:val="0"/>
              <w:spacing w:line="355" w:lineRule="auto"/>
              <w:ind w:firstLine="480" w:firstLineChars="200"/>
              <w:rPr>
                <w:sz w:val="24"/>
              </w:rPr>
            </w:pPr>
            <w:r>
              <w:rPr>
                <w:sz w:val="24"/>
              </w:rPr>
              <w:t>（1）建筑垃圾</w:t>
            </w:r>
          </w:p>
          <w:p>
            <w:pPr>
              <w:autoSpaceDE w:val="0"/>
              <w:autoSpaceDN w:val="0"/>
              <w:adjustRightInd w:val="0"/>
              <w:snapToGrid w:val="0"/>
              <w:spacing w:line="355" w:lineRule="auto"/>
              <w:ind w:firstLine="480" w:firstLineChars="200"/>
              <w:rPr>
                <w:sz w:val="24"/>
              </w:rPr>
            </w:pPr>
            <w:r>
              <w:rPr>
                <w:sz w:val="24"/>
              </w:rPr>
              <w:t>施工过程中产生的建筑垃圾主要来源于施工过程地下开挖产生的废弃土石方等，应进行分类收集，尽可能回收利用，无法回收利用的部分由施工单位收集后外运至政府部门指定建筑垃圾填埋场，禁止与生活垃圾混合处置，禁止随意丢弃。</w:t>
            </w:r>
          </w:p>
          <w:p>
            <w:pPr>
              <w:autoSpaceDE w:val="0"/>
              <w:autoSpaceDN w:val="0"/>
              <w:adjustRightInd w:val="0"/>
              <w:snapToGrid w:val="0"/>
              <w:spacing w:line="355" w:lineRule="auto"/>
              <w:ind w:firstLine="480" w:firstLineChars="200"/>
              <w:rPr>
                <w:sz w:val="24"/>
              </w:rPr>
            </w:pPr>
            <w:r>
              <w:rPr>
                <w:sz w:val="24"/>
              </w:rPr>
              <w:t>（2）装修垃圾</w:t>
            </w:r>
          </w:p>
          <w:p>
            <w:pPr>
              <w:autoSpaceDE w:val="0"/>
              <w:autoSpaceDN w:val="0"/>
              <w:adjustRightInd w:val="0"/>
              <w:snapToGrid w:val="0"/>
              <w:spacing w:line="355" w:lineRule="auto"/>
              <w:ind w:firstLine="480" w:firstLineChars="200"/>
              <w:rPr>
                <w:sz w:val="24"/>
              </w:rPr>
            </w:pPr>
            <w:r>
              <w:rPr>
                <w:sz w:val="24"/>
              </w:rPr>
              <w:t>装修阶段所用到的安装部件如门、窗、设备等，这些部件均由纸质或木质包装后运至场区内集中分类堆放，因此，安装后将会产生一定量的废包装材料，废包装经回收后出售给垃圾回收站。</w:t>
            </w:r>
          </w:p>
          <w:p>
            <w:pPr>
              <w:autoSpaceDE w:val="0"/>
              <w:autoSpaceDN w:val="0"/>
              <w:adjustRightInd w:val="0"/>
              <w:snapToGrid w:val="0"/>
              <w:spacing w:line="355" w:lineRule="auto"/>
              <w:ind w:firstLine="480" w:firstLineChars="200"/>
              <w:rPr>
                <w:sz w:val="24"/>
              </w:rPr>
            </w:pPr>
            <w:r>
              <w:rPr>
                <w:sz w:val="24"/>
              </w:rPr>
              <w:t>（3）生活垃圾</w:t>
            </w:r>
          </w:p>
          <w:p>
            <w:pPr>
              <w:autoSpaceDE w:val="0"/>
              <w:autoSpaceDN w:val="0"/>
              <w:adjustRightInd w:val="0"/>
              <w:snapToGrid w:val="0"/>
              <w:spacing w:line="355" w:lineRule="auto"/>
              <w:ind w:firstLine="480" w:firstLineChars="200"/>
              <w:rPr>
                <w:sz w:val="24"/>
              </w:rPr>
            </w:pPr>
            <w:r>
              <w:rPr>
                <w:sz w:val="24"/>
              </w:rPr>
              <w:t>施工场地设垃圾桶，生活垃圾分类收集，收集后统一进入生活垃圾填埋场填埋，不得随意丢弃、洒落。</w:t>
            </w:r>
          </w:p>
          <w:p>
            <w:pPr>
              <w:adjustRightInd w:val="0"/>
              <w:snapToGrid w:val="0"/>
              <w:spacing w:line="360" w:lineRule="auto"/>
              <w:ind w:firstLine="420" w:firstLineChars="200"/>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Mar>
              <w:left w:w="28" w:type="dxa"/>
              <w:right w:w="28" w:type="dxa"/>
            </w:tcMar>
            <w:vAlign w:val="center"/>
          </w:tcPr>
          <w:p>
            <w:pPr>
              <w:adjustRightInd w:val="0"/>
              <w:snapToGrid w:val="0"/>
              <w:jc w:val="center"/>
              <w:rPr>
                <w:bCs/>
                <w:sz w:val="24"/>
              </w:rPr>
            </w:pPr>
            <w:r>
              <w:rPr>
                <w:bCs/>
                <w:sz w:val="24"/>
              </w:rPr>
              <w:t>运营</w:t>
            </w:r>
          </w:p>
          <w:p>
            <w:pPr>
              <w:adjustRightInd w:val="0"/>
              <w:snapToGrid w:val="0"/>
              <w:jc w:val="center"/>
              <w:rPr>
                <w:bCs/>
                <w:sz w:val="24"/>
              </w:rPr>
            </w:pPr>
            <w:r>
              <w:rPr>
                <w:bCs/>
                <w:sz w:val="24"/>
              </w:rPr>
              <w:t>期环</w:t>
            </w:r>
          </w:p>
          <w:p>
            <w:pPr>
              <w:adjustRightInd w:val="0"/>
              <w:snapToGrid w:val="0"/>
              <w:jc w:val="center"/>
              <w:rPr>
                <w:bCs/>
                <w:sz w:val="24"/>
              </w:rPr>
            </w:pPr>
            <w:r>
              <w:rPr>
                <w:bCs/>
                <w:sz w:val="24"/>
              </w:rPr>
              <w:t>境影</w:t>
            </w:r>
          </w:p>
          <w:p>
            <w:pPr>
              <w:adjustRightInd w:val="0"/>
              <w:snapToGrid w:val="0"/>
              <w:jc w:val="center"/>
              <w:rPr>
                <w:bCs/>
                <w:sz w:val="24"/>
              </w:rPr>
            </w:pPr>
            <w:r>
              <w:rPr>
                <w:bCs/>
                <w:sz w:val="24"/>
              </w:rPr>
              <w:t>响和</w:t>
            </w:r>
          </w:p>
          <w:p>
            <w:pPr>
              <w:adjustRightInd w:val="0"/>
              <w:snapToGrid w:val="0"/>
              <w:jc w:val="center"/>
              <w:rPr>
                <w:bCs/>
                <w:sz w:val="24"/>
              </w:rPr>
            </w:pPr>
            <w:r>
              <w:rPr>
                <w:bCs/>
                <w:sz w:val="24"/>
              </w:rPr>
              <w:t>保护</w:t>
            </w:r>
          </w:p>
          <w:p>
            <w:pPr>
              <w:adjustRightInd w:val="0"/>
              <w:snapToGrid w:val="0"/>
              <w:jc w:val="center"/>
              <w:rPr>
                <w:bCs/>
                <w:sz w:val="24"/>
              </w:rPr>
            </w:pPr>
            <w:r>
              <w:rPr>
                <w:bCs/>
                <w:sz w:val="24"/>
              </w:rPr>
              <w:t>措施</w:t>
            </w:r>
          </w:p>
        </w:tc>
        <w:tc>
          <w:tcPr>
            <w:tcW w:w="8162" w:type="dxa"/>
            <w:vAlign w:val="center"/>
          </w:tcPr>
          <w:p>
            <w:pPr>
              <w:adjustRightInd w:val="0"/>
              <w:snapToGrid w:val="0"/>
              <w:spacing w:line="360" w:lineRule="auto"/>
              <w:ind w:firstLine="482" w:firstLineChars="200"/>
              <w:rPr>
                <w:b/>
                <w:bCs/>
                <w:sz w:val="24"/>
              </w:rPr>
            </w:pPr>
            <w:r>
              <w:rPr>
                <w:b/>
                <w:bCs/>
                <w:sz w:val="24"/>
              </w:rPr>
              <w:t>1、废气环境影响和环境保护措施</w:t>
            </w:r>
          </w:p>
          <w:p>
            <w:pPr>
              <w:spacing w:line="360" w:lineRule="auto"/>
              <w:ind w:firstLine="480" w:firstLineChars="200"/>
              <w:rPr>
                <w:sz w:val="24"/>
              </w:rPr>
            </w:pPr>
            <w:r>
              <w:rPr>
                <w:sz w:val="24"/>
              </w:rPr>
              <w:t>废气环境影响和保护措施</w:t>
            </w:r>
            <w:r>
              <w:rPr>
                <w:rFonts w:hint="eastAsia"/>
                <w:sz w:val="24"/>
              </w:rPr>
              <w:t>详</w:t>
            </w:r>
            <w:r>
              <w:rPr>
                <w:sz w:val="24"/>
              </w:rPr>
              <w:t>见“大气环境影响专项评价”。</w:t>
            </w:r>
          </w:p>
          <w:p>
            <w:pPr>
              <w:spacing w:line="360" w:lineRule="auto"/>
              <w:ind w:firstLine="480" w:firstLineChars="200"/>
              <w:rPr>
                <w:bCs/>
                <w:sz w:val="24"/>
              </w:rPr>
            </w:pPr>
            <w:r>
              <w:rPr>
                <w:rFonts w:hint="eastAsia"/>
                <w:sz w:val="24"/>
              </w:rPr>
              <w:t>本项目</w:t>
            </w:r>
            <w:r>
              <w:rPr>
                <w:sz w:val="24"/>
              </w:rPr>
              <w:t>火化炉废气、</w:t>
            </w:r>
            <w:r>
              <w:rPr>
                <w:rFonts w:hint="eastAsia"/>
                <w:sz w:val="24"/>
              </w:rPr>
              <w:t>遗物</w:t>
            </w:r>
            <w:r>
              <w:rPr>
                <w:sz w:val="24"/>
              </w:rPr>
              <w:t>焚烧炉废气、</w:t>
            </w:r>
            <w:r>
              <w:rPr>
                <w:rFonts w:hint="eastAsia"/>
                <w:sz w:val="24"/>
              </w:rPr>
              <w:t>十二生肖</w:t>
            </w:r>
            <w:r>
              <w:rPr>
                <w:sz w:val="24"/>
              </w:rPr>
              <w:t>祭祀炉废气经</w:t>
            </w:r>
            <w:r>
              <w:rPr>
                <w:rFonts w:hint="eastAsia"/>
                <w:sz w:val="24"/>
              </w:rPr>
              <w:t>经二燃室</w:t>
            </w:r>
            <w:r>
              <w:rPr>
                <w:sz w:val="24"/>
              </w:rPr>
              <w:t>—</w:t>
            </w:r>
            <w:r>
              <w:rPr>
                <w:rFonts w:hint="eastAsia"/>
                <w:sz w:val="24"/>
              </w:rPr>
              <w:t>初级除尘（火星拦截装置）</w:t>
            </w:r>
            <w:r>
              <w:rPr>
                <w:sz w:val="24"/>
              </w:rPr>
              <w:t>—</w:t>
            </w:r>
            <w:r>
              <w:rPr>
                <w:rFonts w:hint="eastAsia"/>
                <w:sz w:val="24"/>
              </w:rPr>
              <w:t>热交换器</w:t>
            </w:r>
            <w:r>
              <w:rPr>
                <w:sz w:val="24"/>
              </w:rPr>
              <w:t>—</w:t>
            </w:r>
            <w:r>
              <w:rPr>
                <w:rFonts w:hint="eastAsia"/>
                <w:sz w:val="24"/>
              </w:rPr>
              <w:t>旋风除尘器</w:t>
            </w:r>
            <w:r>
              <w:rPr>
                <w:sz w:val="24"/>
              </w:rPr>
              <w:t>—</w:t>
            </w:r>
            <w:r>
              <w:rPr>
                <w:rFonts w:hint="eastAsia"/>
                <w:sz w:val="24"/>
              </w:rPr>
              <w:t>除酸除硫装置（喷淋碱液和尿素溶液</w:t>
            </w:r>
            <w:r>
              <w:rPr>
                <w:rFonts w:hint="eastAsia"/>
                <w:bCs/>
                <w:sz w:val="24"/>
              </w:rPr>
              <w:t>）</w:t>
            </w:r>
            <w:r>
              <w:rPr>
                <w:bCs/>
                <w:sz w:val="24"/>
              </w:rPr>
              <w:t>—</w:t>
            </w:r>
            <w:r>
              <w:rPr>
                <w:rFonts w:hint="eastAsia"/>
                <w:bCs/>
                <w:sz w:val="24"/>
              </w:rPr>
              <w:t>布袋除尘器</w:t>
            </w:r>
            <w:r>
              <w:rPr>
                <w:bCs/>
                <w:sz w:val="24"/>
              </w:rPr>
              <w:t>—</w:t>
            </w:r>
            <w:r>
              <w:rPr>
                <w:rFonts w:hint="eastAsia"/>
                <w:bCs/>
                <w:sz w:val="24"/>
              </w:rPr>
              <w:t>活性炭吸附器处理后，最终分别经</w:t>
            </w:r>
            <w:r>
              <w:rPr>
                <w:bCs/>
                <w:sz w:val="24"/>
              </w:rPr>
              <w:t>21m</w:t>
            </w:r>
            <w:r>
              <w:rPr>
                <w:rFonts w:hint="eastAsia"/>
                <w:bCs/>
                <w:sz w:val="24"/>
              </w:rPr>
              <w:t>高排气筒排放，满足</w:t>
            </w:r>
            <w:r>
              <w:rPr>
                <w:rFonts w:hint="eastAsia"/>
                <w:sz w:val="24"/>
              </w:rPr>
              <w:t>《火葬场大气污染物排放标准》（</w:t>
            </w:r>
            <w:r>
              <w:rPr>
                <w:sz w:val="24"/>
              </w:rPr>
              <w:t>GB13801-2015</w:t>
            </w:r>
            <w:r>
              <w:rPr>
                <w:rFonts w:hint="eastAsia"/>
                <w:sz w:val="24"/>
              </w:rPr>
              <w:t>）排放</w:t>
            </w:r>
            <w:r>
              <w:rPr>
                <w:sz w:val="24"/>
              </w:rPr>
              <w:t>要求</w:t>
            </w:r>
            <w:r>
              <w:rPr>
                <w:rFonts w:hint="eastAsia"/>
                <w:bCs/>
                <w:sz w:val="24"/>
              </w:rPr>
              <w:t>；食堂</w:t>
            </w:r>
            <w:r>
              <w:rPr>
                <w:bCs/>
                <w:sz w:val="24"/>
              </w:rPr>
              <w:t>油烟经</w:t>
            </w:r>
            <w:r>
              <w:rPr>
                <w:rFonts w:hint="eastAsia"/>
                <w:bCs/>
                <w:sz w:val="24"/>
              </w:rPr>
              <w:t>油烟</w:t>
            </w:r>
            <w:r>
              <w:rPr>
                <w:bCs/>
                <w:sz w:val="24"/>
              </w:rPr>
              <w:t>净化器处理后排放</w:t>
            </w:r>
            <w:r>
              <w:rPr>
                <w:rFonts w:hint="eastAsia"/>
                <w:bCs/>
                <w:sz w:val="24"/>
              </w:rPr>
              <w:t>，</w:t>
            </w:r>
            <w:r>
              <w:rPr>
                <w:bCs/>
                <w:sz w:val="24"/>
              </w:rPr>
              <w:t>满足</w:t>
            </w:r>
            <w:r>
              <w:rPr>
                <w:rFonts w:hint="eastAsia"/>
                <w:sz w:val="24"/>
              </w:rPr>
              <w:t>《饮食业油烟排放标准（试行）》（</w:t>
            </w:r>
            <w:r>
              <w:rPr>
                <w:sz w:val="24"/>
              </w:rPr>
              <w:t>GB18483-2001</w:t>
            </w:r>
            <w:r>
              <w:rPr>
                <w:rFonts w:hint="eastAsia"/>
                <w:sz w:val="24"/>
              </w:rPr>
              <w:t>）要求</w:t>
            </w:r>
            <w:r>
              <w:rPr>
                <w:rFonts w:hint="eastAsia"/>
                <w:bCs/>
                <w:sz w:val="24"/>
              </w:rPr>
              <w:t>；污水</w:t>
            </w:r>
            <w:r>
              <w:rPr>
                <w:bCs/>
                <w:sz w:val="24"/>
              </w:rPr>
              <w:t>处理系统恶臭污染物较少，</w:t>
            </w:r>
            <w:r>
              <w:rPr>
                <w:rFonts w:hint="eastAsia"/>
                <w:bCs/>
                <w:sz w:val="24"/>
              </w:rPr>
              <w:t>无组织</w:t>
            </w:r>
            <w:r>
              <w:rPr>
                <w:bCs/>
                <w:sz w:val="24"/>
              </w:rPr>
              <w:t>排放</w:t>
            </w:r>
            <w:r>
              <w:rPr>
                <w:rFonts w:hint="eastAsia"/>
                <w:bCs/>
                <w:sz w:val="24"/>
              </w:rPr>
              <w:t>，</w:t>
            </w:r>
            <w:r>
              <w:rPr>
                <w:bCs/>
                <w:sz w:val="24"/>
              </w:rPr>
              <w:t>满足</w:t>
            </w:r>
            <w:r>
              <w:rPr>
                <w:rFonts w:hint="eastAsia"/>
                <w:sz w:val="24"/>
              </w:rPr>
              <w:t>《恶臭污染物排放标准》（</w:t>
            </w:r>
            <w:r>
              <w:rPr>
                <w:sz w:val="24"/>
              </w:rPr>
              <w:t>GB14554-93</w:t>
            </w:r>
            <w:r>
              <w:rPr>
                <w:rFonts w:hint="eastAsia"/>
                <w:sz w:val="24"/>
              </w:rPr>
              <w:t>）</w:t>
            </w:r>
            <w:r>
              <w:rPr>
                <w:bCs/>
                <w:sz w:val="24"/>
              </w:rPr>
              <w:t>；</w:t>
            </w:r>
            <w:r>
              <w:rPr>
                <w:rFonts w:hint="eastAsia"/>
                <w:bCs/>
                <w:sz w:val="24"/>
              </w:rPr>
              <w:t>柴油</w:t>
            </w:r>
            <w:r>
              <w:rPr>
                <w:bCs/>
                <w:sz w:val="24"/>
              </w:rPr>
              <w:t>发电机为备用，仅停电时</w:t>
            </w:r>
            <w:r>
              <w:rPr>
                <w:rFonts w:hint="eastAsia"/>
                <w:bCs/>
                <w:sz w:val="24"/>
              </w:rPr>
              <w:t>启用</w:t>
            </w:r>
            <w:r>
              <w:rPr>
                <w:bCs/>
                <w:sz w:val="24"/>
              </w:rPr>
              <w:t>，无组织排放。</w:t>
            </w:r>
          </w:p>
          <w:p>
            <w:pPr>
              <w:spacing w:line="360" w:lineRule="auto"/>
              <w:ind w:firstLine="480" w:firstLineChars="200"/>
              <w:rPr>
                <w:b/>
                <w:sz w:val="24"/>
              </w:rPr>
            </w:pPr>
            <w:r>
              <w:rPr>
                <w:rFonts w:hint="eastAsia"/>
                <w:bCs/>
                <w:sz w:val="24"/>
              </w:rPr>
              <w:t>经</w:t>
            </w:r>
            <w:r>
              <w:rPr>
                <w:bCs/>
                <w:sz w:val="24"/>
              </w:rPr>
              <w:t>上述措施处理后</w:t>
            </w:r>
            <w:r>
              <w:rPr>
                <w:rFonts w:hint="eastAsia"/>
                <w:bCs/>
                <w:sz w:val="24"/>
              </w:rPr>
              <w:t>污染物</w:t>
            </w:r>
            <w:r>
              <w:rPr>
                <w:bCs/>
                <w:sz w:val="24"/>
              </w:rPr>
              <w:t>排放量较少，对周边环境空气影响较小</w:t>
            </w:r>
            <w:r>
              <w:rPr>
                <w:rFonts w:hint="eastAsia"/>
                <w:bCs/>
                <w:sz w:val="24"/>
              </w:rPr>
              <w:t>。</w:t>
            </w:r>
          </w:p>
          <w:p>
            <w:pPr>
              <w:adjustRightInd w:val="0"/>
              <w:snapToGrid w:val="0"/>
              <w:spacing w:line="360" w:lineRule="auto"/>
              <w:ind w:firstLine="482" w:firstLineChars="200"/>
              <w:rPr>
                <w:b/>
                <w:sz w:val="24"/>
              </w:rPr>
            </w:pPr>
            <w:r>
              <w:rPr>
                <w:b/>
                <w:sz w:val="24"/>
              </w:rPr>
              <w:t>2、废水</w:t>
            </w:r>
            <w:r>
              <w:rPr>
                <w:b/>
                <w:bCs/>
                <w:sz w:val="24"/>
              </w:rPr>
              <w:t>环境影响和环境保护措施</w:t>
            </w:r>
          </w:p>
          <w:p>
            <w:pPr>
              <w:adjustRightInd w:val="0"/>
              <w:snapToGrid w:val="0"/>
              <w:spacing w:line="360" w:lineRule="auto"/>
              <w:ind w:firstLine="480" w:firstLineChars="200"/>
              <w:rPr>
                <w:bCs/>
                <w:sz w:val="24"/>
              </w:rPr>
            </w:pPr>
            <w:r>
              <w:rPr>
                <w:bCs/>
                <w:sz w:val="24"/>
              </w:rPr>
              <w:t>（1）废水产生及排放情况</w:t>
            </w:r>
          </w:p>
          <w:p>
            <w:pPr>
              <w:adjustRightInd w:val="0"/>
              <w:snapToGrid w:val="0"/>
              <w:spacing w:line="360" w:lineRule="auto"/>
              <w:ind w:firstLine="480" w:firstLineChars="200"/>
              <w:rPr>
                <w:bCs/>
                <w:sz w:val="24"/>
              </w:rPr>
            </w:pPr>
            <w:r>
              <w:rPr>
                <w:bCs/>
                <w:sz w:val="24"/>
              </w:rPr>
              <w:t>项目运营期产生的废水主要为生活污水和生产废水。</w:t>
            </w:r>
          </w:p>
          <w:p>
            <w:pPr>
              <w:adjustRightInd w:val="0"/>
              <w:snapToGrid w:val="0"/>
              <w:spacing w:line="360" w:lineRule="auto"/>
              <w:ind w:firstLine="480" w:firstLineChars="200"/>
              <w:rPr>
                <w:bCs/>
                <w:sz w:val="24"/>
              </w:rPr>
            </w:pPr>
            <w:r>
              <w:rPr>
                <w:bCs/>
                <w:sz w:val="24"/>
              </w:rPr>
              <w:fldChar w:fldCharType="begin"/>
            </w:r>
            <w:r>
              <w:rPr>
                <w:bCs/>
                <w:sz w:val="24"/>
              </w:rPr>
              <w:instrText xml:space="preserve"> = 1 \* GB3 </w:instrText>
            </w:r>
            <w:r>
              <w:rPr>
                <w:bCs/>
                <w:sz w:val="24"/>
              </w:rPr>
              <w:fldChar w:fldCharType="separate"/>
            </w:r>
            <w:r>
              <w:rPr>
                <w:rFonts w:hint="eastAsia" w:ascii="宋体" w:hAnsi="宋体" w:cs="宋体"/>
                <w:bCs/>
                <w:sz w:val="24"/>
              </w:rPr>
              <w:t>①</w:t>
            </w:r>
            <w:r>
              <w:rPr>
                <w:bCs/>
                <w:sz w:val="24"/>
              </w:rPr>
              <w:fldChar w:fldCharType="end"/>
            </w:r>
            <w:r>
              <w:rPr>
                <w:bCs/>
                <w:sz w:val="24"/>
              </w:rPr>
              <w:t>生活污水</w:t>
            </w:r>
          </w:p>
          <w:p>
            <w:pPr>
              <w:adjustRightInd w:val="0"/>
              <w:snapToGrid w:val="0"/>
              <w:spacing w:line="360" w:lineRule="auto"/>
              <w:ind w:firstLine="480" w:firstLineChars="200"/>
              <w:rPr>
                <w:sz w:val="24"/>
              </w:rPr>
            </w:pPr>
            <w:r>
              <w:rPr>
                <w:bCs/>
                <w:sz w:val="24"/>
              </w:rPr>
              <w:t>项目生活污水主要为职工生活污水、外来治丧人员生活污水、餐厅污水，生活污水产生量为8.74m</w:t>
            </w:r>
            <w:r>
              <w:rPr>
                <w:bCs/>
                <w:sz w:val="24"/>
                <w:vertAlign w:val="superscript"/>
              </w:rPr>
              <w:t>3</w:t>
            </w:r>
            <w:r>
              <w:rPr>
                <w:bCs/>
                <w:sz w:val="24"/>
              </w:rPr>
              <w:t>/d（3092.96m</w:t>
            </w:r>
            <w:r>
              <w:rPr>
                <w:bCs/>
                <w:sz w:val="24"/>
                <w:vertAlign w:val="superscript"/>
              </w:rPr>
              <w:t>3</w:t>
            </w:r>
            <w:r>
              <w:rPr>
                <w:bCs/>
                <w:sz w:val="24"/>
              </w:rPr>
              <w:t>/a）。</w:t>
            </w:r>
            <w:r>
              <w:rPr>
                <w:sz w:val="24"/>
              </w:rPr>
              <w:t>主要产生污染物为</w:t>
            </w:r>
            <w:r>
              <w:rPr>
                <w:bCs/>
                <w:sz w:val="24"/>
              </w:rPr>
              <w:t>COD、BOD</w:t>
            </w:r>
            <w:r>
              <w:rPr>
                <w:bCs/>
                <w:sz w:val="24"/>
                <w:vertAlign w:val="subscript"/>
              </w:rPr>
              <w:t>5</w:t>
            </w:r>
            <w:r>
              <w:rPr>
                <w:bCs/>
                <w:sz w:val="24"/>
              </w:rPr>
              <w:t>、SS、氨氮、总磷、总氮、动植物油，餐厅废水</w:t>
            </w:r>
            <w:r>
              <w:rPr>
                <w:sz w:val="24"/>
              </w:rPr>
              <w:t>经隔油池（处理效率75%）后排入化粪池（100m</w:t>
            </w:r>
            <w:r>
              <w:rPr>
                <w:sz w:val="24"/>
                <w:vertAlign w:val="superscript"/>
              </w:rPr>
              <w:t>3</w:t>
            </w:r>
            <w:r>
              <w:rPr>
                <w:sz w:val="24"/>
              </w:rPr>
              <w:t>），处理后定期拉运至周至县污水处理厂处理。</w:t>
            </w:r>
          </w:p>
          <w:p>
            <w:pPr>
              <w:pStyle w:val="51"/>
              <w:spacing w:line="360" w:lineRule="auto"/>
              <w:ind w:firstLine="480" w:firstLineChars="200"/>
              <w:rPr>
                <w:rFonts w:ascii="Times New Roman" w:cs="Times New Roman"/>
                <w:bCs/>
                <w:color w:val="auto"/>
              </w:rPr>
            </w:pPr>
            <w:r>
              <w:rPr>
                <w:rFonts w:ascii="Times New Roman" w:cs="Times New Roman"/>
                <w:bCs/>
                <w:color w:val="auto"/>
              </w:rPr>
              <w:t>依据典型生活污水水质类别，并结合本项目特点，确定本项目污染物产生浓度分别为COD400mg/L、BOD</w:t>
            </w:r>
            <w:r>
              <w:rPr>
                <w:rFonts w:ascii="Times New Roman" w:cs="Times New Roman"/>
                <w:bCs/>
                <w:color w:val="auto"/>
                <w:vertAlign w:val="subscript"/>
              </w:rPr>
              <w:t>5</w:t>
            </w:r>
            <w:r>
              <w:rPr>
                <w:rFonts w:ascii="Times New Roman" w:cs="Times New Roman"/>
                <w:bCs/>
                <w:color w:val="auto"/>
              </w:rPr>
              <w:t>200mg/L、SS300mg/L、氨氮25mg/L，总磷5mg/L，总氮40mg/L，动植物油100mg/L。废水污染物产生排放情况见表4-1。</w:t>
            </w:r>
          </w:p>
          <w:p>
            <w:pPr>
              <w:jc w:val="center"/>
              <w:outlineLvl w:val="1"/>
              <w:rPr>
                <w:b/>
                <w:bCs/>
                <w:kern w:val="0"/>
                <w:sz w:val="24"/>
              </w:rPr>
            </w:pPr>
            <w:r>
              <w:rPr>
                <w:b/>
                <w:bCs/>
                <w:kern w:val="0"/>
                <w:sz w:val="24"/>
              </w:rPr>
              <w:t>表4-1生活污水产生排放情况一览表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081"/>
              <w:gridCol w:w="827"/>
              <w:gridCol w:w="740"/>
              <w:gridCol w:w="745"/>
              <w:gridCol w:w="821"/>
              <w:gridCol w:w="816"/>
              <w:gridCol w:w="822"/>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gridSpan w:val="2"/>
                  <w:vAlign w:val="center"/>
                </w:tcPr>
                <w:p>
                  <w:pPr>
                    <w:adjustRightInd w:val="0"/>
                    <w:snapToGrid w:val="0"/>
                    <w:jc w:val="center"/>
                    <w:rPr>
                      <w:b/>
                      <w:szCs w:val="21"/>
                    </w:rPr>
                  </w:pPr>
                  <w:r>
                    <w:rPr>
                      <w:b/>
                      <w:szCs w:val="21"/>
                    </w:rPr>
                    <w:t>项目</w:t>
                  </w:r>
                </w:p>
              </w:tc>
              <w:tc>
                <w:tcPr>
                  <w:tcW w:w="530" w:type="pct"/>
                  <w:vAlign w:val="center"/>
                </w:tcPr>
                <w:p>
                  <w:pPr>
                    <w:adjustRightInd w:val="0"/>
                    <w:snapToGrid w:val="0"/>
                    <w:jc w:val="center"/>
                    <w:rPr>
                      <w:b/>
                      <w:szCs w:val="21"/>
                    </w:rPr>
                  </w:pPr>
                  <w:r>
                    <w:rPr>
                      <w:b/>
                      <w:szCs w:val="21"/>
                    </w:rPr>
                    <w:t>COD</w:t>
                  </w:r>
                </w:p>
              </w:tc>
              <w:tc>
                <w:tcPr>
                  <w:tcW w:w="470" w:type="pct"/>
                  <w:vAlign w:val="center"/>
                </w:tcPr>
                <w:p>
                  <w:pPr>
                    <w:adjustRightInd w:val="0"/>
                    <w:snapToGrid w:val="0"/>
                    <w:jc w:val="center"/>
                    <w:rPr>
                      <w:b/>
                      <w:szCs w:val="21"/>
                    </w:rPr>
                  </w:pPr>
                  <w:r>
                    <w:rPr>
                      <w:b/>
                      <w:szCs w:val="21"/>
                    </w:rPr>
                    <w:t>BOD</w:t>
                  </w:r>
                  <w:r>
                    <w:rPr>
                      <w:b/>
                      <w:szCs w:val="21"/>
                      <w:vertAlign w:val="subscript"/>
                    </w:rPr>
                    <w:t>5</w:t>
                  </w:r>
                </w:p>
              </w:tc>
              <w:tc>
                <w:tcPr>
                  <w:tcW w:w="483" w:type="pct"/>
                  <w:vAlign w:val="center"/>
                </w:tcPr>
                <w:p>
                  <w:pPr>
                    <w:adjustRightInd w:val="0"/>
                    <w:snapToGrid w:val="0"/>
                    <w:jc w:val="center"/>
                    <w:rPr>
                      <w:b/>
                      <w:szCs w:val="21"/>
                    </w:rPr>
                  </w:pPr>
                  <w:r>
                    <w:rPr>
                      <w:b/>
                      <w:szCs w:val="21"/>
                    </w:rPr>
                    <w:t>SS</w:t>
                  </w:r>
                </w:p>
              </w:tc>
              <w:tc>
                <w:tcPr>
                  <w:tcW w:w="460" w:type="pct"/>
                  <w:vAlign w:val="center"/>
                </w:tcPr>
                <w:p>
                  <w:pPr>
                    <w:adjustRightInd w:val="0"/>
                    <w:snapToGrid w:val="0"/>
                    <w:jc w:val="center"/>
                    <w:rPr>
                      <w:b/>
                      <w:szCs w:val="21"/>
                    </w:rPr>
                  </w:pPr>
                  <w:r>
                    <w:rPr>
                      <w:b/>
                      <w:szCs w:val="21"/>
                    </w:rPr>
                    <w:t>NH</w:t>
                  </w:r>
                  <w:r>
                    <w:rPr>
                      <w:b/>
                      <w:szCs w:val="21"/>
                      <w:vertAlign w:val="subscript"/>
                    </w:rPr>
                    <w:t>3</w:t>
                  </w:r>
                  <w:r>
                    <w:rPr>
                      <w:b/>
                      <w:szCs w:val="21"/>
                    </w:rPr>
                    <w:t>-N</w:t>
                  </w:r>
                </w:p>
              </w:tc>
              <w:tc>
                <w:tcPr>
                  <w:tcW w:w="523" w:type="pct"/>
                  <w:vAlign w:val="center"/>
                </w:tcPr>
                <w:p>
                  <w:pPr>
                    <w:adjustRightInd w:val="0"/>
                    <w:snapToGrid w:val="0"/>
                    <w:jc w:val="center"/>
                    <w:rPr>
                      <w:b/>
                      <w:szCs w:val="21"/>
                    </w:rPr>
                  </w:pPr>
                  <w:r>
                    <w:rPr>
                      <w:b/>
                      <w:szCs w:val="21"/>
                    </w:rPr>
                    <w:t>总磷</w:t>
                  </w:r>
                </w:p>
              </w:tc>
              <w:tc>
                <w:tcPr>
                  <w:tcW w:w="527" w:type="pct"/>
                  <w:vAlign w:val="center"/>
                </w:tcPr>
                <w:p>
                  <w:pPr>
                    <w:adjustRightInd w:val="0"/>
                    <w:snapToGrid w:val="0"/>
                    <w:jc w:val="center"/>
                    <w:rPr>
                      <w:b/>
                      <w:szCs w:val="21"/>
                    </w:rPr>
                  </w:pPr>
                  <w:r>
                    <w:rPr>
                      <w:b/>
                      <w:szCs w:val="21"/>
                    </w:rPr>
                    <w:t>总氮</w:t>
                  </w:r>
                </w:p>
              </w:tc>
              <w:tc>
                <w:tcPr>
                  <w:tcW w:w="514" w:type="pct"/>
                </w:tcPr>
                <w:p>
                  <w:pPr>
                    <w:adjustRightInd w:val="0"/>
                    <w:snapToGrid w:val="0"/>
                    <w:jc w:val="center"/>
                    <w:rPr>
                      <w:b/>
                      <w:szCs w:val="21"/>
                    </w:rPr>
                  </w:pPr>
                  <w:r>
                    <w:rPr>
                      <w:b/>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pct"/>
                  <w:vMerge w:val="restart"/>
                  <w:vAlign w:val="center"/>
                </w:tcPr>
                <w:p>
                  <w:pPr>
                    <w:adjustRightInd w:val="0"/>
                    <w:snapToGrid w:val="0"/>
                    <w:jc w:val="center"/>
                    <w:rPr>
                      <w:szCs w:val="21"/>
                    </w:rPr>
                  </w:pPr>
                  <w:r>
                    <w:rPr>
                      <w:szCs w:val="21"/>
                    </w:rPr>
                    <w:t>污水产生</w:t>
                  </w:r>
                  <w:r>
                    <w:rPr>
                      <w:bCs/>
                      <w:szCs w:val="21"/>
                    </w:rPr>
                    <w:t>3092.96</w:t>
                  </w:r>
                  <w:r>
                    <w:rPr>
                      <w:szCs w:val="21"/>
                    </w:rPr>
                    <w:t>m</w:t>
                  </w:r>
                  <w:r>
                    <w:rPr>
                      <w:szCs w:val="21"/>
                      <w:vertAlign w:val="superscript"/>
                    </w:rPr>
                    <w:t>3</w:t>
                  </w:r>
                  <w:r>
                    <w:rPr>
                      <w:szCs w:val="21"/>
                    </w:rPr>
                    <w:t>/a</w:t>
                  </w:r>
                </w:p>
              </w:tc>
              <w:tc>
                <w:tcPr>
                  <w:tcW w:w="690" w:type="pct"/>
                  <w:vAlign w:val="center"/>
                </w:tcPr>
                <w:p>
                  <w:pPr>
                    <w:adjustRightInd w:val="0"/>
                    <w:snapToGrid w:val="0"/>
                    <w:jc w:val="center"/>
                    <w:rPr>
                      <w:szCs w:val="21"/>
                    </w:rPr>
                  </w:pPr>
                  <w:r>
                    <w:rPr>
                      <w:szCs w:val="21"/>
                    </w:rPr>
                    <w:t>产生浓度(mg/L)</w:t>
                  </w:r>
                </w:p>
              </w:tc>
              <w:tc>
                <w:tcPr>
                  <w:tcW w:w="530" w:type="pct"/>
                  <w:vAlign w:val="center"/>
                </w:tcPr>
                <w:p>
                  <w:pPr>
                    <w:adjustRightInd w:val="0"/>
                    <w:snapToGrid w:val="0"/>
                    <w:jc w:val="center"/>
                    <w:rPr>
                      <w:szCs w:val="21"/>
                    </w:rPr>
                  </w:pPr>
                  <w:r>
                    <w:rPr>
                      <w:szCs w:val="21"/>
                    </w:rPr>
                    <w:t>400</w:t>
                  </w:r>
                </w:p>
              </w:tc>
              <w:tc>
                <w:tcPr>
                  <w:tcW w:w="470" w:type="pct"/>
                  <w:vAlign w:val="center"/>
                </w:tcPr>
                <w:p>
                  <w:pPr>
                    <w:adjustRightInd w:val="0"/>
                    <w:snapToGrid w:val="0"/>
                    <w:jc w:val="center"/>
                    <w:rPr>
                      <w:szCs w:val="21"/>
                    </w:rPr>
                  </w:pPr>
                  <w:r>
                    <w:rPr>
                      <w:szCs w:val="21"/>
                    </w:rPr>
                    <w:t>200</w:t>
                  </w:r>
                </w:p>
              </w:tc>
              <w:tc>
                <w:tcPr>
                  <w:tcW w:w="483" w:type="pct"/>
                  <w:vAlign w:val="center"/>
                </w:tcPr>
                <w:p>
                  <w:pPr>
                    <w:adjustRightInd w:val="0"/>
                    <w:snapToGrid w:val="0"/>
                    <w:jc w:val="center"/>
                    <w:rPr>
                      <w:szCs w:val="21"/>
                    </w:rPr>
                  </w:pPr>
                  <w:r>
                    <w:rPr>
                      <w:szCs w:val="21"/>
                    </w:rPr>
                    <w:t>300</w:t>
                  </w:r>
                </w:p>
              </w:tc>
              <w:tc>
                <w:tcPr>
                  <w:tcW w:w="460" w:type="pct"/>
                  <w:vAlign w:val="center"/>
                </w:tcPr>
                <w:p>
                  <w:pPr>
                    <w:adjustRightInd w:val="0"/>
                    <w:snapToGrid w:val="0"/>
                    <w:jc w:val="center"/>
                    <w:rPr>
                      <w:szCs w:val="21"/>
                    </w:rPr>
                  </w:pPr>
                  <w:r>
                    <w:rPr>
                      <w:szCs w:val="21"/>
                    </w:rPr>
                    <w:t>25</w:t>
                  </w:r>
                </w:p>
              </w:tc>
              <w:tc>
                <w:tcPr>
                  <w:tcW w:w="523" w:type="pct"/>
                  <w:vAlign w:val="center"/>
                </w:tcPr>
                <w:p>
                  <w:pPr>
                    <w:adjustRightInd w:val="0"/>
                    <w:snapToGrid w:val="0"/>
                    <w:jc w:val="center"/>
                    <w:rPr>
                      <w:szCs w:val="21"/>
                    </w:rPr>
                  </w:pPr>
                  <w:r>
                    <w:rPr>
                      <w:szCs w:val="21"/>
                    </w:rPr>
                    <w:t>5</w:t>
                  </w:r>
                </w:p>
              </w:tc>
              <w:tc>
                <w:tcPr>
                  <w:tcW w:w="527" w:type="pct"/>
                  <w:vAlign w:val="center"/>
                </w:tcPr>
                <w:p>
                  <w:pPr>
                    <w:adjustRightInd w:val="0"/>
                    <w:snapToGrid w:val="0"/>
                    <w:jc w:val="center"/>
                    <w:rPr>
                      <w:szCs w:val="21"/>
                    </w:rPr>
                  </w:pPr>
                  <w:r>
                    <w:rPr>
                      <w:szCs w:val="21"/>
                    </w:rPr>
                    <w:t>40</w:t>
                  </w:r>
                </w:p>
              </w:tc>
              <w:tc>
                <w:tcPr>
                  <w:tcW w:w="514" w:type="pct"/>
                  <w:vAlign w:val="center"/>
                </w:tcPr>
                <w:p>
                  <w:pPr>
                    <w:adjustRightInd w:val="0"/>
                    <w:snapToGrid w:val="0"/>
                    <w:jc w:val="center"/>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pct"/>
                  <w:vMerge w:val="continue"/>
                  <w:vAlign w:val="center"/>
                </w:tcPr>
                <w:p>
                  <w:pPr>
                    <w:adjustRightInd w:val="0"/>
                    <w:snapToGrid w:val="0"/>
                    <w:jc w:val="center"/>
                    <w:rPr>
                      <w:szCs w:val="21"/>
                    </w:rPr>
                  </w:pPr>
                </w:p>
              </w:tc>
              <w:tc>
                <w:tcPr>
                  <w:tcW w:w="690" w:type="pct"/>
                  <w:vAlign w:val="center"/>
                </w:tcPr>
                <w:p>
                  <w:pPr>
                    <w:adjustRightInd w:val="0"/>
                    <w:snapToGrid w:val="0"/>
                    <w:jc w:val="center"/>
                    <w:rPr>
                      <w:szCs w:val="21"/>
                    </w:rPr>
                  </w:pPr>
                  <w:r>
                    <w:rPr>
                      <w:szCs w:val="21"/>
                    </w:rPr>
                    <w:t>产生量（t/a）</w:t>
                  </w:r>
                </w:p>
              </w:tc>
              <w:tc>
                <w:tcPr>
                  <w:tcW w:w="530" w:type="pct"/>
                  <w:vAlign w:val="center"/>
                </w:tcPr>
                <w:p>
                  <w:pPr>
                    <w:adjustRightInd w:val="0"/>
                    <w:snapToGrid w:val="0"/>
                    <w:jc w:val="center"/>
                    <w:rPr>
                      <w:szCs w:val="21"/>
                    </w:rPr>
                  </w:pPr>
                  <w:r>
                    <w:rPr>
                      <w:szCs w:val="21"/>
                    </w:rPr>
                    <w:t>0.286</w:t>
                  </w:r>
                </w:p>
              </w:tc>
              <w:tc>
                <w:tcPr>
                  <w:tcW w:w="470" w:type="pct"/>
                  <w:vAlign w:val="center"/>
                </w:tcPr>
                <w:p>
                  <w:pPr>
                    <w:adjustRightInd w:val="0"/>
                    <w:snapToGrid w:val="0"/>
                    <w:jc w:val="center"/>
                    <w:rPr>
                      <w:szCs w:val="21"/>
                    </w:rPr>
                  </w:pPr>
                  <w:r>
                    <w:rPr>
                      <w:szCs w:val="21"/>
                    </w:rPr>
                    <w:t>0.143</w:t>
                  </w:r>
                </w:p>
              </w:tc>
              <w:tc>
                <w:tcPr>
                  <w:tcW w:w="483" w:type="pct"/>
                  <w:vAlign w:val="center"/>
                </w:tcPr>
                <w:p>
                  <w:pPr>
                    <w:adjustRightInd w:val="0"/>
                    <w:snapToGrid w:val="0"/>
                    <w:jc w:val="center"/>
                    <w:rPr>
                      <w:szCs w:val="21"/>
                    </w:rPr>
                  </w:pPr>
                  <w:r>
                    <w:rPr>
                      <w:szCs w:val="21"/>
                    </w:rPr>
                    <w:t>0.214</w:t>
                  </w:r>
                </w:p>
              </w:tc>
              <w:tc>
                <w:tcPr>
                  <w:tcW w:w="460" w:type="pct"/>
                  <w:vAlign w:val="center"/>
                </w:tcPr>
                <w:p>
                  <w:pPr>
                    <w:adjustRightInd w:val="0"/>
                    <w:snapToGrid w:val="0"/>
                    <w:jc w:val="center"/>
                    <w:rPr>
                      <w:szCs w:val="21"/>
                    </w:rPr>
                  </w:pPr>
                  <w:r>
                    <w:rPr>
                      <w:szCs w:val="21"/>
                    </w:rPr>
                    <w:t>0.018</w:t>
                  </w:r>
                </w:p>
              </w:tc>
              <w:tc>
                <w:tcPr>
                  <w:tcW w:w="523" w:type="pct"/>
                  <w:vAlign w:val="center"/>
                </w:tcPr>
                <w:p>
                  <w:pPr>
                    <w:adjustRightInd w:val="0"/>
                    <w:snapToGrid w:val="0"/>
                    <w:jc w:val="center"/>
                    <w:rPr>
                      <w:szCs w:val="21"/>
                    </w:rPr>
                  </w:pPr>
                  <w:r>
                    <w:rPr>
                      <w:szCs w:val="21"/>
                    </w:rPr>
                    <w:t>0.004</w:t>
                  </w:r>
                </w:p>
              </w:tc>
              <w:tc>
                <w:tcPr>
                  <w:tcW w:w="527" w:type="pct"/>
                  <w:vAlign w:val="center"/>
                </w:tcPr>
                <w:p>
                  <w:pPr>
                    <w:adjustRightInd w:val="0"/>
                    <w:snapToGrid w:val="0"/>
                    <w:jc w:val="center"/>
                    <w:rPr>
                      <w:szCs w:val="21"/>
                    </w:rPr>
                  </w:pPr>
                  <w:r>
                    <w:rPr>
                      <w:szCs w:val="21"/>
                    </w:rPr>
                    <w:t>0.029</w:t>
                  </w:r>
                </w:p>
              </w:tc>
              <w:tc>
                <w:tcPr>
                  <w:tcW w:w="514" w:type="pct"/>
                  <w:vAlign w:val="center"/>
                </w:tcPr>
                <w:p>
                  <w:pPr>
                    <w:adjustRightInd w:val="0"/>
                    <w:snapToGrid w:val="0"/>
                    <w:jc w:val="center"/>
                    <w:rPr>
                      <w:szCs w:val="21"/>
                    </w:rPr>
                  </w:pPr>
                  <w:r>
                    <w:rPr>
                      <w:szCs w:val="21"/>
                    </w:rPr>
                    <w:t>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gridSpan w:val="2"/>
                  <w:vAlign w:val="center"/>
                </w:tcPr>
                <w:p>
                  <w:pPr>
                    <w:adjustRightInd w:val="0"/>
                    <w:snapToGrid w:val="0"/>
                    <w:jc w:val="center"/>
                    <w:rPr>
                      <w:szCs w:val="21"/>
                    </w:rPr>
                  </w:pPr>
                  <w:r>
                    <w:rPr>
                      <w:szCs w:val="21"/>
                    </w:rPr>
                    <w:t>处理措施</w:t>
                  </w:r>
                </w:p>
              </w:tc>
              <w:tc>
                <w:tcPr>
                  <w:tcW w:w="3507" w:type="pct"/>
                  <w:gridSpan w:val="7"/>
                  <w:vAlign w:val="center"/>
                </w:tcPr>
                <w:p>
                  <w:pPr>
                    <w:adjustRightInd w:val="0"/>
                    <w:snapToGrid w:val="0"/>
                    <w:jc w:val="center"/>
                    <w:rPr>
                      <w:szCs w:val="21"/>
                    </w:rPr>
                  </w:pPr>
                  <w:r>
                    <w:rPr>
                      <w:szCs w:val="21"/>
                    </w:rPr>
                    <w:t>隔油池（仅食堂废水）+化粪池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gridSpan w:val="2"/>
                  <w:vAlign w:val="center"/>
                </w:tcPr>
                <w:p>
                  <w:pPr>
                    <w:adjustRightInd w:val="0"/>
                    <w:snapToGrid w:val="0"/>
                    <w:jc w:val="center"/>
                    <w:rPr>
                      <w:szCs w:val="21"/>
                    </w:rPr>
                  </w:pPr>
                  <w:r>
                    <w:rPr>
                      <w:szCs w:val="21"/>
                    </w:rPr>
                    <w:t>处理效率（%）</w:t>
                  </w:r>
                </w:p>
              </w:tc>
              <w:tc>
                <w:tcPr>
                  <w:tcW w:w="530" w:type="pct"/>
                  <w:vAlign w:val="center"/>
                </w:tcPr>
                <w:p>
                  <w:pPr>
                    <w:adjustRightInd w:val="0"/>
                    <w:snapToGrid w:val="0"/>
                    <w:jc w:val="center"/>
                    <w:rPr>
                      <w:szCs w:val="21"/>
                    </w:rPr>
                  </w:pPr>
                  <w:r>
                    <w:rPr>
                      <w:rFonts w:eastAsia="等线"/>
                      <w:szCs w:val="21"/>
                    </w:rPr>
                    <w:t>15</w:t>
                  </w:r>
                </w:p>
              </w:tc>
              <w:tc>
                <w:tcPr>
                  <w:tcW w:w="470" w:type="pct"/>
                  <w:vAlign w:val="center"/>
                </w:tcPr>
                <w:p>
                  <w:pPr>
                    <w:adjustRightInd w:val="0"/>
                    <w:snapToGrid w:val="0"/>
                    <w:jc w:val="center"/>
                    <w:rPr>
                      <w:szCs w:val="21"/>
                    </w:rPr>
                  </w:pPr>
                  <w:r>
                    <w:rPr>
                      <w:rFonts w:eastAsia="等线"/>
                      <w:szCs w:val="21"/>
                    </w:rPr>
                    <w:t>10</w:t>
                  </w:r>
                </w:p>
              </w:tc>
              <w:tc>
                <w:tcPr>
                  <w:tcW w:w="483" w:type="pct"/>
                  <w:vAlign w:val="center"/>
                </w:tcPr>
                <w:p>
                  <w:pPr>
                    <w:adjustRightInd w:val="0"/>
                    <w:snapToGrid w:val="0"/>
                    <w:jc w:val="center"/>
                    <w:rPr>
                      <w:szCs w:val="21"/>
                    </w:rPr>
                  </w:pPr>
                  <w:r>
                    <w:rPr>
                      <w:rFonts w:eastAsia="等线"/>
                      <w:szCs w:val="21"/>
                    </w:rPr>
                    <w:t>30</w:t>
                  </w:r>
                </w:p>
              </w:tc>
              <w:tc>
                <w:tcPr>
                  <w:tcW w:w="460" w:type="pct"/>
                  <w:vAlign w:val="center"/>
                </w:tcPr>
                <w:p>
                  <w:pPr>
                    <w:adjustRightInd w:val="0"/>
                    <w:snapToGrid w:val="0"/>
                    <w:jc w:val="center"/>
                    <w:rPr>
                      <w:szCs w:val="21"/>
                    </w:rPr>
                  </w:pPr>
                  <w:r>
                    <w:rPr>
                      <w:rFonts w:eastAsia="等线"/>
                      <w:szCs w:val="21"/>
                    </w:rPr>
                    <w:t>0</w:t>
                  </w:r>
                </w:p>
              </w:tc>
              <w:tc>
                <w:tcPr>
                  <w:tcW w:w="523" w:type="pct"/>
                  <w:vAlign w:val="center"/>
                </w:tcPr>
                <w:p>
                  <w:pPr>
                    <w:adjustRightInd w:val="0"/>
                    <w:snapToGrid w:val="0"/>
                    <w:jc w:val="center"/>
                    <w:rPr>
                      <w:szCs w:val="21"/>
                    </w:rPr>
                  </w:pPr>
                  <w:r>
                    <w:rPr>
                      <w:rFonts w:eastAsia="等线"/>
                      <w:szCs w:val="21"/>
                    </w:rPr>
                    <w:t>0</w:t>
                  </w:r>
                </w:p>
              </w:tc>
              <w:tc>
                <w:tcPr>
                  <w:tcW w:w="527" w:type="pct"/>
                  <w:vAlign w:val="center"/>
                </w:tcPr>
                <w:p>
                  <w:pPr>
                    <w:adjustRightInd w:val="0"/>
                    <w:snapToGrid w:val="0"/>
                    <w:jc w:val="center"/>
                    <w:rPr>
                      <w:szCs w:val="21"/>
                    </w:rPr>
                  </w:pPr>
                  <w:r>
                    <w:rPr>
                      <w:rFonts w:eastAsia="等线"/>
                      <w:szCs w:val="21"/>
                    </w:rPr>
                    <w:t>0</w:t>
                  </w:r>
                </w:p>
              </w:tc>
              <w:tc>
                <w:tcPr>
                  <w:tcW w:w="514" w:type="pct"/>
                  <w:vAlign w:val="center"/>
                </w:tcPr>
                <w:p>
                  <w:pPr>
                    <w:adjustRightInd w:val="0"/>
                    <w:snapToGrid w:val="0"/>
                    <w:jc w:val="center"/>
                    <w:rPr>
                      <w:szCs w:val="21"/>
                    </w:rPr>
                  </w:pPr>
                  <w:r>
                    <w:rPr>
                      <w:rFonts w:eastAsia="等线"/>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pct"/>
                  <w:vMerge w:val="restart"/>
                  <w:vAlign w:val="center"/>
                </w:tcPr>
                <w:p>
                  <w:pPr>
                    <w:adjustRightInd w:val="0"/>
                    <w:snapToGrid w:val="0"/>
                    <w:jc w:val="center"/>
                    <w:rPr>
                      <w:szCs w:val="21"/>
                    </w:rPr>
                  </w:pPr>
                  <w:r>
                    <w:rPr>
                      <w:szCs w:val="21"/>
                    </w:rPr>
                    <w:t>污水排放</w:t>
                  </w:r>
                  <w:r>
                    <w:rPr>
                      <w:bCs/>
                      <w:szCs w:val="21"/>
                    </w:rPr>
                    <w:t>3092.96</w:t>
                  </w:r>
                  <w:r>
                    <w:rPr>
                      <w:szCs w:val="21"/>
                    </w:rPr>
                    <w:t>m</w:t>
                  </w:r>
                  <w:r>
                    <w:rPr>
                      <w:szCs w:val="21"/>
                      <w:vertAlign w:val="superscript"/>
                    </w:rPr>
                    <w:t>3</w:t>
                  </w:r>
                  <w:r>
                    <w:rPr>
                      <w:szCs w:val="21"/>
                    </w:rPr>
                    <w:t>/a</w:t>
                  </w:r>
                </w:p>
              </w:tc>
              <w:tc>
                <w:tcPr>
                  <w:tcW w:w="690" w:type="pct"/>
                  <w:vAlign w:val="center"/>
                </w:tcPr>
                <w:p>
                  <w:pPr>
                    <w:adjustRightInd w:val="0"/>
                    <w:snapToGrid w:val="0"/>
                    <w:jc w:val="center"/>
                    <w:rPr>
                      <w:szCs w:val="21"/>
                    </w:rPr>
                  </w:pPr>
                  <w:r>
                    <w:rPr>
                      <w:szCs w:val="21"/>
                    </w:rPr>
                    <w:t>排放浓度(mg/L)</w:t>
                  </w:r>
                </w:p>
              </w:tc>
              <w:tc>
                <w:tcPr>
                  <w:tcW w:w="530" w:type="pct"/>
                  <w:vAlign w:val="center"/>
                </w:tcPr>
                <w:p>
                  <w:pPr>
                    <w:adjustRightInd w:val="0"/>
                    <w:snapToGrid w:val="0"/>
                    <w:jc w:val="center"/>
                    <w:rPr>
                      <w:szCs w:val="21"/>
                    </w:rPr>
                  </w:pPr>
                  <w:r>
                    <w:rPr>
                      <w:rFonts w:eastAsia="等线"/>
                      <w:szCs w:val="21"/>
                    </w:rPr>
                    <w:t>340</w:t>
                  </w:r>
                </w:p>
              </w:tc>
              <w:tc>
                <w:tcPr>
                  <w:tcW w:w="470" w:type="pct"/>
                  <w:vAlign w:val="center"/>
                </w:tcPr>
                <w:p>
                  <w:pPr>
                    <w:adjustRightInd w:val="0"/>
                    <w:snapToGrid w:val="0"/>
                    <w:jc w:val="center"/>
                    <w:rPr>
                      <w:szCs w:val="21"/>
                    </w:rPr>
                  </w:pPr>
                  <w:r>
                    <w:rPr>
                      <w:rFonts w:eastAsia="等线"/>
                      <w:szCs w:val="21"/>
                    </w:rPr>
                    <w:t>180</w:t>
                  </w:r>
                </w:p>
              </w:tc>
              <w:tc>
                <w:tcPr>
                  <w:tcW w:w="483" w:type="pct"/>
                  <w:vAlign w:val="center"/>
                </w:tcPr>
                <w:p>
                  <w:pPr>
                    <w:adjustRightInd w:val="0"/>
                    <w:snapToGrid w:val="0"/>
                    <w:jc w:val="center"/>
                    <w:rPr>
                      <w:szCs w:val="21"/>
                    </w:rPr>
                  </w:pPr>
                  <w:r>
                    <w:rPr>
                      <w:rFonts w:eastAsia="等线"/>
                      <w:szCs w:val="21"/>
                    </w:rPr>
                    <w:t>210</w:t>
                  </w:r>
                </w:p>
              </w:tc>
              <w:tc>
                <w:tcPr>
                  <w:tcW w:w="460" w:type="pct"/>
                  <w:vAlign w:val="center"/>
                </w:tcPr>
                <w:p>
                  <w:pPr>
                    <w:adjustRightInd w:val="0"/>
                    <w:snapToGrid w:val="0"/>
                    <w:jc w:val="center"/>
                    <w:rPr>
                      <w:szCs w:val="21"/>
                    </w:rPr>
                  </w:pPr>
                  <w:r>
                    <w:rPr>
                      <w:rFonts w:eastAsia="等线"/>
                      <w:szCs w:val="21"/>
                    </w:rPr>
                    <w:t>25</w:t>
                  </w:r>
                </w:p>
              </w:tc>
              <w:tc>
                <w:tcPr>
                  <w:tcW w:w="523" w:type="pct"/>
                  <w:vAlign w:val="center"/>
                </w:tcPr>
                <w:p>
                  <w:pPr>
                    <w:adjustRightInd w:val="0"/>
                    <w:snapToGrid w:val="0"/>
                    <w:jc w:val="center"/>
                    <w:rPr>
                      <w:szCs w:val="21"/>
                    </w:rPr>
                  </w:pPr>
                  <w:r>
                    <w:rPr>
                      <w:rFonts w:eastAsia="等线"/>
                      <w:szCs w:val="21"/>
                    </w:rPr>
                    <w:t>5</w:t>
                  </w:r>
                </w:p>
              </w:tc>
              <w:tc>
                <w:tcPr>
                  <w:tcW w:w="527" w:type="pct"/>
                  <w:vAlign w:val="center"/>
                </w:tcPr>
                <w:p>
                  <w:pPr>
                    <w:adjustRightInd w:val="0"/>
                    <w:snapToGrid w:val="0"/>
                    <w:jc w:val="center"/>
                    <w:rPr>
                      <w:szCs w:val="21"/>
                    </w:rPr>
                  </w:pPr>
                  <w:r>
                    <w:rPr>
                      <w:rFonts w:eastAsia="等线"/>
                      <w:szCs w:val="21"/>
                    </w:rPr>
                    <w:t>40</w:t>
                  </w:r>
                </w:p>
              </w:tc>
              <w:tc>
                <w:tcPr>
                  <w:tcW w:w="514" w:type="pct"/>
                  <w:vAlign w:val="center"/>
                </w:tcPr>
                <w:p>
                  <w:pPr>
                    <w:adjustRightInd w:val="0"/>
                    <w:snapToGrid w:val="0"/>
                    <w:jc w:val="center"/>
                    <w:rPr>
                      <w:szCs w:val="21"/>
                    </w:rPr>
                  </w:pPr>
                  <w:r>
                    <w:rPr>
                      <w:rFonts w:eastAsia="等线"/>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pct"/>
                  <w:vMerge w:val="continue"/>
                  <w:vAlign w:val="center"/>
                </w:tcPr>
                <w:p>
                  <w:pPr>
                    <w:adjustRightInd w:val="0"/>
                    <w:snapToGrid w:val="0"/>
                    <w:jc w:val="center"/>
                    <w:rPr>
                      <w:szCs w:val="21"/>
                    </w:rPr>
                  </w:pPr>
                </w:p>
              </w:tc>
              <w:tc>
                <w:tcPr>
                  <w:tcW w:w="690" w:type="pct"/>
                  <w:vAlign w:val="center"/>
                </w:tcPr>
                <w:p>
                  <w:pPr>
                    <w:adjustRightInd w:val="0"/>
                    <w:snapToGrid w:val="0"/>
                    <w:jc w:val="center"/>
                    <w:rPr>
                      <w:szCs w:val="21"/>
                    </w:rPr>
                  </w:pPr>
                  <w:r>
                    <w:rPr>
                      <w:szCs w:val="21"/>
                    </w:rPr>
                    <w:t>排放量（t/a）</w:t>
                  </w:r>
                </w:p>
              </w:tc>
              <w:tc>
                <w:tcPr>
                  <w:tcW w:w="530" w:type="pct"/>
                  <w:vAlign w:val="center"/>
                </w:tcPr>
                <w:p>
                  <w:pPr>
                    <w:adjustRightInd w:val="0"/>
                    <w:snapToGrid w:val="0"/>
                    <w:jc w:val="center"/>
                    <w:rPr>
                      <w:szCs w:val="21"/>
                    </w:rPr>
                  </w:pPr>
                  <w:r>
                    <w:rPr>
                      <w:rFonts w:eastAsia="等线"/>
                      <w:szCs w:val="21"/>
                    </w:rPr>
                    <w:t>1.05</w:t>
                  </w:r>
                </w:p>
              </w:tc>
              <w:tc>
                <w:tcPr>
                  <w:tcW w:w="470" w:type="pct"/>
                  <w:vAlign w:val="center"/>
                </w:tcPr>
                <w:p>
                  <w:pPr>
                    <w:adjustRightInd w:val="0"/>
                    <w:snapToGrid w:val="0"/>
                    <w:jc w:val="center"/>
                    <w:rPr>
                      <w:szCs w:val="21"/>
                    </w:rPr>
                  </w:pPr>
                  <w:r>
                    <w:rPr>
                      <w:rFonts w:eastAsia="等线"/>
                      <w:szCs w:val="21"/>
                    </w:rPr>
                    <w:t>0.56</w:t>
                  </w:r>
                </w:p>
              </w:tc>
              <w:tc>
                <w:tcPr>
                  <w:tcW w:w="483" w:type="pct"/>
                  <w:vAlign w:val="center"/>
                </w:tcPr>
                <w:p>
                  <w:pPr>
                    <w:adjustRightInd w:val="0"/>
                    <w:snapToGrid w:val="0"/>
                    <w:jc w:val="center"/>
                    <w:rPr>
                      <w:szCs w:val="21"/>
                    </w:rPr>
                  </w:pPr>
                  <w:r>
                    <w:rPr>
                      <w:rFonts w:eastAsia="等线"/>
                      <w:szCs w:val="21"/>
                    </w:rPr>
                    <w:t>0.65</w:t>
                  </w:r>
                </w:p>
              </w:tc>
              <w:tc>
                <w:tcPr>
                  <w:tcW w:w="460" w:type="pct"/>
                  <w:vAlign w:val="center"/>
                </w:tcPr>
                <w:p>
                  <w:pPr>
                    <w:adjustRightInd w:val="0"/>
                    <w:snapToGrid w:val="0"/>
                    <w:jc w:val="center"/>
                    <w:rPr>
                      <w:szCs w:val="21"/>
                    </w:rPr>
                  </w:pPr>
                  <w:r>
                    <w:rPr>
                      <w:rFonts w:eastAsia="等线"/>
                      <w:szCs w:val="21"/>
                    </w:rPr>
                    <w:t>0.08</w:t>
                  </w:r>
                </w:p>
              </w:tc>
              <w:tc>
                <w:tcPr>
                  <w:tcW w:w="523" w:type="pct"/>
                  <w:vAlign w:val="center"/>
                </w:tcPr>
                <w:p>
                  <w:pPr>
                    <w:adjustRightInd w:val="0"/>
                    <w:snapToGrid w:val="0"/>
                    <w:jc w:val="center"/>
                    <w:rPr>
                      <w:szCs w:val="21"/>
                    </w:rPr>
                  </w:pPr>
                  <w:r>
                    <w:rPr>
                      <w:rFonts w:eastAsia="等线"/>
                      <w:szCs w:val="21"/>
                    </w:rPr>
                    <w:t>0.02</w:t>
                  </w:r>
                </w:p>
              </w:tc>
              <w:tc>
                <w:tcPr>
                  <w:tcW w:w="527" w:type="pct"/>
                  <w:vAlign w:val="center"/>
                </w:tcPr>
                <w:p>
                  <w:pPr>
                    <w:adjustRightInd w:val="0"/>
                    <w:snapToGrid w:val="0"/>
                    <w:jc w:val="center"/>
                    <w:rPr>
                      <w:szCs w:val="21"/>
                    </w:rPr>
                  </w:pPr>
                  <w:r>
                    <w:rPr>
                      <w:rFonts w:eastAsia="等线"/>
                      <w:szCs w:val="21"/>
                    </w:rPr>
                    <w:t>0.12</w:t>
                  </w:r>
                </w:p>
              </w:tc>
              <w:tc>
                <w:tcPr>
                  <w:tcW w:w="514" w:type="pct"/>
                  <w:vAlign w:val="center"/>
                </w:tcPr>
                <w:p>
                  <w:pPr>
                    <w:adjustRightInd w:val="0"/>
                    <w:snapToGrid w:val="0"/>
                    <w:jc w:val="center"/>
                    <w:rPr>
                      <w:szCs w:val="21"/>
                    </w:rPr>
                  </w:pPr>
                  <w:r>
                    <w:rPr>
                      <w:rFonts w:eastAsia="等线"/>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gridSpan w:val="2"/>
                  <w:vAlign w:val="center"/>
                </w:tcPr>
                <w:p>
                  <w:pPr>
                    <w:adjustRightInd w:val="0"/>
                    <w:snapToGrid w:val="0"/>
                    <w:jc w:val="center"/>
                    <w:rPr>
                      <w:szCs w:val="21"/>
                    </w:rPr>
                  </w:pPr>
                  <w:r>
                    <w:rPr>
                      <w:szCs w:val="21"/>
                    </w:rPr>
                    <w:t>《污水综合排放标准》（GB8978-1996）中三级标准</w:t>
                  </w:r>
                </w:p>
              </w:tc>
              <w:tc>
                <w:tcPr>
                  <w:tcW w:w="530" w:type="pct"/>
                  <w:vAlign w:val="center"/>
                </w:tcPr>
                <w:p>
                  <w:pPr>
                    <w:adjustRightInd w:val="0"/>
                    <w:snapToGrid w:val="0"/>
                    <w:jc w:val="center"/>
                    <w:rPr>
                      <w:szCs w:val="21"/>
                    </w:rPr>
                  </w:pPr>
                  <w:r>
                    <w:rPr>
                      <w:szCs w:val="21"/>
                    </w:rPr>
                    <w:t>500</w:t>
                  </w:r>
                </w:p>
              </w:tc>
              <w:tc>
                <w:tcPr>
                  <w:tcW w:w="470" w:type="pct"/>
                  <w:vAlign w:val="center"/>
                </w:tcPr>
                <w:p>
                  <w:pPr>
                    <w:adjustRightInd w:val="0"/>
                    <w:snapToGrid w:val="0"/>
                    <w:jc w:val="center"/>
                    <w:rPr>
                      <w:szCs w:val="21"/>
                    </w:rPr>
                  </w:pPr>
                  <w:r>
                    <w:rPr>
                      <w:szCs w:val="21"/>
                    </w:rPr>
                    <w:t>300</w:t>
                  </w:r>
                </w:p>
              </w:tc>
              <w:tc>
                <w:tcPr>
                  <w:tcW w:w="483" w:type="pct"/>
                  <w:vAlign w:val="center"/>
                </w:tcPr>
                <w:p>
                  <w:pPr>
                    <w:adjustRightInd w:val="0"/>
                    <w:snapToGrid w:val="0"/>
                    <w:jc w:val="center"/>
                    <w:rPr>
                      <w:szCs w:val="21"/>
                    </w:rPr>
                  </w:pPr>
                  <w:r>
                    <w:rPr>
                      <w:szCs w:val="21"/>
                    </w:rPr>
                    <w:t>400</w:t>
                  </w:r>
                </w:p>
              </w:tc>
              <w:tc>
                <w:tcPr>
                  <w:tcW w:w="460" w:type="pct"/>
                  <w:vAlign w:val="center"/>
                </w:tcPr>
                <w:p>
                  <w:pPr>
                    <w:adjustRightInd w:val="0"/>
                    <w:snapToGrid w:val="0"/>
                    <w:jc w:val="center"/>
                    <w:rPr>
                      <w:szCs w:val="21"/>
                    </w:rPr>
                  </w:pPr>
                  <w:r>
                    <w:rPr>
                      <w:szCs w:val="21"/>
                    </w:rPr>
                    <w:t>/</w:t>
                  </w:r>
                </w:p>
              </w:tc>
              <w:tc>
                <w:tcPr>
                  <w:tcW w:w="523" w:type="pct"/>
                  <w:vAlign w:val="center"/>
                </w:tcPr>
                <w:p>
                  <w:pPr>
                    <w:adjustRightInd w:val="0"/>
                    <w:snapToGrid w:val="0"/>
                    <w:jc w:val="center"/>
                    <w:rPr>
                      <w:szCs w:val="21"/>
                    </w:rPr>
                  </w:pPr>
                  <w:r>
                    <w:rPr>
                      <w:szCs w:val="21"/>
                    </w:rPr>
                    <w:t>/</w:t>
                  </w:r>
                </w:p>
              </w:tc>
              <w:tc>
                <w:tcPr>
                  <w:tcW w:w="527" w:type="pct"/>
                  <w:vAlign w:val="center"/>
                </w:tcPr>
                <w:p>
                  <w:pPr>
                    <w:adjustRightInd w:val="0"/>
                    <w:snapToGrid w:val="0"/>
                    <w:jc w:val="center"/>
                    <w:rPr>
                      <w:szCs w:val="21"/>
                    </w:rPr>
                  </w:pPr>
                  <w:r>
                    <w:rPr>
                      <w:szCs w:val="21"/>
                    </w:rPr>
                    <w:t>/</w:t>
                  </w:r>
                </w:p>
              </w:tc>
              <w:tc>
                <w:tcPr>
                  <w:tcW w:w="514" w:type="pct"/>
                  <w:vAlign w:val="center"/>
                </w:tcPr>
                <w:p>
                  <w:pPr>
                    <w:adjustRightInd w:val="0"/>
                    <w:snapToGrid w:val="0"/>
                    <w:jc w:val="center"/>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gridSpan w:val="2"/>
                  <w:vAlign w:val="center"/>
                </w:tcPr>
                <w:p>
                  <w:pPr>
                    <w:adjustRightInd w:val="0"/>
                    <w:snapToGrid w:val="0"/>
                    <w:jc w:val="center"/>
                    <w:rPr>
                      <w:szCs w:val="21"/>
                    </w:rPr>
                  </w:pPr>
                  <w:r>
                    <w:rPr>
                      <w:szCs w:val="21"/>
                    </w:rPr>
                    <w:t>《污水排入城镇下水道水质标准》（GB/T31962-2015）B 级标准</w:t>
                  </w:r>
                </w:p>
              </w:tc>
              <w:tc>
                <w:tcPr>
                  <w:tcW w:w="530" w:type="pct"/>
                  <w:vAlign w:val="center"/>
                </w:tcPr>
                <w:p>
                  <w:pPr>
                    <w:adjustRightInd w:val="0"/>
                    <w:snapToGrid w:val="0"/>
                    <w:jc w:val="center"/>
                    <w:rPr>
                      <w:szCs w:val="21"/>
                    </w:rPr>
                  </w:pPr>
                  <w:r>
                    <w:rPr>
                      <w:szCs w:val="21"/>
                    </w:rPr>
                    <w:t>/</w:t>
                  </w:r>
                </w:p>
              </w:tc>
              <w:tc>
                <w:tcPr>
                  <w:tcW w:w="470" w:type="pct"/>
                  <w:vAlign w:val="center"/>
                </w:tcPr>
                <w:p>
                  <w:pPr>
                    <w:adjustRightInd w:val="0"/>
                    <w:snapToGrid w:val="0"/>
                    <w:jc w:val="center"/>
                    <w:rPr>
                      <w:szCs w:val="21"/>
                    </w:rPr>
                  </w:pPr>
                  <w:r>
                    <w:rPr>
                      <w:szCs w:val="21"/>
                    </w:rPr>
                    <w:t>/</w:t>
                  </w:r>
                </w:p>
              </w:tc>
              <w:tc>
                <w:tcPr>
                  <w:tcW w:w="483" w:type="pct"/>
                  <w:vAlign w:val="center"/>
                </w:tcPr>
                <w:p>
                  <w:pPr>
                    <w:adjustRightInd w:val="0"/>
                    <w:snapToGrid w:val="0"/>
                    <w:jc w:val="center"/>
                    <w:rPr>
                      <w:szCs w:val="21"/>
                    </w:rPr>
                  </w:pPr>
                  <w:r>
                    <w:rPr>
                      <w:szCs w:val="21"/>
                    </w:rPr>
                    <w:t>/</w:t>
                  </w:r>
                </w:p>
              </w:tc>
              <w:tc>
                <w:tcPr>
                  <w:tcW w:w="460" w:type="pct"/>
                  <w:vAlign w:val="center"/>
                </w:tcPr>
                <w:p>
                  <w:pPr>
                    <w:adjustRightInd w:val="0"/>
                    <w:snapToGrid w:val="0"/>
                    <w:jc w:val="center"/>
                    <w:rPr>
                      <w:szCs w:val="21"/>
                    </w:rPr>
                  </w:pPr>
                  <w:r>
                    <w:rPr>
                      <w:szCs w:val="21"/>
                    </w:rPr>
                    <w:t>45</w:t>
                  </w:r>
                </w:p>
              </w:tc>
              <w:tc>
                <w:tcPr>
                  <w:tcW w:w="523" w:type="pct"/>
                  <w:vAlign w:val="center"/>
                </w:tcPr>
                <w:p>
                  <w:pPr>
                    <w:adjustRightInd w:val="0"/>
                    <w:snapToGrid w:val="0"/>
                    <w:jc w:val="center"/>
                    <w:rPr>
                      <w:szCs w:val="21"/>
                    </w:rPr>
                  </w:pPr>
                  <w:r>
                    <w:rPr>
                      <w:szCs w:val="21"/>
                    </w:rPr>
                    <w:t>8</w:t>
                  </w:r>
                </w:p>
              </w:tc>
              <w:tc>
                <w:tcPr>
                  <w:tcW w:w="527" w:type="pct"/>
                  <w:vAlign w:val="center"/>
                </w:tcPr>
                <w:p>
                  <w:pPr>
                    <w:adjustRightInd w:val="0"/>
                    <w:snapToGrid w:val="0"/>
                    <w:jc w:val="center"/>
                    <w:rPr>
                      <w:szCs w:val="21"/>
                    </w:rPr>
                  </w:pPr>
                  <w:r>
                    <w:rPr>
                      <w:szCs w:val="21"/>
                    </w:rPr>
                    <w:t>70</w:t>
                  </w:r>
                </w:p>
              </w:tc>
              <w:tc>
                <w:tcPr>
                  <w:tcW w:w="514" w:type="pct"/>
                  <w:vAlign w:val="center"/>
                </w:tcPr>
                <w:p>
                  <w:pPr>
                    <w:adjustRightInd w:val="0"/>
                    <w:snapToGrid w:val="0"/>
                    <w:jc w:val="center"/>
                    <w:rPr>
                      <w:szCs w:val="21"/>
                    </w:rPr>
                  </w:pPr>
                  <w:r>
                    <w:rPr>
                      <w:szCs w:val="21"/>
                    </w:rPr>
                    <w:t>/</w:t>
                  </w:r>
                </w:p>
              </w:tc>
            </w:tr>
          </w:tbl>
          <w:p>
            <w:pPr>
              <w:adjustRightInd w:val="0"/>
              <w:snapToGrid w:val="0"/>
              <w:spacing w:line="360" w:lineRule="auto"/>
              <w:ind w:firstLine="480" w:firstLineChars="200"/>
              <w:rPr>
                <w:bCs/>
                <w:sz w:val="24"/>
              </w:rPr>
            </w:pPr>
            <w:r>
              <w:rPr>
                <w:rFonts w:hint="eastAsia" w:ascii="宋体" w:hAnsi="宋体" w:cs="宋体"/>
                <w:bCs/>
                <w:sz w:val="24"/>
              </w:rPr>
              <w:t>②</w:t>
            </w:r>
            <w:r>
              <w:rPr>
                <w:bCs/>
                <w:sz w:val="24"/>
              </w:rPr>
              <w:t>生产废水</w:t>
            </w:r>
          </w:p>
          <w:p>
            <w:pPr>
              <w:adjustRightInd w:val="0"/>
              <w:snapToGrid w:val="0"/>
              <w:spacing w:line="360" w:lineRule="auto"/>
              <w:ind w:firstLine="480" w:firstLineChars="200"/>
              <w:rPr>
                <w:sz w:val="24"/>
              </w:rPr>
            </w:pPr>
            <w:r>
              <w:rPr>
                <w:bCs/>
                <w:kern w:val="0"/>
                <w:sz w:val="24"/>
              </w:rPr>
              <w:t>项目运营期废水</w:t>
            </w:r>
            <w:r>
              <w:rPr>
                <w:bCs/>
                <w:sz w:val="24"/>
              </w:rPr>
              <w:t>主要为解剖废水、地面清洗废水、洗车废水</w:t>
            </w:r>
            <w:r>
              <w:rPr>
                <w:sz w:val="24"/>
              </w:rPr>
              <w:t>，生产废水总量为2.3m</w:t>
            </w:r>
            <w:r>
              <w:rPr>
                <w:sz w:val="24"/>
                <w:vertAlign w:val="superscript"/>
              </w:rPr>
              <w:t>3</w:t>
            </w:r>
            <w:r>
              <w:rPr>
                <w:sz w:val="24"/>
              </w:rPr>
              <w:t>/d（841.94</w:t>
            </w:r>
            <w:r>
              <w:rPr>
                <w:rFonts w:eastAsia="Times New Roman"/>
                <w:sz w:val="24"/>
              </w:rPr>
              <w:t>m</w:t>
            </w:r>
            <w:r>
              <w:rPr>
                <w:szCs w:val="21"/>
                <w:vertAlign w:val="superscript"/>
              </w:rPr>
              <w:t>3</w:t>
            </w:r>
            <w:r>
              <w:rPr>
                <w:rFonts w:eastAsia="Times New Roman"/>
                <w:sz w:val="24"/>
              </w:rPr>
              <w:t>/a</w:t>
            </w:r>
            <w:r>
              <w:rPr>
                <w:sz w:val="24"/>
              </w:rPr>
              <w:t>）</w:t>
            </w:r>
            <w:r>
              <w:rPr>
                <w:bCs/>
                <w:sz w:val="24"/>
              </w:rPr>
              <w:t>，该部分废水主要污染物有COD、BOD</w:t>
            </w:r>
            <w:r>
              <w:rPr>
                <w:bCs/>
                <w:sz w:val="24"/>
                <w:vertAlign w:val="subscript"/>
              </w:rPr>
              <w:t>5</w:t>
            </w:r>
            <w:r>
              <w:rPr>
                <w:bCs/>
                <w:sz w:val="24"/>
              </w:rPr>
              <w:t>、SS、NH</w:t>
            </w:r>
            <w:r>
              <w:rPr>
                <w:sz w:val="24"/>
                <w:vertAlign w:val="subscript"/>
              </w:rPr>
              <w:t>3</w:t>
            </w:r>
            <w:r>
              <w:rPr>
                <w:sz w:val="24"/>
              </w:rPr>
              <w:t>-N、粪大肠菌群数和总余氯</w:t>
            </w:r>
            <w:r>
              <w:rPr>
                <w:bCs/>
                <w:sz w:val="24"/>
              </w:rPr>
              <w:t>等。</w:t>
            </w:r>
            <w:r>
              <w:rPr>
                <w:sz w:val="24"/>
              </w:rPr>
              <w:t>依据生产废水水质类别，并结合项目特点，确定项目污染物产生浓度分别为COD230mg/L、BOD</w:t>
            </w:r>
            <w:r>
              <w:rPr>
                <w:sz w:val="24"/>
                <w:vertAlign w:val="subscript"/>
              </w:rPr>
              <w:t>5</w:t>
            </w:r>
            <w:r>
              <w:rPr>
                <w:sz w:val="24"/>
              </w:rPr>
              <w:t>110mg/L、SS200mg/L、氨氮40mg/L、粪大肠菌群数10000MPN/L、总余氯2mg/L，废水采用“混凝沉淀+消毒”，废水污染物产生和排放情况见表4-2。</w:t>
            </w:r>
          </w:p>
          <w:p>
            <w:pPr>
              <w:jc w:val="center"/>
              <w:outlineLvl w:val="1"/>
              <w:rPr>
                <w:b/>
                <w:bCs/>
                <w:kern w:val="0"/>
                <w:sz w:val="24"/>
              </w:rPr>
            </w:pPr>
            <w:r>
              <w:rPr>
                <w:b/>
                <w:bCs/>
                <w:kern w:val="0"/>
                <w:sz w:val="24"/>
              </w:rPr>
              <w:t>表4-2生产废水产生排放情况一览表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120"/>
              <w:gridCol w:w="689"/>
              <w:gridCol w:w="740"/>
              <w:gridCol w:w="672"/>
              <w:gridCol w:w="821"/>
              <w:gridCol w:w="1532"/>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0" w:type="pct"/>
                  <w:gridSpan w:val="2"/>
                  <w:vAlign w:val="center"/>
                </w:tcPr>
                <w:p>
                  <w:pPr>
                    <w:adjustRightInd w:val="0"/>
                    <w:snapToGrid w:val="0"/>
                    <w:jc w:val="center"/>
                    <w:rPr>
                      <w:b/>
                      <w:szCs w:val="21"/>
                    </w:rPr>
                  </w:pPr>
                  <w:r>
                    <w:rPr>
                      <w:b/>
                      <w:szCs w:val="21"/>
                    </w:rPr>
                    <w:t>项目</w:t>
                  </w:r>
                </w:p>
              </w:tc>
              <w:tc>
                <w:tcPr>
                  <w:tcW w:w="431" w:type="pct"/>
                  <w:vAlign w:val="center"/>
                </w:tcPr>
                <w:p>
                  <w:pPr>
                    <w:adjustRightInd w:val="0"/>
                    <w:snapToGrid w:val="0"/>
                    <w:jc w:val="center"/>
                    <w:rPr>
                      <w:b/>
                      <w:szCs w:val="21"/>
                    </w:rPr>
                  </w:pPr>
                  <w:r>
                    <w:rPr>
                      <w:b/>
                      <w:szCs w:val="21"/>
                    </w:rPr>
                    <w:t>COD</w:t>
                  </w:r>
                </w:p>
              </w:tc>
              <w:tc>
                <w:tcPr>
                  <w:tcW w:w="464" w:type="pct"/>
                  <w:vAlign w:val="center"/>
                </w:tcPr>
                <w:p>
                  <w:pPr>
                    <w:adjustRightInd w:val="0"/>
                    <w:snapToGrid w:val="0"/>
                    <w:jc w:val="center"/>
                    <w:rPr>
                      <w:b/>
                      <w:szCs w:val="21"/>
                    </w:rPr>
                  </w:pPr>
                  <w:r>
                    <w:rPr>
                      <w:b/>
                      <w:szCs w:val="21"/>
                    </w:rPr>
                    <w:t>BOD</w:t>
                  </w:r>
                  <w:r>
                    <w:rPr>
                      <w:b/>
                      <w:szCs w:val="21"/>
                      <w:vertAlign w:val="subscript"/>
                    </w:rPr>
                    <w:t>5</w:t>
                  </w:r>
                </w:p>
              </w:tc>
              <w:tc>
                <w:tcPr>
                  <w:tcW w:w="431" w:type="pct"/>
                  <w:vAlign w:val="center"/>
                </w:tcPr>
                <w:p>
                  <w:pPr>
                    <w:adjustRightInd w:val="0"/>
                    <w:snapToGrid w:val="0"/>
                    <w:jc w:val="center"/>
                    <w:rPr>
                      <w:b/>
                      <w:szCs w:val="21"/>
                    </w:rPr>
                  </w:pPr>
                  <w:r>
                    <w:rPr>
                      <w:b/>
                      <w:szCs w:val="21"/>
                    </w:rPr>
                    <w:t>SS</w:t>
                  </w:r>
                </w:p>
              </w:tc>
              <w:tc>
                <w:tcPr>
                  <w:tcW w:w="497" w:type="pct"/>
                  <w:vAlign w:val="center"/>
                </w:tcPr>
                <w:p>
                  <w:pPr>
                    <w:adjustRightInd w:val="0"/>
                    <w:snapToGrid w:val="0"/>
                    <w:jc w:val="center"/>
                    <w:rPr>
                      <w:b/>
                      <w:szCs w:val="21"/>
                    </w:rPr>
                  </w:pPr>
                  <w:r>
                    <w:rPr>
                      <w:b/>
                      <w:szCs w:val="21"/>
                    </w:rPr>
                    <w:t>NH</w:t>
                  </w:r>
                  <w:r>
                    <w:rPr>
                      <w:b/>
                      <w:szCs w:val="21"/>
                      <w:vertAlign w:val="subscript"/>
                    </w:rPr>
                    <w:t>3</w:t>
                  </w:r>
                  <w:r>
                    <w:rPr>
                      <w:b/>
                      <w:szCs w:val="21"/>
                    </w:rPr>
                    <w:t>-N</w:t>
                  </w:r>
                </w:p>
              </w:tc>
              <w:tc>
                <w:tcPr>
                  <w:tcW w:w="973" w:type="pct"/>
                  <w:vAlign w:val="center"/>
                </w:tcPr>
                <w:p>
                  <w:pPr>
                    <w:adjustRightInd w:val="0"/>
                    <w:snapToGrid w:val="0"/>
                    <w:jc w:val="center"/>
                    <w:rPr>
                      <w:b/>
                      <w:szCs w:val="21"/>
                    </w:rPr>
                  </w:pPr>
                  <w:r>
                    <w:rPr>
                      <w:b/>
                      <w:szCs w:val="21"/>
                    </w:rPr>
                    <w:t>粪大肠菌群数</w:t>
                  </w:r>
                </w:p>
              </w:tc>
              <w:tc>
                <w:tcPr>
                  <w:tcW w:w="754" w:type="pct"/>
                  <w:vAlign w:val="center"/>
                </w:tcPr>
                <w:p>
                  <w:pPr>
                    <w:adjustRightInd w:val="0"/>
                    <w:snapToGrid w:val="0"/>
                    <w:jc w:val="center"/>
                    <w:rPr>
                      <w:b/>
                      <w:szCs w:val="21"/>
                    </w:rPr>
                  </w:pPr>
                  <w:r>
                    <w:rPr>
                      <w:b/>
                      <w:szCs w:val="21"/>
                    </w:rPr>
                    <w:t>总余氯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pct"/>
                  <w:vMerge w:val="restart"/>
                  <w:vAlign w:val="center"/>
                </w:tcPr>
                <w:p>
                  <w:pPr>
                    <w:adjustRightInd w:val="0"/>
                    <w:snapToGrid w:val="0"/>
                    <w:jc w:val="center"/>
                    <w:rPr>
                      <w:szCs w:val="21"/>
                    </w:rPr>
                  </w:pPr>
                  <w:r>
                    <w:rPr>
                      <w:szCs w:val="21"/>
                    </w:rPr>
                    <w:t>污水产生</w:t>
                  </w:r>
                  <w:r>
                    <w:rPr>
                      <w:bCs/>
                      <w:szCs w:val="21"/>
                    </w:rPr>
                    <w:t>841.94</w:t>
                  </w:r>
                  <w:r>
                    <w:rPr>
                      <w:szCs w:val="21"/>
                    </w:rPr>
                    <w:t>m</w:t>
                  </w:r>
                  <w:r>
                    <w:rPr>
                      <w:szCs w:val="21"/>
                      <w:vertAlign w:val="superscript"/>
                    </w:rPr>
                    <w:t>3</w:t>
                  </w:r>
                  <w:r>
                    <w:rPr>
                      <w:szCs w:val="21"/>
                    </w:rPr>
                    <w:t>/a</w:t>
                  </w:r>
                </w:p>
              </w:tc>
              <w:tc>
                <w:tcPr>
                  <w:tcW w:w="712" w:type="pct"/>
                  <w:vAlign w:val="center"/>
                </w:tcPr>
                <w:p>
                  <w:pPr>
                    <w:adjustRightInd w:val="0"/>
                    <w:snapToGrid w:val="0"/>
                    <w:jc w:val="center"/>
                    <w:rPr>
                      <w:szCs w:val="21"/>
                    </w:rPr>
                  </w:pPr>
                  <w:r>
                    <w:rPr>
                      <w:szCs w:val="21"/>
                    </w:rPr>
                    <w:t>产生浓度(mg/L)</w:t>
                  </w:r>
                </w:p>
              </w:tc>
              <w:tc>
                <w:tcPr>
                  <w:tcW w:w="431" w:type="pct"/>
                  <w:vAlign w:val="center"/>
                </w:tcPr>
                <w:p>
                  <w:pPr>
                    <w:adjustRightInd w:val="0"/>
                    <w:snapToGrid w:val="0"/>
                    <w:jc w:val="center"/>
                    <w:rPr>
                      <w:szCs w:val="21"/>
                    </w:rPr>
                  </w:pPr>
                  <w:r>
                    <w:rPr>
                      <w:rFonts w:eastAsia="等线"/>
                      <w:szCs w:val="21"/>
                    </w:rPr>
                    <w:t>230</w:t>
                  </w:r>
                </w:p>
              </w:tc>
              <w:tc>
                <w:tcPr>
                  <w:tcW w:w="464" w:type="pct"/>
                  <w:vAlign w:val="center"/>
                </w:tcPr>
                <w:p>
                  <w:pPr>
                    <w:adjustRightInd w:val="0"/>
                    <w:snapToGrid w:val="0"/>
                    <w:jc w:val="center"/>
                    <w:rPr>
                      <w:szCs w:val="21"/>
                    </w:rPr>
                  </w:pPr>
                  <w:r>
                    <w:rPr>
                      <w:rFonts w:eastAsia="等线"/>
                      <w:szCs w:val="21"/>
                    </w:rPr>
                    <w:t>110</w:t>
                  </w:r>
                </w:p>
              </w:tc>
              <w:tc>
                <w:tcPr>
                  <w:tcW w:w="431" w:type="pct"/>
                  <w:vAlign w:val="center"/>
                </w:tcPr>
                <w:p>
                  <w:pPr>
                    <w:adjustRightInd w:val="0"/>
                    <w:snapToGrid w:val="0"/>
                    <w:jc w:val="center"/>
                    <w:rPr>
                      <w:szCs w:val="21"/>
                    </w:rPr>
                  </w:pPr>
                  <w:r>
                    <w:rPr>
                      <w:rFonts w:eastAsia="等线"/>
                      <w:szCs w:val="21"/>
                    </w:rPr>
                    <w:t>200</w:t>
                  </w:r>
                </w:p>
              </w:tc>
              <w:tc>
                <w:tcPr>
                  <w:tcW w:w="497" w:type="pct"/>
                  <w:vAlign w:val="center"/>
                </w:tcPr>
                <w:p>
                  <w:pPr>
                    <w:adjustRightInd w:val="0"/>
                    <w:snapToGrid w:val="0"/>
                    <w:jc w:val="center"/>
                    <w:rPr>
                      <w:szCs w:val="21"/>
                    </w:rPr>
                  </w:pPr>
                  <w:r>
                    <w:rPr>
                      <w:rFonts w:eastAsia="等线"/>
                      <w:szCs w:val="21"/>
                    </w:rPr>
                    <w:t>40</w:t>
                  </w:r>
                </w:p>
              </w:tc>
              <w:tc>
                <w:tcPr>
                  <w:tcW w:w="973" w:type="pct"/>
                  <w:vAlign w:val="center"/>
                </w:tcPr>
                <w:p>
                  <w:pPr>
                    <w:adjustRightInd w:val="0"/>
                    <w:snapToGrid w:val="0"/>
                    <w:jc w:val="center"/>
                    <w:rPr>
                      <w:szCs w:val="21"/>
                    </w:rPr>
                  </w:pPr>
                  <w:r>
                    <w:rPr>
                      <w:rFonts w:eastAsia="等线"/>
                      <w:szCs w:val="21"/>
                    </w:rPr>
                    <w:t>10000</w:t>
                  </w:r>
                  <w:r>
                    <w:rPr>
                      <w:szCs w:val="21"/>
                    </w:rPr>
                    <w:t xml:space="preserve"> MPN/L</w:t>
                  </w:r>
                </w:p>
              </w:tc>
              <w:tc>
                <w:tcPr>
                  <w:tcW w:w="754" w:type="pct"/>
                  <w:vAlign w:val="center"/>
                </w:tcPr>
                <w:p>
                  <w:pPr>
                    <w:adjustRightInd w:val="0"/>
                    <w:snapToGrid w:val="0"/>
                    <w:jc w:val="center"/>
                    <w:rPr>
                      <w:szCs w:val="21"/>
                    </w:rPr>
                  </w:pPr>
                  <w:r>
                    <w:rPr>
                      <w:rFonts w:eastAsia="等线"/>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pct"/>
                  <w:vMerge w:val="continue"/>
                  <w:vAlign w:val="center"/>
                </w:tcPr>
                <w:p>
                  <w:pPr>
                    <w:adjustRightInd w:val="0"/>
                    <w:snapToGrid w:val="0"/>
                    <w:jc w:val="center"/>
                    <w:rPr>
                      <w:szCs w:val="21"/>
                    </w:rPr>
                  </w:pPr>
                </w:p>
              </w:tc>
              <w:tc>
                <w:tcPr>
                  <w:tcW w:w="712" w:type="pct"/>
                  <w:vAlign w:val="center"/>
                </w:tcPr>
                <w:p>
                  <w:pPr>
                    <w:adjustRightInd w:val="0"/>
                    <w:snapToGrid w:val="0"/>
                    <w:jc w:val="center"/>
                    <w:rPr>
                      <w:szCs w:val="21"/>
                    </w:rPr>
                  </w:pPr>
                  <w:r>
                    <w:rPr>
                      <w:szCs w:val="21"/>
                    </w:rPr>
                    <w:t>产生量（t/a）</w:t>
                  </w:r>
                </w:p>
              </w:tc>
              <w:tc>
                <w:tcPr>
                  <w:tcW w:w="431" w:type="pct"/>
                  <w:vAlign w:val="center"/>
                </w:tcPr>
                <w:p>
                  <w:pPr>
                    <w:adjustRightInd w:val="0"/>
                    <w:snapToGrid w:val="0"/>
                    <w:jc w:val="center"/>
                    <w:rPr>
                      <w:szCs w:val="21"/>
                    </w:rPr>
                  </w:pPr>
                  <w:r>
                    <w:rPr>
                      <w:rFonts w:eastAsia="等线"/>
                      <w:szCs w:val="21"/>
                    </w:rPr>
                    <w:t>0.19</w:t>
                  </w:r>
                </w:p>
              </w:tc>
              <w:tc>
                <w:tcPr>
                  <w:tcW w:w="464" w:type="pct"/>
                  <w:vAlign w:val="center"/>
                </w:tcPr>
                <w:p>
                  <w:pPr>
                    <w:adjustRightInd w:val="0"/>
                    <w:snapToGrid w:val="0"/>
                    <w:jc w:val="center"/>
                    <w:rPr>
                      <w:szCs w:val="21"/>
                    </w:rPr>
                  </w:pPr>
                  <w:r>
                    <w:rPr>
                      <w:rFonts w:eastAsia="等线"/>
                      <w:szCs w:val="21"/>
                    </w:rPr>
                    <w:t>0.09</w:t>
                  </w:r>
                </w:p>
              </w:tc>
              <w:tc>
                <w:tcPr>
                  <w:tcW w:w="431" w:type="pct"/>
                  <w:vAlign w:val="center"/>
                </w:tcPr>
                <w:p>
                  <w:pPr>
                    <w:adjustRightInd w:val="0"/>
                    <w:snapToGrid w:val="0"/>
                    <w:jc w:val="center"/>
                    <w:rPr>
                      <w:szCs w:val="21"/>
                    </w:rPr>
                  </w:pPr>
                  <w:r>
                    <w:rPr>
                      <w:rFonts w:eastAsia="等线"/>
                      <w:szCs w:val="21"/>
                    </w:rPr>
                    <w:t>0.17</w:t>
                  </w:r>
                </w:p>
              </w:tc>
              <w:tc>
                <w:tcPr>
                  <w:tcW w:w="497" w:type="pct"/>
                  <w:vAlign w:val="center"/>
                </w:tcPr>
                <w:p>
                  <w:pPr>
                    <w:adjustRightInd w:val="0"/>
                    <w:snapToGrid w:val="0"/>
                    <w:jc w:val="center"/>
                    <w:rPr>
                      <w:szCs w:val="21"/>
                    </w:rPr>
                  </w:pPr>
                  <w:r>
                    <w:rPr>
                      <w:rFonts w:eastAsia="等线"/>
                      <w:szCs w:val="21"/>
                    </w:rPr>
                    <w:t>0.03</w:t>
                  </w:r>
                </w:p>
              </w:tc>
              <w:tc>
                <w:tcPr>
                  <w:tcW w:w="973" w:type="pct"/>
                  <w:vAlign w:val="center"/>
                </w:tcPr>
                <w:p>
                  <w:pPr>
                    <w:adjustRightInd w:val="0"/>
                    <w:snapToGrid w:val="0"/>
                    <w:jc w:val="center"/>
                    <w:rPr>
                      <w:szCs w:val="21"/>
                    </w:rPr>
                  </w:pPr>
                  <w:r>
                    <w:rPr>
                      <w:rFonts w:eastAsia="等线"/>
                      <w:szCs w:val="21"/>
                    </w:rPr>
                    <w:t>8.42</w:t>
                  </w:r>
                  <w:r>
                    <w:rPr>
                      <w:szCs w:val="21"/>
                    </w:rPr>
                    <w:t xml:space="preserve"> MPN</w:t>
                  </w:r>
                </w:p>
              </w:tc>
              <w:tc>
                <w:tcPr>
                  <w:tcW w:w="754" w:type="pct"/>
                  <w:vAlign w:val="center"/>
                </w:tcPr>
                <w:p>
                  <w:pPr>
                    <w:adjustRightInd w:val="0"/>
                    <w:snapToGrid w:val="0"/>
                    <w:jc w:val="center"/>
                    <w:rPr>
                      <w:szCs w:val="21"/>
                    </w:rPr>
                  </w:pPr>
                  <w:r>
                    <w:rPr>
                      <w:rFonts w:eastAsia="等线"/>
                      <w:szCs w:val="21"/>
                    </w:rPr>
                    <w:t>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0" w:type="pct"/>
                  <w:gridSpan w:val="2"/>
                  <w:vAlign w:val="center"/>
                </w:tcPr>
                <w:p>
                  <w:pPr>
                    <w:adjustRightInd w:val="0"/>
                    <w:snapToGrid w:val="0"/>
                    <w:jc w:val="center"/>
                    <w:rPr>
                      <w:szCs w:val="21"/>
                    </w:rPr>
                  </w:pPr>
                  <w:r>
                    <w:rPr>
                      <w:szCs w:val="21"/>
                    </w:rPr>
                    <w:t>处理措施</w:t>
                  </w:r>
                </w:p>
              </w:tc>
              <w:tc>
                <w:tcPr>
                  <w:tcW w:w="3550" w:type="pct"/>
                  <w:gridSpan w:val="6"/>
                  <w:vAlign w:val="center"/>
                </w:tcPr>
                <w:p>
                  <w:pPr>
                    <w:adjustRightInd w:val="0"/>
                    <w:snapToGrid w:val="0"/>
                    <w:jc w:val="center"/>
                    <w:rPr>
                      <w:szCs w:val="21"/>
                    </w:rPr>
                  </w:pPr>
                  <w:r>
                    <w:rPr>
                      <w:szCs w:val="21"/>
                    </w:rPr>
                    <w:t>混凝沉淀+消毒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0" w:type="pct"/>
                  <w:gridSpan w:val="2"/>
                  <w:vAlign w:val="center"/>
                </w:tcPr>
                <w:p>
                  <w:pPr>
                    <w:adjustRightInd w:val="0"/>
                    <w:snapToGrid w:val="0"/>
                    <w:jc w:val="center"/>
                    <w:rPr>
                      <w:szCs w:val="21"/>
                    </w:rPr>
                  </w:pPr>
                  <w:r>
                    <w:rPr>
                      <w:szCs w:val="21"/>
                    </w:rPr>
                    <w:t>处理效率（%）</w:t>
                  </w:r>
                </w:p>
              </w:tc>
              <w:tc>
                <w:tcPr>
                  <w:tcW w:w="431" w:type="pct"/>
                  <w:vAlign w:val="center"/>
                </w:tcPr>
                <w:p>
                  <w:pPr>
                    <w:adjustRightInd w:val="0"/>
                    <w:snapToGrid w:val="0"/>
                    <w:jc w:val="center"/>
                    <w:rPr>
                      <w:szCs w:val="21"/>
                    </w:rPr>
                  </w:pPr>
                  <w:r>
                    <w:rPr>
                      <w:rFonts w:eastAsia="等线"/>
                      <w:szCs w:val="21"/>
                    </w:rPr>
                    <w:t>15</w:t>
                  </w:r>
                </w:p>
              </w:tc>
              <w:tc>
                <w:tcPr>
                  <w:tcW w:w="464" w:type="pct"/>
                  <w:vAlign w:val="center"/>
                </w:tcPr>
                <w:p>
                  <w:pPr>
                    <w:adjustRightInd w:val="0"/>
                    <w:snapToGrid w:val="0"/>
                    <w:jc w:val="center"/>
                    <w:rPr>
                      <w:szCs w:val="21"/>
                    </w:rPr>
                  </w:pPr>
                  <w:r>
                    <w:rPr>
                      <w:rFonts w:eastAsia="等线"/>
                      <w:szCs w:val="21"/>
                    </w:rPr>
                    <w:t>15</w:t>
                  </w:r>
                </w:p>
              </w:tc>
              <w:tc>
                <w:tcPr>
                  <w:tcW w:w="431" w:type="pct"/>
                  <w:vAlign w:val="center"/>
                </w:tcPr>
                <w:p>
                  <w:pPr>
                    <w:adjustRightInd w:val="0"/>
                    <w:snapToGrid w:val="0"/>
                    <w:jc w:val="center"/>
                    <w:rPr>
                      <w:szCs w:val="21"/>
                    </w:rPr>
                  </w:pPr>
                  <w:r>
                    <w:rPr>
                      <w:rFonts w:eastAsia="等线"/>
                      <w:szCs w:val="21"/>
                    </w:rPr>
                    <w:t>85</w:t>
                  </w:r>
                </w:p>
              </w:tc>
              <w:tc>
                <w:tcPr>
                  <w:tcW w:w="497" w:type="pct"/>
                  <w:vAlign w:val="center"/>
                </w:tcPr>
                <w:p>
                  <w:pPr>
                    <w:adjustRightInd w:val="0"/>
                    <w:snapToGrid w:val="0"/>
                    <w:jc w:val="center"/>
                    <w:rPr>
                      <w:szCs w:val="21"/>
                    </w:rPr>
                  </w:pPr>
                  <w:r>
                    <w:rPr>
                      <w:rFonts w:eastAsia="等线"/>
                      <w:szCs w:val="21"/>
                    </w:rPr>
                    <w:t>5</w:t>
                  </w:r>
                </w:p>
              </w:tc>
              <w:tc>
                <w:tcPr>
                  <w:tcW w:w="973" w:type="pct"/>
                  <w:vAlign w:val="center"/>
                </w:tcPr>
                <w:p>
                  <w:pPr>
                    <w:adjustRightInd w:val="0"/>
                    <w:snapToGrid w:val="0"/>
                    <w:jc w:val="center"/>
                    <w:rPr>
                      <w:szCs w:val="21"/>
                    </w:rPr>
                  </w:pPr>
                  <w:r>
                    <w:rPr>
                      <w:rFonts w:eastAsia="等线"/>
                      <w:szCs w:val="21"/>
                    </w:rPr>
                    <w:t>90</w:t>
                  </w:r>
                </w:p>
              </w:tc>
              <w:tc>
                <w:tcPr>
                  <w:tcW w:w="754" w:type="pct"/>
                  <w:vAlign w:val="center"/>
                </w:tcPr>
                <w:p>
                  <w:pPr>
                    <w:adjustRightInd w:val="0"/>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pct"/>
                  <w:vMerge w:val="restart"/>
                  <w:vAlign w:val="center"/>
                </w:tcPr>
                <w:p>
                  <w:pPr>
                    <w:adjustRightInd w:val="0"/>
                    <w:snapToGrid w:val="0"/>
                    <w:jc w:val="center"/>
                    <w:rPr>
                      <w:szCs w:val="21"/>
                    </w:rPr>
                  </w:pPr>
                  <w:r>
                    <w:rPr>
                      <w:szCs w:val="21"/>
                    </w:rPr>
                    <w:t>污水排放</w:t>
                  </w:r>
                  <w:r>
                    <w:rPr>
                      <w:bCs/>
                      <w:szCs w:val="21"/>
                    </w:rPr>
                    <w:t>841.94</w:t>
                  </w:r>
                  <w:r>
                    <w:rPr>
                      <w:szCs w:val="21"/>
                    </w:rPr>
                    <w:t>m</w:t>
                  </w:r>
                  <w:r>
                    <w:rPr>
                      <w:szCs w:val="21"/>
                      <w:vertAlign w:val="superscript"/>
                    </w:rPr>
                    <w:t>3</w:t>
                  </w:r>
                  <w:r>
                    <w:rPr>
                      <w:szCs w:val="21"/>
                    </w:rPr>
                    <w:t>/a</w:t>
                  </w:r>
                </w:p>
              </w:tc>
              <w:tc>
                <w:tcPr>
                  <w:tcW w:w="712" w:type="pct"/>
                  <w:vAlign w:val="center"/>
                </w:tcPr>
                <w:p>
                  <w:pPr>
                    <w:adjustRightInd w:val="0"/>
                    <w:snapToGrid w:val="0"/>
                    <w:jc w:val="center"/>
                    <w:rPr>
                      <w:szCs w:val="21"/>
                    </w:rPr>
                  </w:pPr>
                  <w:r>
                    <w:rPr>
                      <w:szCs w:val="21"/>
                    </w:rPr>
                    <w:t>排放浓度(mg/L)</w:t>
                  </w:r>
                </w:p>
              </w:tc>
              <w:tc>
                <w:tcPr>
                  <w:tcW w:w="431" w:type="pct"/>
                  <w:vAlign w:val="center"/>
                </w:tcPr>
                <w:p>
                  <w:pPr>
                    <w:adjustRightInd w:val="0"/>
                    <w:snapToGrid w:val="0"/>
                    <w:jc w:val="center"/>
                    <w:rPr>
                      <w:szCs w:val="21"/>
                    </w:rPr>
                  </w:pPr>
                  <w:r>
                    <w:rPr>
                      <w:rFonts w:eastAsia="等线"/>
                      <w:szCs w:val="21"/>
                    </w:rPr>
                    <w:t>195.5</w:t>
                  </w:r>
                </w:p>
              </w:tc>
              <w:tc>
                <w:tcPr>
                  <w:tcW w:w="464" w:type="pct"/>
                  <w:vAlign w:val="center"/>
                </w:tcPr>
                <w:p>
                  <w:pPr>
                    <w:adjustRightInd w:val="0"/>
                    <w:snapToGrid w:val="0"/>
                    <w:jc w:val="center"/>
                    <w:rPr>
                      <w:szCs w:val="21"/>
                    </w:rPr>
                  </w:pPr>
                  <w:r>
                    <w:rPr>
                      <w:rFonts w:eastAsia="等线"/>
                      <w:szCs w:val="21"/>
                    </w:rPr>
                    <w:t>93.5</w:t>
                  </w:r>
                </w:p>
              </w:tc>
              <w:tc>
                <w:tcPr>
                  <w:tcW w:w="431" w:type="pct"/>
                  <w:vAlign w:val="center"/>
                </w:tcPr>
                <w:p>
                  <w:pPr>
                    <w:adjustRightInd w:val="0"/>
                    <w:snapToGrid w:val="0"/>
                    <w:jc w:val="center"/>
                    <w:rPr>
                      <w:szCs w:val="21"/>
                    </w:rPr>
                  </w:pPr>
                  <w:r>
                    <w:rPr>
                      <w:rFonts w:eastAsia="等线"/>
                      <w:szCs w:val="21"/>
                    </w:rPr>
                    <w:t>30</w:t>
                  </w:r>
                </w:p>
              </w:tc>
              <w:tc>
                <w:tcPr>
                  <w:tcW w:w="497" w:type="pct"/>
                  <w:vAlign w:val="center"/>
                </w:tcPr>
                <w:p>
                  <w:pPr>
                    <w:adjustRightInd w:val="0"/>
                    <w:snapToGrid w:val="0"/>
                    <w:jc w:val="center"/>
                    <w:rPr>
                      <w:szCs w:val="21"/>
                    </w:rPr>
                  </w:pPr>
                  <w:r>
                    <w:rPr>
                      <w:rFonts w:eastAsia="等线"/>
                      <w:szCs w:val="21"/>
                    </w:rPr>
                    <w:t>38</w:t>
                  </w:r>
                </w:p>
              </w:tc>
              <w:tc>
                <w:tcPr>
                  <w:tcW w:w="973" w:type="pct"/>
                  <w:vAlign w:val="center"/>
                </w:tcPr>
                <w:p>
                  <w:pPr>
                    <w:adjustRightInd w:val="0"/>
                    <w:snapToGrid w:val="0"/>
                    <w:jc w:val="center"/>
                    <w:rPr>
                      <w:szCs w:val="21"/>
                    </w:rPr>
                  </w:pPr>
                  <w:r>
                    <w:rPr>
                      <w:rFonts w:eastAsia="等线"/>
                      <w:szCs w:val="21"/>
                    </w:rPr>
                    <w:t>1000</w:t>
                  </w:r>
                  <w:r>
                    <w:rPr>
                      <w:szCs w:val="21"/>
                    </w:rPr>
                    <w:t xml:space="preserve"> MPN/L</w:t>
                  </w:r>
                </w:p>
              </w:tc>
              <w:tc>
                <w:tcPr>
                  <w:tcW w:w="754" w:type="pct"/>
                  <w:vAlign w:val="center"/>
                </w:tcPr>
                <w:p>
                  <w:pPr>
                    <w:adjustRightInd w:val="0"/>
                    <w:snapToGrid w:val="0"/>
                    <w:jc w:val="center"/>
                    <w:rPr>
                      <w:szCs w:val="21"/>
                    </w:rPr>
                  </w:pPr>
                  <w:r>
                    <w:rPr>
                      <w:rFonts w:eastAsia="等线"/>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pct"/>
                  <w:vMerge w:val="continue"/>
                  <w:vAlign w:val="center"/>
                </w:tcPr>
                <w:p>
                  <w:pPr>
                    <w:adjustRightInd w:val="0"/>
                    <w:snapToGrid w:val="0"/>
                    <w:jc w:val="center"/>
                    <w:rPr>
                      <w:szCs w:val="21"/>
                    </w:rPr>
                  </w:pPr>
                </w:p>
              </w:tc>
              <w:tc>
                <w:tcPr>
                  <w:tcW w:w="712" w:type="pct"/>
                  <w:vAlign w:val="center"/>
                </w:tcPr>
                <w:p>
                  <w:pPr>
                    <w:adjustRightInd w:val="0"/>
                    <w:snapToGrid w:val="0"/>
                    <w:jc w:val="center"/>
                    <w:rPr>
                      <w:szCs w:val="21"/>
                    </w:rPr>
                  </w:pPr>
                  <w:r>
                    <w:rPr>
                      <w:szCs w:val="21"/>
                    </w:rPr>
                    <w:t>排放量（t/a）</w:t>
                  </w:r>
                </w:p>
              </w:tc>
              <w:tc>
                <w:tcPr>
                  <w:tcW w:w="431" w:type="pct"/>
                  <w:vAlign w:val="center"/>
                </w:tcPr>
                <w:p>
                  <w:pPr>
                    <w:adjustRightInd w:val="0"/>
                    <w:snapToGrid w:val="0"/>
                    <w:jc w:val="center"/>
                    <w:rPr>
                      <w:szCs w:val="21"/>
                    </w:rPr>
                  </w:pPr>
                  <w:r>
                    <w:rPr>
                      <w:rFonts w:eastAsia="等线"/>
                      <w:szCs w:val="21"/>
                    </w:rPr>
                    <w:t>0.16</w:t>
                  </w:r>
                </w:p>
              </w:tc>
              <w:tc>
                <w:tcPr>
                  <w:tcW w:w="464" w:type="pct"/>
                  <w:vAlign w:val="center"/>
                </w:tcPr>
                <w:p>
                  <w:pPr>
                    <w:adjustRightInd w:val="0"/>
                    <w:snapToGrid w:val="0"/>
                    <w:jc w:val="center"/>
                    <w:rPr>
                      <w:szCs w:val="21"/>
                    </w:rPr>
                  </w:pPr>
                  <w:r>
                    <w:rPr>
                      <w:rFonts w:eastAsia="等线"/>
                      <w:szCs w:val="21"/>
                    </w:rPr>
                    <w:t>0.08</w:t>
                  </w:r>
                </w:p>
              </w:tc>
              <w:tc>
                <w:tcPr>
                  <w:tcW w:w="431" w:type="pct"/>
                  <w:vAlign w:val="center"/>
                </w:tcPr>
                <w:p>
                  <w:pPr>
                    <w:adjustRightInd w:val="0"/>
                    <w:snapToGrid w:val="0"/>
                    <w:jc w:val="center"/>
                    <w:rPr>
                      <w:szCs w:val="21"/>
                    </w:rPr>
                  </w:pPr>
                  <w:r>
                    <w:rPr>
                      <w:rFonts w:eastAsia="等线"/>
                      <w:szCs w:val="21"/>
                    </w:rPr>
                    <w:t>0.03</w:t>
                  </w:r>
                </w:p>
              </w:tc>
              <w:tc>
                <w:tcPr>
                  <w:tcW w:w="497" w:type="pct"/>
                  <w:vAlign w:val="center"/>
                </w:tcPr>
                <w:p>
                  <w:pPr>
                    <w:adjustRightInd w:val="0"/>
                    <w:snapToGrid w:val="0"/>
                    <w:jc w:val="center"/>
                    <w:rPr>
                      <w:szCs w:val="21"/>
                    </w:rPr>
                  </w:pPr>
                  <w:r>
                    <w:rPr>
                      <w:rFonts w:eastAsia="等线"/>
                      <w:szCs w:val="21"/>
                    </w:rPr>
                    <w:t>0.03</w:t>
                  </w:r>
                </w:p>
              </w:tc>
              <w:tc>
                <w:tcPr>
                  <w:tcW w:w="973" w:type="pct"/>
                  <w:vAlign w:val="center"/>
                </w:tcPr>
                <w:p>
                  <w:pPr>
                    <w:adjustRightInd w:val="0"/>
                    <w:snapToGrid w:val="0"/>
                    <w:jc w:val="center"/>
                    <w:rPr>
                      <w:szCs w:val="21"/>
                    </w:rPr>
                  </w:pPr>
                  <w:r>
                    <w:rPr>
                      <w:rFonts w:eastAsia="等线"/>
                      <w:szCs w:val="21"/>
                    </w:rPr>
                    <w:t>0.84</w:t>
                  </w:r>
                  <w:r>
                    <w:rPr>
                      <w:szCs w:val="21"/>
                    </w:rPr>
                    <w:t xml:space="preserve"> MPN</w:t>
                  </w:r>
                </w:p>
              </w:tc>
              <w:tc>
                <w:tcPr>
                  <w:tcW w:w="754" w:type="pct"/>
                  <w:vAlign w:val="center"/>
                </w:tcPr>
                <w:p>
                  <w:pPr>
                    <w:adjustRightInd w:val="0"/>
                    <w:snapToGrid w:val="0"/>
                    <w:jc w:val="center"/>
                    <w:rPr>
                      <w:szCs w:val="21"/>
                    </w:rPr>
                  </w:pPr>
                  <w:r>
                    <w:rPr>
                      <w:rFonts w:eastAsia="等线"/>
                      <w:szCs w:val="21"/>
                    </w:rPr>
                    <w:t>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0" w:type="pct"/>
                  <w:gridSpan w:val="2"/>
                  <w:vAlign w:val="center"/>
                </w:tcPr>
                <w:p>
                  <w:pPr>
                    <w:adjustRightInd w:val="0"/>
                    <w:snapToGrid w:val="0"/>
                    <w:jc w:val="center"/>
                    <w:rPr>
                      <w:szCs w:val="21"/>
                    </w:rPr>
                  </w:pPr>
                  <w:r>
                    <w:rPr>
                      <w:szCs w:val="21"/>
                    </w:rPr>
                    <w:t>《医疗机构水污染物排放标准》（GB18466-2005）预处理标准</w:t>
                  </w:r>
                </w:p>
              </w:tc>
              <w:tc>
                <w:tcPr>
                  <w:tcW w:w="431" w:type="pct"/>
                  <w:vAlign w:val="center"/>
                </w:tcPr>
                <w:p>
                  <w:pPr>
                    <w:adjustRightInd w:val="0"/>
                    <w:snapToGrid w:val="0"/>
                    <w:jc w:val="center"/>
                    <w:rPr>
                      <w:szCs w:val="21"/>
                    </w:rPr>
                  </w:pPr>
                  <w:r>
                    <w:rPr>
                      <w:szCs w:val="21"/>
                    </w:rPr>
                    <w:t>250</w:t>
                  </w:r>
                </w:p>
              </w:tc>
              <w:tc>
                <w:tcPr>
                  <w:tcW w:w="464" w:type="pct"/>
                  <w:vAlign w:val="center"/>
                </w:tcPr>
                <w:p>
                  <w:pPr>
                    <w:adjustRightInd w:val="0"/>
                    <w:snapToGrid w:val="0"/>
                    <w:jc w:val="center"/>
                    <w:rPr>
                      <w:szCs w:val="21"/>
                    </w:rPr>
                  </w:pPr>
                  <w:r>
                    <w:rPr>
                      <w:szCs w:val="21"/>
                    </w:rPr>
                    <w:t>100</w:t>
                  </w:r>
                </w:p>
              </w:tc>
              <w:tc>
                <w:tcPr>
                  <w:tcW w:w="431" w:type="pct"/>
                  <w:vAlign w:val="center"/>
                </w:tcPr>
                <w:p>
                  <w:pPr>
                    <w:adjustRightInd w:val="0"/>
                    <w:snapToGrid w:val="0"/>
                    <w:jc w:val="center"/>
                    <w:rPr>
                      <w:szCs w:val="21"/>
                    </w:rPr>
                  </w:pPr>
                  <w:r>
                    <w:rPr>
                      <w:szCs w:val="21"/>
                    </w:rPr>
                    <w:t>60</w:t>
                  </w:r>
                </w:p>
              </w:tc>
              <w:tc>
                <w:tcPr>
                  <w:tcW w:w="497" w:type="pct"/>
                  <w:vAlign w:val="center"/>
                </w:tcPr>
                <w:p>
                  <w:pPr>
                    <w:adjustRightInd w:val="0"/>
                    <w:snapToGrid w:val="0"/>
                    <w:jc w:val="center"/>
                    <w:rPr>
                      <w:szCs w:val="21"/>
                    </w:rPr>
                  </w:pPr>
                  <w:r>
                    <w:rPr>
                      <w:szCs w:val="21"/>
                    </w:rPr>
                    <w:t>/</w:t>
                  </w:r>
                </w:p>
              </w:tc>
              <w:tc>
                <w:tcPr>
                  <w:tcW w:w="973" w:type="pct"/>
                  <w:vAlign w:val="center"/>
                </w:tcPr>
                <w:p>
                  <w:pPr>
                    <w:adjustRightInd w:val="0"/>
                    <w:snapToGrid w:val="0"/>
                    <w:jc w:val="center"/>
                    <w:rPr>
                      <w:szCs w:val="21"/>
                    </w:rPr>
                  </w:pPr>
                  <w:r>
                    <w:rPr>
                      <w:szCs w:val="21"/>
                    </w:rPr>
                    <w:t>5000MPN/L</w:t>
                  </w:r>
                </w:p>
              </w:tc>
              <w:tc>
                <w:tcPr>
                  <w:tcW w:w="754" w:type="pct"/>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0" w:type="pct"/>
                  <w:gridSpan w:val="2"/>
                  <w:vAlign w:val="center"/>
                </w:tcPr>
                <w:p>
                  <w:pPr>
                    <w:adjustRightInd w:val="0"/>
                    <w:snapToGrid w:val="0"/>
                    <w:jc w:val="center"/>
                    <w:rPr>
                      <w:szCs w:val="21"/>
                    </w:rPr>
                  </w:pPr>
                  <w:r>
                    <w:rPr>
                      <w:szCs w:val="21"/>
                    </w:rPr>
                    <w:t>《污水排入城镇下水道水质标准》（GB/T31962-2015）B 级标准</w:t>
                  </w:r>
                </w:p>
              </w:tc>
              <w:tc>
                <w:tcPr>
                  <w:tcW w:w="431" w:type="pct"/>
                  <w:vAlign w:val="center"/>
                </w:tcPr>
                <w:p>
                  <w:pPr>
                    <w:adjustRightInd w:val="0"/>
                    <w:snapToGrid w:val="0"/>
                    <w:jc w:val="center"/>
                    <w:rPr>
                      <w:szCs w:val="21"/>
                    </w:rPr>
                  </w:pPr>
                  <w:r>
                    <w:rPr>
                      <w:szCs w:val="21"/>
                    </w:rPr>
                    <w:t>/</w:t>
                  </w:r>
                </w:p>
              </w:tc>
              <w:tc>
                <w:tcPr>
                  <w:tcW w:w="464" w:type="pct"/>
                  <w:vAlign w:val="center"/>
                </w:tcPr>
                <w:p>
                  <w:pPr>
                    <w:adjustRightInd w:val="0"/>
                    <w:snapToGrid w:val="0"/>
                    <w:jc w:val="center"/>
                    <w:rPr>
                      <w:szCs w:val="21"/>
                    </w:rPr>
                  </w:pPr>
                  <w:r>
                    <w:rPr>
                      <w:szCs w:val="21"/>
                    </w:rPr>
                    <w:t>/</w:t>
                  </w:r>
                </w:p>
              </w:tc>
              <w:tc>
                <w:tcPr>
                  <w:tcW w:w="431" w:type="pct"/>
                  <w:vAlign w:val="center"/>
                </w:tcPr>
                <w:p>
                  <w:pPr>
                    <w:adjustRightInd w:val="0"/>
                    <w:snapToGrid w:val="0"/>
                    <w:jc w:val="center"/>
                    <w:rPr>
                      <w:szCs w:val="21"/>
                    </w:rPr>
                  </w:pPr>
                  <w:r>
                    <w:rPr>
                      <w:szCs w:val="21"/>
                    </w:rPr>
                    <w:t>/</w:t>
                  </w:r>
                </w:p>
              </w:tc>
              <w:tc>
                <w:tcPr>
                  <w:tcW w:w="497" w:type="pct"/>
                  <w:vAlign w:val="center"/>
                </w:tcPr>
                <w:p>
                  <w:pPr>
                    <w:adjustRightInd w:val="0"/>
                    <w:snapToGrid w:val="0"/>
                    <w:jc w:val="center"/>
                    <w:rPr>
                      <w:szCs w:val="21"/>
                    </w:rPr>
                  </w:pPr>
                  <w:r>
                    <w:rPr>
                      <w:szCs w:val="21"/>
                    </w:rPr>
                    <w:t>45</w:t>
                  </w:r>
                </w:p>
              </w:tc>
              <w:tc>
                <w:tcPr>
                  <w:tcW w:w="973" w:type="pct"/>
                  <w:vAlign w:val="center"/>
                </w:tcPr>
                <w:p>
                  <w:pPr>
                    <w:adjustRightInd w:val="0"/>
                    <w:snapToGrid w:val="0"/>
                    <w:jc w:val="center"/>
                    <w:rPr>
                      <w:szCs w:val="21"/>
                    </w:rPr>
                  </w:pPr>
                  <w:r>
                    <w:rPr>
                      <w:szCs w:val="21"/>
                    </w:rPr>
                    <w:t>/</w:t>
                  </w:r>
                </w:p>
              </w:tc>
              <w:tc>
                <w:tcPr>
                  <w:tcW w:w="754" w:type="pct"/>
                  <w:vAlign w:val="center"/>
                </w:tcPr>
                <w:p>
                  <w:pPr>
                    <w:adjustRightInd w:val="0"/>
                    <w:snapToGrid w:val="0"/>
                    <w:jc w:val="center"/>
                    <w:rPr>
                      <w:szCs w:val="21"/>
                    </w:rPr>
                  </w:pPr>
                  <w:r>
                    <w:rPr>
                      <w:szCs w:val="21"/>
                    </w:rPr>
                    <w:t>8</w:t>
                  </w:r>
                </w:p>
              </w:tc>
            </w:tr>
          </w:tbl>
          <w:p>
            <w:pPr>
              <w:adjustRightInd w:val="0"/>
              <w:snapToGrid w:val="0"/>
              <w:spacing w:line="360" w:lineRule="auto"/>
              <w:ind w:firstLine="480" w:firstLineChars="200"/>
              <w:rPr>
                <w:bCs/>
                <w:sz w:val="24"/>
              </w:rPr>
            </w:pPr>
            <w:r>
              <w:rPr>
                <w:rFonts w:hint="eastAsia" w:ascii="宋体" w:hAnsi="宋体" w:cs="宋体"/>
                <w:bCs/>
                <w:sz w:val="24"/>
              </w:rPr>
              <w:t>③</w:t>
            </w:r>
            <w:r>
              <w:rPr>
                <w:bCs/>
                <w:sz w:val="24"/>
              </w:rPr>
              <w:t>项目废水排放情况</w:t>
            </w:r>
          </w:p>
          <w:p>
            <w:pPr>
              <w:jc w:val="center"/>
              <w:outlineLvl w:val="1"/>
              <w:rPr>
                <w:b/>
                <w:bCs/>
                <w:kern w:val="0"/>
                <w:sz w:val="24"/>
              </w:rPr>
            </w:pPr>
            <w:r>
              <w:rPr>
                <w:b/>
                <w:bCs/>
                <w:kern w:val="0"/>
                <w:sz w:val="24"/>
              </w:rPr>
              <w:t>表4-3废水类别、污染物及污染治理设施信息表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677"/>
              <w:gridCol w:w="1175"/>
              <w:gridCol w:w="568"/>
              <w:gridCol w:w="430"/>
              <w:gridCol w:w="864"/>
              <w:gridCol w:w="1001"/>
              <w:gridCol w:w="857"/>
              <w:gridCol w:w="633"/>
              <w:gridCol w:w="655"/>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vMerge w:val="restart"/>
                  <w:vAlign w:val="center"/>
                </w:tcPr>
                <w:p>
                  <w:pPr>
                    <w:pStyle w:val="51"/>
                    <w:jc w:val="center"/>
                    <w:rPr>
                      <w:rFonts w:ascii="Times New Roman" w:cs="Times New Roman"/>
                      <w:b/>
                      <w:color w:val="auto"/>
                      <w:sz w:val="21"/>
                      <w:szCs w:val="21"/>
                    </w:rPr>
                  </w:pPr>
                  <w:r>
                    <w:rPr>
                      <w:rFonts w:ascii="Times New Roman" w:cs="Times New Roman"/>
                      <w:b/>
                      <w:color w:val="auto"/>
                      <w:sz w:val="21"/>
                      <w:szCs w:val="21"/>
                    </w:rPr>
                    <w:t>序号</w:t>
                  </w:r>
                </w:p>
              </w:tc>
              <w:tc>
                <w:tcPr>
                  <w:tcW w:w="427" w:type="pct"/>
                  <w:vMerge w:val="restart"/>
                  <w:vAlign w:val="center"/>
                </w:tcPr>
                <w:p>
                  <w:pPr>
                    <w:pStyle w:val="51"/>
                    <w:jc w:val="center"/>
                    <w:rPr>
                      <w:rFonts w:ascii="Times New Roman" w:cs="Times New Roman"/>
                      <w:b/>
                      <w:color w:val="auto"/>
                      <w:sz w:val="21"/>
                      <w:szCs w:val="21"/>
                    </w:rPr>
                  </w:pPr>
                  <w:r>
                    <w:rPr>
                      <w:rFonts w:ascii="Times New Roman" w:cs="Times New Roman"/>
                      <w:b/>
                      <w:color w:val="auto"/>
                      <w:sz w:val="21"/>
                      <w:szCs w:val="21"/>
                    </w:rPr>
                    <w:t>废水类别</w:t>
                  </w:r>
                </w:p>
              </w:tc>
              <w:tc>
                <w:tcPr>
                  <w:tcW w:w="741" w:type="pct"/>
                  <w:vMerge w:val="restart"/>
                  <w:vAlign w:val="center"/>
                </w:tcPr>
                <w:p>
                  <w:pPr>
                    <w:pStyle w:val="51"/>
                    <w:jc w:val="center"/>
                    <w:rPr>
                      <w:rFonts w:ascii="Times New Roman" w:cs="Times New Roman"/>
                      <w:b/>
                      <w:color w:val="auto"/>
                      <w:sz w:val="21"/>
                      <w:szCs w:val="21"/>
                    </w:rPr>
                  </w:pPr>
                  <w:r>
                    <w:rPr>
                      <w:rFonts w:ascii="Times New Roman" w:cs="Times New Roman"/>
                      <w:b/>
                      <w:color w:val="auto"/>
                      <w:sz w:val="21"/>
                      <w:szCs w:val="21"/>
                    </w:rPr>
                    <w:t>污染物种类</w:t>
                  </w:r>
                </w:p>
              </w:tc>
              <w:tc>
                <w:tcPr>
                  <w:tcW w:w="358" w:type="pct"/>
                  <w:vMerge w:val="restart"/>
                  <w:vAlign w:val="center"/>
                </w:tcPr>
                <w:p>
                  <w:pPr>
                    <w:pStyle w:val="51"/>
                    <w:jc w:val="center"/>
                    <w:rPr>
                      <w:rFonts w:ascii="Times New Roman" w:cs="Times New Roman"/>
                      <w:b/>
                      <w:color w:val="auto"/>
                      <w:sz w:val="21"/>
                      <w:szCs w:val="21"/>
                    </w:rPr>
                  </w:pPr>
                  <w:r>
                    <w:rPr>
                      <w:rFonts w:ascii="Times New Roman" w:cs="Times New Roman"/>
                      <w:b/>
                      <w:color w:val="auto"/>
                      <w:sz w:val="21"/>
                      <w:szCs w:val="21"/>
                    </w:rPr>
                    <w:t>排放去向</w:t>
                  </w:r>
                </w:p>
              </w:tc>
              <w:tc>
                <w:tcPr>
                  <w:tcW w:w="271" w:type="pct"/>
                  <w:vMerge w:val="restart"/>
                  <w:vAlign w:val="center"/>
                </w:tcPr>
                <w:p>
                  <w:pPr>
                    <w:pStyle w:val="51"/>
                    <w:jc w:val="center"/>
                    <w:rPr>
                      <w:rFonts w:ascii="Times New Roman" w:cs="Times New Roman"/>
                      <w:b/>
                      <w:color w:val="auto"/>
                      <w:sz w:val="21"/>
                      <w:szCs w:val="21"/>
                    </w:rPr>
                  </w:pPr>
                  <w:r>
                    <w:rPr>
                      <w:rFonts w:ascii="Times New Roman" w:cs="Times New Roman"/>
                      <w:b/>
                      <w:color w:val="auto"/>
                      <w:sz w:val="21"/>
                      <w:szCs w:val="21"/>
                    </w:rPr>
                    <w:t>排放规律</w:t>
                  </w:r>
                </w:p>
              </w:tc>
              <w:tc>
                <w:tcPr>
                  <w:tcW w:w="1716" w:type="pct"/>
                  <w:gridSpan w:val="3"/>
                  <w:vAlign w:val="center"/>
                </w:tcPr>
                <w:p>
                  <w:pPr>
                    <w:pStyle w:val="51"/>
                    <w:jc w:val="center"/>
                    <w:rPr>
                      <w:rFonts w:ascii="Times New Roman" w:cs="Times New Roman"/>
                      <w:b/>
                      <w:color w:val="auto"/>
                      <w:sz w:val="21"/>
                      <w:szCs w:val="21"/>
                    </w:rPr>
                  </w:pPr>
                  <w:r>
                    <w:rPr>
                      <w:rFonts w:ascii="Times New Roman" w:cs="Times New Roman"/>
                      <w:b/>
                      <w:color w:val="auto"/>
                      <w:sz w:val="21"/>
                      <w:szCs w:val="21"/>
                    </w:rPr>
                    <w:t>污染治理设施</w:t>
                  </w:r>
                </w:p>
              </w:tc>
              <w:tc>
                <w:tcPr>
                  <w:tcW w:w="399" w:type="pct"/>
                  <w:vMerge w:val="restart"/>
                  <w:vAlign w:val="center"/>
                </w:tcPr>
                <w:p>
                  <w:pPr>
                    <w:pStyle w:val="51"/>
                    <w:jc w:val="center"/>
                    <w:rPr>
                      <w:rFonts w:ascii="Times New Roman" w:cs="Times New Roman"/>
                      <w:b/>
                      <w:color w:val="auto"/>
                      <w:sz w:val="21"/>
                      <w:szCs w:val="21"/>
                    </w:rPr>
                  </w:pPr>
                  <w:r>
                    <w:rPr>
                      <w:rFonts w:ascii="Times New Roman" w:cs="Times New Roman"/>
                      <w:b/>
                      <w:color w:val="auto"/>
                      <w:sz w:val="21"/>
                      <w:szCs w:val="21"/>
                    </w:rPr>
                    <w:t>排放口编号</w:t>
                  </w:r>
                </w:p>
              </w:tc>
              <w:tc>
                <w:tcPr>
                  <w:tcW w:w="413" w:type="pct"/>
                  <w:vMerge w:val="restart"/>
                  <w:vAlign w:val="center"/>
                </w:tcPr>
                <w:p>
                  <w:pPr>
                    <w:pStyle w:val="51"/>
                    <w:jc w:val="center"/>
                    <w:rPr>
                      <w:rFonts w:ascii="Times New Roman" w:cs="Times New Roman"/>
                      <w:b/>
                      <w:color w:val="auto"/>
                      <w:sz w:val="21"/>
                      <w:szCs w:val="21"/>
                    </w:rPr>
                  </w:pPr>
                  <w:r>
                    <w:rPr>
                      <w:rFonts w:ascii="Times New Roman" w:cs="Times New Roman"/>
                      <w:b/>
                      <w:color w:val="auto"/>
                      <w:sz w:val="21"/>
                      <w:szCs w:val="21"/>
                    </w:rPr>
                    <w:t>排放口设置是否符合</w:t>
                  </w:r>
                </w:p>
              </w:tc>
              <w:tc>
                <w:tcPr>
                  <w:tcW w:w="404" w:type="pct"/>
                  <w:vMerge w:val="restart"/>
                  <w:vAlign w:val="center"/>
                </w:tcPr>
                <w:p>
                  <w:pPr>
                    <w:pStyle w:val="51"/>
                    <w:jc w:val="center"/>
                    <w:rPr>
                      <w:rFonts w:ascii="Times New Roman" w:cs="Times New Roman"/>
                      <w:b/>
                      <w:color w:val="auto"/>
                      <w:sz w:val="21"/>
                      <w:szCs w:val="21"/>
                    </w:rPr>
                  </w:pPr>
                  <w:r>
                    <w:rPr>
                      <w:rFonts w:ascii="Times New Roman" w:cs="Times New Roman"/>
                      <w:b/>
                      <w:color w:val="auto"/>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51"/>
                    <w:jc w:val="center"/>
                    <w:rPr>
                      <w:rFonts w:ascii="Times New Roman" w:cs="Times New Roman"/>
                      <w:color w:val="auto"/>
                      <w:sz w:val="21"/>
                      <w:szCs w:val="21"/>
                    </w:rPr>
                  </w:pPr>
                </w:p>
              </w:tc>
              <w:tc>
                <w:tcPr>
                  <w:tcW w:w="427" w:type="pct"/>
                  <w:vMerge w:val="continue"/>
                  <w:vAlign w:val="center"/>
                </w:tcPr>
                <w:p>
                  <w:pPr>
                    <w:pStyle w:val="51"/>
                    <w:jc w:val="center"/>
                    <w:rPr>
                      <w:rFonts w:ascii="Times New Roman" w:cs="Times New Roman"/>
                      <w:color w:val="auto"/>
                      <w:sz w:val="21"/>
                      <w:szCs w:val="21"/>
                    </w:rPr>
                  </w:pPr>
                </w:p>
              </w:tc>
              <w:tc>
                <w:tcPr>
                  <w:tcW w:w="741" w:type="pct"/>
                  <w:vMerge w:val="continue"/>
                  <w:vAlign w:val="center"/>
                </w:tcPr>
                <w:p>
                  <w:pPr>
                    <w:pStyle w:val="51"/>
                    <w:jc w:val="center"/>
                    <w:rPr>
                      <w:rFonts w:ascii="Times New Roman" w:cs="Times New Roman"/>
                      <w:color w:val="auto"/>
                      <w:sz w:val="21"/>
                      <w:szCs w:val="21"/>
                    </w:rPr>
                  </w:pPr>
                </w:p>
              </w:tc>
              <w:tc>
                <w:tcPr>
                  <w:tcW w:w="358" w:type="pct"/>
                  <w:vMerge w:val="continue"/>
                  <w:vAlign w:val="center"/>
                </w:tcPr>
                <w:p>
                  <w:pPr>
                    <w:pStyle w:val="51"/>
                    <w:jc w:val="center"/>
                    <w:rPr>
                      <w:rFonts w:ascii="Times New Roman" w:cs="Times New Roman"/>
                      <w:color w:val="auto"/>
                      <w:sz w:val="21"/>
                      <w:szCs w:val="21"/>
                    </w:rPr>
                  </w:pPr>
                </w:p>
              </w:tc>
              <w:tc>
                <w:tcPr>
                  <w:tcW w:w="271" w:type="pct"/>
                  <w:vMerge w:val="continue"/>
                  <w:vAlign w:val="center"/>
                </w:tcPr>
                <w:p>
                  <w:pPr>
                    <w:pStyle w:val="51"/>
                    <w:jc w:val="center"/>
                    <w:rPr>
                      <w:rFonts w:ascii="Times New Roman" w:cs="Times New Roman"/>
                      <w:color w:val="auto"/>
                      <w:sz w:val="21"/>
                      <w:szCs w:val="21"/>
                    </w:rPr>
                  </w:pPr>
                </w:p>
              </w:tc>
              <w:tc>
                <w:tcPr>
                  <w:tcW w:w="545" w:type="pct"/>
                  <w:vAlign w:val="center"/>
                </w:tcPr>
                <w:p>
                  <w:pPr>
                    <w:pStyle w:val="51"/>
                    <w:jc w:val="center"/>
                    <w:rPr>
                      <w:rFonts w:ascii="Times New Roman" w:cs="Times New Roman"/>
                      <w:b/>
                      <w:color w:val="auto"/>
                      <w:sz w:val="21"/>
                      <w:szCs w:val="21"/>
                    </w:rPr>
                  </w:pPr>
                  <w:r>
                    <w:rPr>
                      <w:rFonts w:ascii="Times New Roman" w:cs="Times New Roman"/>
                      <w:b/>
                      <w:color w:val="auto"/>
                      <w:sz w:val="21"/>
                      <w:szCs w:val="21"/>
                    </w:rPr>
                    <w:t>污染物治理设施编号</w:t>
                  </w:r>
                </w:p>
              </w:tc>
              <w:tc>
                <w:tcPr>
                  <w:tcW w:w="631" w:type="pct"/>
                  <w:vAlign w:val="center"/>
                </w:tcPr>
                <w:p>
                  <w:pPr>
                    <w:pStyle w:val="51"/>
                    <w:jc w:val="center"/>
                    <w:rPr>
                      <w:rFonts w:ascii="Times New Roman" w:cs="Times New Roman"/>
                      <w:b/>
                      <w:color w:val="auto"/>
                      <w:sz w:val="21"/>
                      <w:szCs w:val="21"/>
                    </w:rPr>
                  </w:pPr>
                  <w:r>
                    <w:rPr>
                      <w:rFonts w:ascii="Times New Roman" w:cs="Times New Roman"/>
                      <w:b/>
                      <w:color w:val="auto"/>
                      <w:sz w:val="21"/>
                      <w:szCs w:val="21"/>
                    </w:rPr>
                    <w:t>污染治理设施名称</w:t>
                  </w:r>
                </w:p>
              </w:tc>
              <w:tc>
                <w:tcPr>
                  <w:tcW w:w="540" w:type="pct"/>
                  <w:vAlign w:val="center"/>
                </w:tcPr>
                <w:p>
                  <w:pPr>
                    <w:pStyle w:val="51"/>
                    <w:jc w:val="center"/>
                    <w:rPr>
                      <w:rFonts w:ascii="Times New Roman" w:cs="Times New Roman"/>
                      <w:b/>
                      <w:color w:val="auto"/>
                      <w:sz w:val="21"/>
                      <w:szCs w:val="21"/>
                    </w:rPr>
                  </w:pPr>
                  <w:r>
                    <w:rPr>
                      <w:rFonts w:ascii="Times New Roman" w:cs="Times New Roman"/>
                      <w:b/>
                      <w:color w:val="auto"/>
                      <w:sz w:val="21"/>
                      <w:szCs w:val="21"/>
                    </w:rPr>
                    <w:t>污染治理设施工艺</w:t>
                  </w:r>
                </w:p>
              </w:tc>
              <w:tc>
                <w:tcPr>
                  <w:tcW w:w="399" w:type="pct"/>
                  <w:vMerge w:val="continue"/>
                  <w:vAlign w:val="center"/>
                </w:tcPr>
                <w:p>
                  <w:pPr>
                    <w:pStyle w:val="51"/>
                    <w:jc w:val="center"/>
                    <w:rPr>
                      <w:rFonts w:ascii="Times New Roman" w:cs="Times New Roman"/>
                      <w:color w:val="auto"/>
                      <w:sz w:val="21"/>
                      <w:szCs w:val="21"/>
                    </w:rPr>
                  </w:pPr>
                </w:p>
              </w:tc>
              <w:tc>
                <w:tcPr>
                  <w:tcW w:w="413" w:type="pct"/>
                  <w:vMerge w:val="continue"/>
                  <w:vAlign w:val="center"/>
                </w:tcPr>
                <w:p>
                  <w:pPr>
                    <w:pStyle w:val="51"/>
                    <w:jc w:val="center"/>
                    <w:rPr>
                      <w:rFonts w:ascii="Times New Roman" w:cs="Times New Roman"/>
                      <w:color w:val="auto"/>
                      <w:sz w:val="21"/>
                      <w:szCs w:val="21"/>
                    </w:rPr>
                  </w:pPr>
                </w:p>
              </w:tc>
              <w:tc>
                <w:tcPr>
                  <w:tcW w:w="404" w:type="pct"/>
                  <w:vMerge w:val="continue"/>
                  <w:vAlign w:val="center"/>
                </w:tcPr>
                <w:p>
                  <w:pPr>
                    <w:pStyle w:val="51"/>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vAlign w:val="center"/>
                </w:tcPr>
                <w:p>
                  <w:pPr>
                    <w:pStyle w:val="51"/>
                    <w:jc w:val="center"/>
                    <w:rPr>
                      <w:rFonts w:ascii="Times New Roman" w:cs="Times New Roman"/>
                      <w:color w:val="auto"/>
                      <w:sz w:val="21"/>
                      <w:szCs w:val="21"/>
                    </w:rPr>
                  </w:pPr>
                  <w:r>
                    <w:rPr>
                      <w:rFonts w:ascii="Times New Roman" w:cs="Times New Roman"/>
                      <w:color w:val="auto"/>
                      <w:sz w:val="21"/>
                      <w:szCs w:val="21"/>
                    </w:rPr>
                    <w:t>1</w:t>
                  </w:r>
                </w:p>
              </w:tc>
              <w:tc>
                <w:tcPr>
                  <w:tcW w:w="427" w:type="pct"/>
                  <w:vAlign w:val="center"/>
                </w:tcPr>
                <w:p>
                  <w:pPr>
                    <w:pStyle w:val="51"/>
                    <w:jc w:val="center"/>
                    <w:rPr>
                      <w:rFonts w:ascii="Times New Roman" w:cs="Times New Roman"/>
                      <w:color w:val="auto"/>
                      <w:sz w:val="21"/>
                      <w:szCs w:val="21"/>
                    </w:rPr>
                  </w:pPr>
                  <w:r>
                    <w:rPr>
                      <w:rFonts w:ascii="Times New Roman" w:cs="Times New Roman"/>
                      <w:color w:val="auto"/>
                      <w:sz w:val="21"/>
                      <w:szCs w:val="21"/>
                    </w:rPr>
                    <w:t>生活污水</w:t>
                  </w:r>
                </w:p>
              </w:tc>
              <w:tc>
                <w:tcPr>
                  <w:tcW w:w="741" w:type="pct"/>
                  <w:vAlign w:val="center"/>
                </w:tcPr>
                <w:p>
                  <w:pPr>
                    <w:pStyle w:val="51"/>
                    <w:jc w:val="center"/>
                    <w:rPr>
                      <w:rFonts w:ascii="Times New Roman" w:cs="Times New Roman"/>
                      <w:color w:val="auto"/>
                      <w:sz w:val="21"/>
                      <w:szCs w:val="21"/>
                    </w:rPr>
                  </w:pPr>
                  <w:r>
                    <w:rPr>
                      <w:rFonts w:ascii="Times New Roman" w:cs="Times New Roman"/>
                      <w:color w:val="auto"/>
                      <w:sz w:val="21"/>
                      <w:szCs w:val="21"/>
                    </w:rPr>
                    <w:t>COD、SS、TN、TP、BOD</w:t>
                  </w:r>
                  <w:r>
                    <w:rPr>
                      <w:rFonts w:ascii="Times New Roman" w:cs="Times New Roman"/>
                      <w:color w:val="auto"/>
                      <w:sz w:val="21"/>
                      <w:szCs w:val="21"/>
                      <w:vertAlign w:val="subscript"/>
                    </w:rPr>
                    <w:t>5</w:t>
                  </w:r>
                  <w:r>
                    <w:rPr>
                      <w:rFonts w:ascii="Times New Roman" w:cs="Times New Roman"/>
                      <w:color w:val="auto"/>
                      <w:sz w:val="21"/>
                      <w:szCs w:val="21"/>
                    </w:rPr>
                    <w:t>、NH</w:t>
                  </w:r>
                  <w:r>
                    <w:rPr>
                      <w:rFonts w:ascii="Times New Roman" w:cs="Times New Roman"/>
                      <w:color w:val="auto"/>
                      <w:sz w:val="21"/>
                      <w:szCs w:val="21"/>
                      <w:vertAlign w:val="subscript"/>
                    </w:rPr>
                    <w:t>3</w:t>
                  </w:r>
                  <w:r>
                    <w:rPr>
                      <w:rFonts w:ascii="Times New Roman" w:cs="Times New Roman"/>
                      <w:color w:val="auto"/>
                      <w:sz w:val="21"/>
                      <w:szCs w:val="21"/>
                    </w:rPr>
                    <w:t>-N、动植物油</w:t>
                  </w:r>
                </w:p>
              </w:tc>
              <w:tc>
                <w:tcPr>
                  <w:tcW w:w="358" w:type="pct"/>
                  <w:vMerge w:val="restart"/>
                  <w:vAlign w:val="center"/>
                </w:tcPr>
                <w:p>
                  <w:pPr>
                    <w:pStyle w:val="51"/>
                    <w:jc w:val="center"/>
                    <w:rPr>
                      <w:rFonts w:ascii="Times New Roman" w:cs="Times New Roman"/>
                      <w:color w:val="auto"/>
                      <w:sz w:val="21"/>
                      <w:szCs w:val="21"/>
                    </w:rPr>
                  </w:pPr>
                  <w:r>
                    <w:rPr>
                      <w:rFonts w:ascii="Times New Roman" w:cs="Times New Roman"/>
                      <w:color w:val="auto"/>
                      <w:sz w:val="21"/>
                      <w:szCs w:val="21"/>
                    </w:rPr>
                    <w:t>周至县污水处理厂</w:t>
                  </w:r>
                </w:p>
              </w:tc>
              <w:tc>
                <w:tcPr>
                  <w:tcW w:w="271" w:type="pct"/>
                  <w:vAlign w:val="center"/>
                </w:tcPr>
                <w:p>
                  <w:pPr>
                    <w:pStyle w:val="51"/>
                    <w:jc w:val="center"/>
                    <w:rPr>
                      <w:rFonts w:ascii="Times New Roman" w:cs="Times New Roman"/>
                      <w:color w:val="auto"/>
                      <w:sz w:val="21"/>
                      <w:szCs w:val="21"/>
                    </w:rPr>
                  </w:pPr>
                  <w:r>
                    <w:rPr>
                      <w:rFonts w:ascii="Times New Roman" w:cs="Times New Roman"/>
                      <w:color w:val="auto"/>
                      <w:sz w:val="21"/>
                      <w:szCs w:val="21"/>
                    </w:rPr>
                    <w:t>间断</w:t>
                  </w:r>
                </w:p>
              </w:tc>
              <w:tc>
                <w:tcPr>
                  <w:tcW w:w="545" w:type="pct"/>
                  <w:vAlign w:val="center"/>
                </w:tcPr>
                <w:p>
                  <w:pPr>
                    <w:pStyle w:val="51"/>
                    <w:jc w:val="center"/>
                    <w:rPr>
                      <w:rFonts w:ascii="Times New Roman" w:cs="Times New Roman"/>
                      <w:color w:val="auto"/>
                      <w:sz w:val="21"/>
                      <w:szCs w:val="21"/>
                    </w:rPr>
                  </w:pPr>
                  <w:r>
                    <w:rPr>
                      <w:rFonts w:ascii="Times New Roman" w:cs="Times New Roman"/>
                      <w:color w:val="auto"/>
                      <w:sz w:val="21"/>
                      <w:szCs w:val="21"/>
                    </w:rPr>
                    <w:t>TW001</w:t>
                  </w:r>
                </w:p>
              </w:tc>
              <w:tc>
                <w:tcPr>
                  <w:tcW w:w="631" w:type="pct"/>
                  <w:vAlign w:val="center"/>
                </w:tcPr>
                <w:p>
                  <w:pPr>
                    <w:pStyle w:val="51"/>
                    <w:jc w:val="center"/>
                    <w:rPr>
                      <w:rFonts w:ascii="Times New Roman" w:cs="Times New Roman"/>
                      <w:color w:val="auto"/>
                      <w:sz w:val="21"/>
                      <w:szCs w:val="21"/>
                    </w:rPr>
                  </w:pPr>
                  <w:r>
                    <w:rPr>
                      <w:rFonts w:ascii="Times New Roman" w:cs="Times New Roman"/>
                      <w:color w:val="auto"/>
                      <w:sz w:val="21"/>
                      <w:szCs w:val="21"/>
                    </w:rPr>
                    <w:t>隔油池（餐厅废水）+化粪池</w:t>
                  </w:r>
                </w:p>
              </w:tc>
              <w:tc>
                <w:tcPr>
                  <w:tcW w:w="540" w:type="pct"/>
                  <w:vAlign w:val="center"/>
                </w:tcPr>
                <w:p>
                  <w:pPr>
                    <w:pStyle w:val="51"/>
                    <w:jc w:val="center"/>
                    <w:rPr>
                      <w:rFonts w:ascii="Times New Roman" w:cs="Times New Roman"/>
                      <w:color w:val="auto"/>
                      <w:sz w:val="21"/>
                      <w:szCs w:val="21"/>
                    </w:rPr>
                  </w:pPr>
                  <w:r>
                    <w:rPr>
                      <w:rFonts w:ascii="Times New Roman" w:cs="Times New Roman"/>
                      <w:color w:val="auto"/>
                      <w:sz w:val="21"/>
                      <w:szCs w:val="21"/>
                    </w:rPr>
                    <w:t>化粪池</w:t>
                  </w:r>
                </w:p>
              </w:tc>
              <w:tc>
                <w:tcPr>
                  <w:tcW w:w="399" w:type="pct"/>
                  <w:vMerge w:val="restart"/>
                  <w:vAlign w:val="center"/>
                </w:tcPr>
                <w:p>
                  <w:pPr>
                    <w:pStyle w:val="51"/>
                    <w:jc w:val="center"/>
                    <w:rPr>
                      <w:rFonts w:ascii="Times New Roman" w:cs="Times New Roman"/>
                      <w:color w:val="auto"/>
                      <w:sz w:val="21"/>
                      <w:szCs w:val="21"/>
                    </w:rPr>
                  </w:pPr>
                  <w:r>
                    <w:rPr>
                      <w:rFonts w:ascii="Times New Roman" w:cs="Times New Roman"/>
                      <w:color w:val="auto"/>
                      <w:sz w:val="21"/>
                      <w:szCs w:val="21"/>
                    </w:rPr>
                    <w:t>/</w:t>
                  </w:r>
                </w:p>
              </w:tc>
              <w:tc>
                <w:tcPr>
                  <w:tcW w:w="413" w:type="pct"/>
                  <w:vMerge w:val="restart"/>
                  <w:vAlign w:val="center"/>
                </w:tcPr>
                <w:p>
                  <w:pPr>
                    <w:pStyle w:val="51"/>
                    <w:jc w:val="center"/>
                    <w:rPr>
                      <w:rFonts w:ascii="Times New Roman" w:cs="Times New Roman"/>
                      <w:color w:val="auto"/>
                      <w:sz w:val="21"/>
                      <w:szCs w:val="21"/>
                    </w:rPr>
                  </w:pPr>
                  <w:r>
                    <w:rPr>
                      <w:rFonts w:ascii="Times New Roman" w:cs="Times New Roman"/>
                      <w:color w:val="auto"/>
                      <w:sz w:val="21"/>
                      <w:szCs w:val="21"/>
                    </w:rPr>
                    <w:t>是</w:t>
                  </w:r>
                  <w:r>
                    <w:rPr>
                      <w:rFonts w:ascii="Times New Roman" w:cs="Times New Roman"/>
                      <w:color w:val="auto"/>
                      <w:sz w:val="21"/>
                      <w:szCs w:val="21"/>
                    </w:rPr>
                    <w:sym w:font="Wingdings 2" w:char="F052"/>
                  </w:r>
                </w:p>
                <w:p>
                  <w:pPr>
                    <w:pStyle w:val="51"/>
                    <w:jc w:val="center"/>
                    <w:rPr>
                      <w:rFonts w:ascii="Times New Roman" w:cs="Times New Roman"/>
                      <w:color w:val="auto"/>
                      <w:sz w:val="21"/>
                      <w:szCs w:val="21"/>
                    </w:rPr>
                  </w:pPr>
                  <w:r>
                    <w:rPr>
                      <w:rFonts w:ascii="Times New Roman" w:cs="Times New Roman"/>
                      <w:color w:val="auto"/>
                      <w:sz w:val="21"/>
                      <w:szCs w:val="21"/>
                    </w:rPr>
                    <w:t>否□</w:t>
                  </w:r>
                </w:p>
              </w:tc>
              <w:tc>
                <w:tcPr>
                  <w:tcW w:w="404" w:type="pct"/>
                  <w:vMerge w:val="restart"/>
                  <w:vAlign w:val="center"/>
                </w:tcPr>
                <w:p>
                  <w:pPr>
                    <w:pStyle w:val="51"/>
                    <w:jc w:val="center"/>
                    <w:rPr>
                      <w:rFonts w:ascii="Times New Roman" w:cs="Times New Roman"/>
                      <w:color w:val="auto"/>
                      <w:sz w:val="21"/>
                      <w:szCs w:val="21"/>
                    </w:rPr>
                  </w:pPr>
                  <w:r>
                    <w:rPr>
                      <w:rFonts w:ascii="Times New Roman" w:cs="Times New Roman"/>
                      <w:color w:val="auto"/>
                      <w:sz w:val="21"/>
                      <w:szCs w:val="21"/>
                    </w:rPr>
                    <w:t>定期拉运，不设排污口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vAlign w:val="center"/>
                </w:tcPr>
                <w:p>
                  <w:pPr>
                    <w:pStyle w:val="51"/>
                    <w:jc w:val="center"/>
                    <w:rPr>
                      <w:rFonts w:ascii="Times New Roman" w:cs="Times New Roman"/>
                      <w:color w:val="auto"/>
                      <w:sz w:val="21"/>
                      <w:szCs w:val="21"/>
                    </w:rPr>
                  </w:pPr>
                  <w:r>
                    <w:rPr>
                      <w:rFonts w:ascii="Times New Roman" w:cs="Times New Roman"/>
                      <w:color w:val="auto"/>
                      <w:sz w:val="21"/>
                      <w:szCs w:val="21"/>
                    </w:rPr>
                    <w:t>2</w:t>
                  </w:r>
                </w:p>
              </w:tc>
              <w:tc>
                <w:tcPr>
                  <w:tcW w:w="427" w:type="pct"/>
                  <w:vAlign w:val="center"/>
                </w:tcPr>
                <w:p>
                  <w:pPr>
                    <w:pStyle w:val="51"/>
                    <w:jc w:val="center"/>
                    <w:rPr>
                      <w:rFonts w:ascii="Times New Roman" w:cs="Times New Roman"/>
                      <w:color w:val="auto"/>
                      <w:sz w:val="21"/>
                      <w:szCs w:val="21"/>
                    </w:rPr>
                  </w:pPr>
                  <w:r>
                    <w:rPr>
                      <w:rFonts w:ascii="Times New Roman" w:cs="Times New Roman"/>
                      <w:color w:val="auto"/>
                      <w:sz w:val="21"/>
                      <w:szCs w:val="21"/>
                    </w:rPr>
                    <w:t>生产废水</w:t>
                  </w:r>
                </w:p>
              </w:tc>
              <w:tc>
                <w:tcPr>
                  <w:tcW w:w="741" w:type="pct"/>
                  <w:vAlign w:val="center"/>
                </w:tcPr>
                <w:p>
                  <w:pPr>
                    <w:pStyle w:val="51"/>
                    <w:jc w:val="center"/>
                    <w:rPr>
                      <w:rFonts w:ascii="Times New Roman" w:cs="Times New Roman"/>
                      <w:color w:val="auto"/>
                      <w:sz w:val="21"/>
                      <w:szCs w:val="21"/>
                    </w:rPr>
                  </w:pPr>
                  <w:r>
                    <w:rPr>
                      <w:rFonts w:ascii="Times New Roman" w:cs="Times New Roman"/>
                      <w:bCs/>
                      <w:color w:val="auto"/>
                      <w:sz w:val="21"/>
                      <w:szCs w:val="21"/>
                    </w:rPr>
                    <w:t>COD、BOD</w:t>
                  </w:r>
                  <w:r>
                    <w:rPr>
                      <w:rFonts w:ascii="Times New Roman" w:cs="Times New Roman"/>
                      <w:bCs/>
                      <w:color w:val="auto"/>
                      <w:sz w:val="21"/>
                      <w:szCs w:val="21"/>
                      <w:vertAlign w:val="subscript"/>
                    </w:rPr>
                    <w:t>5</w:t>
                  </w:r>
                  <w:r>
                    <w:rPr>
                      <w:rFonts w:ascii="Times New Roman" w:cs="Times New Roman"/>
                      <w:bCs/>
                      <w:color w:val="auto"/>
                      <w:sz w:val="21"/>
                      <w:szCs w:val="21"/>
                    </w:rPr>
                    <w:t>、SS、NH</w:t>
                  </w:r>
                  <w:r>
                    <w:rPr>
                      <w:rFonts w:ascii="Times New Roman" w:cs="Times New Roman"/>
                      <w:color w:val="auto"/>
                      <w:sz w:val="21"/>
                      <w:szCs w:val="21"/>
                      <w:vertAlign w:val="subscript"/>
                    </w:rPr>
                    <w:t>3</w:t>
                  </w:r>
                  <w:r>
                    <w:rPr>
                      <w:rFonts w:ascii="Times New Roman" w:cs="Times New Roman"/>
                      <w:color w:val="auto"/>
                      <w:sz w:val="21"/>
                      <w:szCs w:val="21"/>
                    </w:rPr>
                    <w:t>-N、粪大肠菌群数、总余氯</w:t>
                  </w:r>
                </w:p>
              </w:tc>
              <w:tc>
                <w:tcPr>
                  <w:tcW w:w="358" w:type="pct"/>
                  <w:vMerge w:val="continue"/>
                  <w:vAlign w:val="center"/>
                </w:tcPr>
                <w:p>
                  <w:pPr>
                    <w:pStyle w:val="51"/>
                    <w:jc w:val="center"/>
                    <w:rPr>
                      <w:rFonts w:ascii="Times New Roman" w:cs="Times New Roman"/>
                      <w:color w:val="auto"/>
                      <w:sz w:val="21"/>
                      <w:szCs w:val="21"/>
                    </w:rPr>
                  </w:pPr>
                </w:p>
              </w:tc>
              <w:tc>
                <w:tcPr>
                  <w:tcW w:w="271" w:type="pct"/>
                  <w:vAlign w:val="center"/>
                </w:tcPr>
                <w:p>
                  <w:pPr>
                    <w:pStyle w:val="51"/>
                    <w:jc w:val="center"/>
                    <w:rPr>
                      <w:rFonts w:ascii="Times New Roman" w:cs="Times New Roman"/>
                      <w:color w:val="auto"/>
                      <w:sz w:val="21"/>
                      <w:szCs w:val="21"/>
                    </w:rPr>
                  </w:pPr>
                  <w:r>
                    <w:rPr>
                      <w:rFonts w:ascii="Times New Roman" w:cs="Times New Roman"/>
                      <w:color w:val="auto"/>
                      <w:sz w:val="21"/>
                      <w:szCs w:val="21"/>
                    </w:rPr>
                    <w:t>间断</w:t>
                  </w:r>
                </w:p>
              </w:tc>
              <w:tc>
                <w:tcPr>
                  <w:tcW w:w="545" w:type="pct"/>
                  <w:vAlign w:val="center"/>
                </w:tcPr>
                <w:p>
                  <w:pPr>
                    <w:pStyle w:val="51"/>
                    <w:jc w:val="center"/>
                    <w:rPr>
                      <w:rFonts w:ascii="Times New Roman" w:cs="Times New Roman"/>
                      <w:color w:val="auto"/>
                      <w:sz w:val="21"/>
                      <w:szCs w:val="21"/>
                    </w:rPr>
                  </w:pPr>
                  <w:r>
                    <w:rPr>
                      <w:rFonts w:ascii="Times New Roman" w:cs="Times New Roman"/>
                      <w:color w:val="auto"/>
                      <w:sz w:val="21"/>
                      <w:szCs w:val="21"/>
                    </w:rPr>
                    <w:t>TW002</w:t>
                  </w:r>
                </w:p>
              </w:tc>
              <w:tc>
                <w:tcPr>
                  <w:tcW w:w="631" w:type="pct"/>
                  <w:vAlign w:val="center"/>
                </w:tcPr>
                <w:p>
                  <w:pPr>
                    <w:pStyle w:val="51"/>
                    <w:jc w:val="center"/>
                    <w:rPr>
                      <w:rFonts w:ascii="Times New Roman" w:cs="Times New Roman"/>
                      <w:color w:val="auto"/>
                      <w:sz w:val="21"/>
                      <w:szCs w:val="21"/>
                    </w:rPr>
                  </w:pPr>
                  <w:r>
                    <w:rPr>
                      <w:rFonts w:ascii="Times New Roman" w:cs="Times New Roman"/>
                      <w:color w:val="auto"/>
                      <w:sz w:val="21"/>
                      <w:szCs w:val="21"/>
                    </w:rPr>
                    <w:t>污水处理站</w:t>
                  </w:r>
                </w:p>
              </w:tc>
              <w:tc>
                <w:tcPr>
                  <w:tcW w:w="540" w:type="pct"/>
                  <w:vAlign w:val="center"/>
                </w:tcPr>
                <w:p>
                  <w:pPr>
                    <w:pStyle w:val="51"/>
                    <w:jc w:val="center"/>
                    <w:rPr>
                      <w:rFonts w:ascii="Times New Roman" w:cs="Times New Roman"/>
                      <w:color w:val="auto"/>
                      <w:sz w:val="21"/>
                      <w:szCs w:val="21"/>
                    </w:rPr>
                  </w:pPr>
                  <w:r>
                    <w:rPr>
                      <w:rFonts w:ascii="Times New Roman" w:cs="Times New Roman"/>
                      <w:color w:val="auto"/>
                      <w:sz w:val="21"/>
                      <w:szCs w:val="21"/>
                    </w:rPr>
                    <w:t>混凝沉淀+消毒</w:t>
                  </w:r>
                </w:p>
              </w:tc>
              <w:tc>
                <w:tcPr>
                  <w:tcW w:w="399" w:type="pct"/>
                  <w:vMerge w:val="continue"/>
                  <w:vAlign w:val="center"/>
                </w:tcPr>
                <w:p>
                  <w:pPr>
                    <w:pStyle w:val="51"/>
                    <w:jc w:val="center"/>
                    <w:rPr>
                      <w:rFonts w:ascii="Times New Roman" w:cs="Times New Roman"/>
                      <w:color w:val="auto"/>
                      <w:sz w:val="21"/>
                      <w:szCs w:val="21"/>
                    </w:rPr>
                  </w:pPr>
                </w:p>
              </w:tc>
              <w:tc>
                <w:tcPr>
                  <w:tcW w:w="413" w:type="pct"/>
                  <w:vMerge w:val="continue"/>
                  <w:vAlign w:val="center"/>
                </w:tcPr>
                <w:p>
                  <w:pPr>
                    <w:pStyle w:val="51"/>
                    <w:jc w:val="center"/>
                    <w:rPr>
                      <w:rFonts w:ascii="Times New Roman" w:cs="Times New Roman"/>
                      <w:color w:val="auto"/>
                      <w:sz w:val="21"/>
                      <w:szCs w:val="21"/>
                    </w:rPr>
                  </w:pPr>
                </w:p>
              </w:tc>
              <w:tc>
                <w:tcPr>
                  <w:tcW w:w="404" w:type="pct"/>
                  <w:vMerge w:val="continue"/>
                  <w:vAlign w:val="center"/>
                </w:tcPr>
                <w:p>
                  <w:pPr>
                    <w:pStyle w:val="51"/>
                    <w:jc w:val="center"/>
                    <w:rPr>
                      <w:rFonts w:ascii="Times New Roman" w:cs="Times New Roman"/>
                      <w:color w:val="auto"/>
                      <w:sz w:val="21"/>
                      <w:szCs w:val="21"/>
                    </w:rPr>
                  </w:pPr>
                </w:p>
              </w:tc>
            </w:tr>
          </w:tbl>
          <w:p>
            <w:pPr>
              <w:jc w:val="center"/>
              <w:outlineLvl w:val="1"/>
              <w:rPr>
                <w:b/>
                <w:bCs/>
                <w:kern w:val="0"/>
                <w:sz w:val="24"/>
              </w:rPr>
            </w:pPr>
            <w:r>
              <w:rPr>
                <w:b/>
                <w:bCs/>
                <w:kern w:val="0"/>
                <w:sz w:val="24"/>
              </w:rPr>
              <w:t>表4-4废水污染物排放信息表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330"/>
              <w:gridCol w:w="1265"/>
              <w:gridCol w:w="1727"/>
              <w:gridCol w:w="1416"/>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8" w:type="pct"/>
                  <w:vAlign w:val="center"/>
                </w:tcPr>
                <w:p>
                  <w:pPr>
                    <w:adjustRightInd w:val="0"/>
                    <w:snapToGrid w:val="0"/>
                    <w:jc w:val="center"/>
                    <w:rPr>
                      <w:b/>
                      <w:szCs w:val="21"/>
                    </w:rPr>
                  </w:pPr>
                  <w:r>
                    <w:rPr>
                      <w:b/>
                      <w:szCs w:val="21"/>
                    </w:rPr>
                    <w:t>序号</w:t>
                  </w:r>
                </w:p>
              </w:tc>
              <w:tc>
                <w:tcPr>
                  <w:tcW w:w="838" w:type="pct"/>
                  <w:vAlign w:val="center"/>
                </w:tcPr>
                <w:p>
                  <w:pPr>
                    <w:adjustRightInd w:val="0"/>
                    <w:snapToGrid w:val="0"/>
                    <w:jc w:val="center"/>
                    <w:rPr>
                      <w:b/>
                      <w:szCs w:val="21"/>
                    </w:rPr>
                  </w:pPr>
                  <w:r>
                    <w:rPr>
                      <w:b/>
                      <w:szCs w:val="21"/>
                    </w:rPr>
                    <w:t>排放口编号</w:t>
                  </w:r>
                </w:p>
              </w:tc>
              <w:tc>
                <w:tcPr>
                  <w:tcW w:w="797" w:type="pct"/>
                  <w:vAlign w:val="center"/>
                </w:tcPr>
                <w:p>
                  <w:pPr>
                    <w:adjustRightInd w:val="0"/>
                    <w:snapToGrid w:val="0"/>
                    <w:jc w:val="center"/>
                    <w:rPr>
                      <w:b/>
                      <w:szCs w:val="21"/>
                    </w:rPr>
                  </w:pPr>
                  <w:r>
                    <w:rPr>
                      <w:b/>
                      <w:szCs w:val="21"/>
                    </w:rPr>
                    <w:t>污染物种类</w:t>
                  </w:r>
                </w:p>
              </w:tc>
              <w:tc>
                <w:tcPr>
                  <w:tcW w:w="1088" w:type="pct"/>
                  <w:vAlign w:val="center"/>
                </w:tcPr>
                <w:p>
                  <w:pPr>
                    <w:adjustRightInd w:val="0"/>
                    <w:snapToGrid w:val="0"/>
                    <w:jc w:val="center"/>
                    <w:rPr>
                      <w:b/>
                      <w:szCs w:val="21"/>
                    </w:rPr>
                  </w:pPr>
                  <w:r>
                    <w:rPr>
                      <w:b/>
                      <w:szCs w:val="21"/>
                    </w:rPr>
                    <w:t>排放浓度（mg/L）</w:t>
                  </w:r>
                </w:p>
              </w:tc>
              <w:tc>
                <w:tcPr>
                  <w:tcW w:w="892" w:type="pct"/>
                  <w:vAlign w:val="center"/>
                </w:tcPr>
                <w:p>
                  <w:pPr>
                    <w:adjustRightInd w:val="0"/>
                    <w:snapToGrid w:val="0"/>
                    <w:jc w:val="center"/>
                    <w:rPr>
                      <w:b/>
                      <w:szCs w:val="21"/>
                    </w:rPr>
                  </w:pPr>
                  <w:r>
                    <w:rPr>
                      <w:b/>
                      <w:szCs w:val="21"/>
                    </w:rPr>
                    <w:t>日排放量（t/d）</w:t>
                  </w:r>
                </w:p>
              </w:tc>
              <w:tc>
                <w:tcPr>
                  <w:tcW w:w="967" w:type="pct"/>
                  <w:vAlign w:val="center"/>
                </w:tcPr>
                <w:p>
                  <w:pPr>
                    <w:adjustRightInd w:val="0"/>
                    <w:snapToGrid w:val="0"/>
                    <w:jc w:val="center"/>
                    <w:rPr>
                      <w:b/>
                      <w:szCs w:val="21"/>
                    </w:rPr>
                  </w:pPr>
                  <w:r>
                    <w:rPr>
                      <w:b/>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1</w:t>
                  </w:r>
                </w:p>
              </w:tc>
              <w:tc>
                <w:tcPr>
                  <w:tcW w:w="838" w:type="pct"/>
                  <w:vMerge w:val="restar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生活污水</w:t>
                  </w:r>
                </w:p>
              </w:tc>
              <w:tc>
                <w:tcPr>
                  <w:tcW w:w="797" w:type="pct"/>
                  <w:vAlign w:val="center"/>
                </w:tcPr>
                <w:p>
                  <w:pPr>
                    <w:adjustRightInd w:val="0"/>
                    <w:snapToGrid w:val="0"/>
                    <w:jc w:val="center"/>
                    <w:rPr>
                      <w:szCs w:val="21"/>
                    </w:rPr>
                  </w:pPr>
                  <w:r>
                    <w:rPr>
                      <w:szCs w:val="21"/>
                    </w:rPr>
                    <w:t>COD</w:t>
                  </w:r>
                </w:p>
              </w:tc>
              <w:tc>
                <w:tcPr>
                  <w:tcW w:w="1088" w:type="pct"/>
                  <w:vAlign w:val="center"/>
                </w:tcPr>
                <w:p>
                  <w:pPr>
                    <w:adjustRightInd w:val="0"/>
                    <w:snapToGrid w:val="0"/>
                    <w:jc w:val="center"/>
                    <w:rPr>
                      <w:szCs w:val="21"/>
                    </w:rPr>
                  </w:pPr>
                  <w:r>
                    <w:rPr>
                      <w:szCs w:val="21"/>
                    </w:rPr>
                    <w:t>340</w:t>
                  </w:r>
                </w:p>
              </w:tc>
              <w:tc>
                <w:tcPr>
                  <w:tcW w:w="892" w:type="pct"/>
                  <w:vAlign w:val="center"/>
                </w:tcPr>
                <w:p>
                  <w:pPr>
                    <w:adjustRightInd w:val="0"/>
                    <w:snapToGrid w:val="0"/>
                    <w:jc w:val="center"/>
                    <w:rPr>
                      <w:szCs w:val="21"/>
                    </w:rPr>
                  </w:pPr>
                  <w:r>
                    <w:rPr>
                      <w:szCs w:val="21"/>
                    </w:rPr>
                    <w:t>0.00081</w:t>
                  </w:r>
                </w:p>
              </w:tc>
              <w:tc>
                <w:tcPr>
                  <w:tcW w:w="967" w:type="pct"/>
                  <w:vAlign w:val="center"/>
                </w:tcPr>
                <w:p>
                  <w:pPr>
                    <w:adjustRightInd w:val="0"/>
                    <w:snapToGrid w:val="0"/>
                    <w:jc w:val="center"/>
                    <w:rPr>
                      <w:szCs w:val="21"/>
                    </w:rPr>
                  </w:pPr>
                  <w:r>
                    <w:rPr>
                      <w:szCs w:val="21"/>
                    </w:rPr>
                    <w:t>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2</w:t>
                  </w:r>
                </w:p>
              </w:tc>
              <w:tc>
                <w:tcPr>
                  <w:tcW w:w="838" w:type="pct"/>
                  <w:vMerge w:val="continue"/>
                  <w:vAlign w:val="center"/>
                </w:tcPr>
                <w:p>
                  <w:pPr>
                    <w:pStyle w:val="51"/>
                    <w:snapToGrid w:val="0"/>
                    <w:jc w:val="center"/>
                    <w:rPr>
                      <w:rFonts w:ascii="Times New Roman" w:cs="Times New Roman"/>
                      <w:color w:val="auto"/>
                      <w:sz w:val="21"/>
                      <w:szCs w:val="21"/>
                    </w:rPr>
                  </w:pPr>
                </w:p>
              </w:tc>
              <w:tc>
                <w:tcPr>
                  <w:tcW w:w="797" w:type="pct"/>
                  <w:vAlign w:val="center"/>
                </w:tcPr>
                <w:p>
                  <w:pPr>
                    <w:adjustRightInd w:val="0"/>
                    <w:snapToGrid w:val="0"/>
                    <w:jc w:val="center"/>
                    <w:rPr>
                      <w:szCs w:val="21"/>
                    </w:rPr>
                  </w:pPr>
                  <w:r>
                    <w:rPr>
                      <w:szCs w:val="21"/>
                    </w:rPr>
                    <w:t>BOD</w:t>
                  </w:r>
                  <w:r>
                    <w:rPr>
                      <w:szCs w:val="21"/>
                      <w:vertAlign w:val="subscript"/>
                    </w:rPr>
                    <w:t>5</w:t>
                  </w:r>
                </w:p>
              </w:tc>
              <w:tc>
                <w:tcPr>
                  <w:tcW w:w="1088" w:type="pct"/>
                  <w:vAlign w:val="center"/>
                </w:tcPr>
                <w:p>
                  <w:pPr>
                    <w:adjustRightInd w:val="0"/>
                    <w:snapToGrid w:val="0"/>
                    <w:jc w:val="center"/>
                    <w:rPr>
                      <w:szCs w:val="21"/>
                    </w:rPr>
                  </w:pPr>
                  <w:r>
                    <w:rPr>
                      <w:szCs w:val="21"/>
                    </w:rPr>
                    <w:t>180</w:t>
                  </w:r>
                </w:p>
              </w:tc>
              <w:tc>
                <w:tcPr>
                  <w:tcW w:w="892" w:type="pct"/>
                  <w:vAlign w:val="center"/>
                </w:tcPr>
                <w:p>
                  <w:pPr>
                    <w:adjustRightInd w:val="0"/>
                    <w:snapToGrid w:val="0"/>
                    <w:jc w:val="center"/>
                    <w:rPr>
                      <w:szCs w:val="21"/>
                    </w:rPr>
                  </w:pPr>
                  <w:r>
                    <w:rPr>
                      <w:szCs w:val="21"/>
                    </w:rPr>
                    <w:t>0.00043</w:t>
                  </w:r>
                </w:p>
              </w:tc>
              <w:tc>
                <w:tcPr>
                  <w:tcW w:w="967" w:type="pct"/>
                  <w:vAlign w:val="center"/>
                </w:tcPr>
                <w:p>
                  <w:pPr>
                    <w:adjustRightInd w:val="0"/>
                    <w:snapToGrid w:val="0"/>
                    <w:jc w:val="center"/>
                    <w:rPr>
                      <w:szCs w:val="21"/>
                    </w:rPr>
                  </w:pPr>
                  <w:r>
                    <w:rPr>
                      <w:szCs w:val="21"/>
                    </w:rPr>
                    <w:t>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3</w:t>
                  </w:r>
                </w:p>
              </w:tc>
              <w:tc>
                <w:tcPr>
                  <w:tcW w:w="838" w:type="pct"/>
                  <w:vMerge w:val="continue"/>
                  <w:vAlign w:val="center"/>
                </w:tcPr>
                <w:p>
                  <w:pPr>
                    <w:pStyle w:val="51"/>
                    <w:snapToGrid w:val="0"/>
                    <w:jc w:val="center"/>
                    <w:rPr>
                      <w:rFonts w:ascii="Times New Roman" w:cs="Times New Roman"/>
                      <w:color w:val="auto"/>
                      <w:sz w:val="21"/>
                      <w:szCs w:val="21"/>
                    </w:rPr>
                  </w:pPr>
                </w:p>
              </w:tc>
              <w:tc>
                <w:tcPr>
                  <w:tcW w:w="797" w:type="pct"/>
                  <w:vAlign w:val="center"/>
                </w:tcPr>
                <w:p>
                  <w:pPr>
                    <w:adjustRightInd w:val="0"/>
                    <w:snapToGrid w:val="0"/>
                    <w:jc w:val="center"/>
                    <w:rPr>
                      <w:szCs w:val="21"/>
                    </w:rPr>
                  </w:pPr>
                  <w:r>
                    <w:rPr>
                      <w:szCs w:val="21"/>
                    </w:rPr>
                    <w:t>SS</w:t>
                  </w:r>
                </w:p>
              </w:tc>
              <w:tc>
                <w:tcPr>
                  <w:tcW w:w="1088" w:type="pct"/>
                  <w:vAlign w:val="center"/>
                </w:tcPr>
                <w:p>
                  <w:pPr>
                    <w:adjustRightInd w:val="0"/>
                    <w:snapToGrid w:val="0"/>
                    <w:jc w:val="center"/>
                    <w:rPr>
                      <w:szCs w:val="21"/>
                    </w:rPr>
                  </w:pPr>
                  <w:r>
                    <w:rPr>
                      <w:szCs w:val="21"/>
                    </w:rPr>
                    <w:t>210</w:t>
                  </w:r>
                </w:p>
              </w:tc>
              <w:tc>
                <w:tcPr>
                  <w:tcW w:w="892" w:type="pct"/>
                  <w:vAlign w:val="center"/>
                </w:tcPr>
                <w:p>
                  <w:pPr>
                    <w:adjustRightInd w:val="0"/>
                    <w:snapToGrid w:val="0"/>
                    <w:jc w:val="center"/>
                    <w:rPr>
                      <w:szCs w:val="21"/>
                    </w:rPr>
                  </w:pPr>
                  <w:r>
                    <w:rPr>
                      <w:szCs w:val="21"/>
                    </w:rPr>
                    <w:t>0.00050</w:t>
                  </w:r>
                </w:p>
              </w:tc>
              <w:tc>
                <w:tcPr>
                  <w:tcW w:w="967" w:type="pct"/>
                  <w:vAlign w:val="center"/>
                </w:tcPr>
                <w:p>
                  <w:pPr>
                    <w:adjustRightInd w:val="0"/>
                    <w:snapToGrid w:val="0"/>
                    <w:jc w:val="center"/>
                    <w:rPr>
                      <w:szCs w:val="21"/>
                    </w:rPr>
                  </w:pPr>
                  <w:r>
                    <w:rPr>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4</w:t>
                  </w:r>
                </w:p>
              </w:tc>
              <w:tc>
                <w:tcPr>
                  <w:tcW w:w="838" w:type="pct"/>
                  <w:vMerge w:val="continue"/>
                  <w:vAlign w:val="center"/>
                </w:tcPr>
                <w:p>
                  <w:pPr>
                    <w:pStyle w:val="51"/>
                    <w:snapToGrid w:val="0"/>
                    <w:jc w:val="center"/>
                    <w:rPr>
                      <w:rFonts w:ascii="Times New Roman" w:cs="Times New Roman"/>
                      <w:color w:val="auto"/>
                      <w:sz w:val="21"/>
                      <w:szCs w:val="21"/>
                    </w:rPr>
                  </w:pPr>
                </w:p>
              </w:tc>
              <w:tc>
                <w:tcPr>
                  <w:tcW w:w="797" w:type="pct"/>
                  <w:vAlign w:val="center"/>
                </w:tcPr>
                <w:p>
                  <w:pPr>
                    <w:adjustRightInd w:val="0"/>
                    <w:snapToGrid w:val="0"/>
                    <w:jc w:val="center"/>
                    <w:rPr>
                      <w:szCs w:val="21"/>
                    </w:rPr>
                  </w:pPr>
                  <w:r>
                    <w:rPr>
                      <w:szCs w:val="21"/>
                    </w:rPr>
                    <w:t>氨氮</w:t>
                  </w:r>
                </w:p>
              </w:tc>
              <w:tc>
                <w:tcPr>
                  <w:tcW w:w="1088" w:type="pct"/>
                  <w:vAlign w:val="center"/>
                </w:tcPr>
                <w:p>
                  <w:pPr>
                    <w:adjustRightInd w:val="0"/>
                    <w:snapToGrid w:val="0"/>
                    <w:jc w:val="center"/>
                    <w:rPr>
                      <w:szCs w:val="21"/>
                    </w:rPr>
                  </w:pPr>
                  <w:r>
                    <w:rPr>
                      <w:szCs w:val="21"/>
                    </w:rPr>
                    <w:t>25</w:t>
                  </w:r>
                </w:p>
              </w:tc>
              <w:tc>
                <w:tcPr>
                  <w:tcW w:w="892" w:type="pct"/>
                  <w:vAlign w:val="center"/>
                </w:tcPr>
                <w:p>
                  <w:pPr>
                    <w:adjustRightInd w:val="0"/>
                    <w:snapToGrid w:val="0"/>
                    <w:jc w:val="center"/>
                    <w:rPr>
                      <w:szCs w:val="21"/>
                    </w:rPr>
                  </w:pPr>
                  <w:r>
                    <w:rPr>
                      <w:szCs w:val="21"/>
                    </w:rPr>
                    <w:t>0.00006</w:t>
                  </w:r>
                </w:p>
              </w:tc>
              <w:tc>
                <w:tcPr>
                  <w:tcW w:w="967" w:type="pct"/>
                  <w:vAlign w:val="center"/>
                </w:tcPr>
                <w:p>
                  <w:pPr>
                    <w:adjustRightInd w:val="0"/>
                    <w:snapToGrid w:val="0"/>
                    <w:jc w:val="center"/>
                    <w:rPr>
                      <w:szCs w:val="21"/>
                    </w:rPr>
                  </w:pPr>
                  <w:r>
                    <w:rPr>
                      <w:szCs w:val="21"/>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5</w:t>
                  </w:r>
                </w:p>
              </w:tc>
              <w:tc>
                <w:tcPr>
                  <w:tcW w:w="838" w:type="pct"/>
                  <w:vMerge w:val="continue"/>
                  <w:vAlign w:val="center"/>
                </w:tcPr>
                <w:p>
                  <w:pPr>
                    <w:pStyle w:val="51"/>
                    <w:snapToGrid w:val="0"/>
                    <w:jc w:val="center"/>
                    <w:rPr>
                      <w:rFonts w:ascii="Times New Roman" w:cs="Times New Roman"/>
                      <w:color w:val="auto"/>
                      <w:sz w:val="21"/>
                      <w:szCs w:val="21"/>
                    </w:rPr>
                  </w:pPr>
                </w:p>
              </w:tc>
              <w:tc>
                <w:tcPr>
                  <w:tcW w:w="797" w:type="pct"/>
                  <w:vAlign w:val="center"/>
                </w:tcPr>
                <w:p>
                  <w:pPr>
                    <w:adjustRightInd w:val="0"/>
                    <w:snapToGrid w:val="0"/>
                    <w:jc w:val="center"/>
                    <w:rPr>
                      <w:szCs w:val="21"/>
                    </w:rPr>
                  </w:pPr>
                  <w:r>
                    <w:rPr>
                      <w:szCs w:val="21"/>
                    </w:rPr>
                    <w:t>TP</w:t>
                  </w:r>
                </w:p>
              </w:tc>
              <w:tc>
                <w:tcPr>
                  <w:tcW w:w="1088" w:type="pct"/>
                  <w:vAlign w:val="center"/>
                </w:tcPr>
                <w:p>
                  <w:pPr>
                    <w:adjustRightInd w:val="0"/>
                    <w:snapToGrid w:val="0"/>
                    <w:jc w:val="center"/>
                    <w:rPr>
                      <w:szCs w:val="21"/>
                    </w:rPr>
                  </w:pPr>
                  <w:r>
                    <w:rPr>
                      <w:szCs w:val="21"/>
                    </w:rPr>
                    <w:t>5</w:t>
                  </w:r>
                </w:p>
              </w:tc>
              <w:tc>
                <w:tcPr>
                  <w:tcW w:w="892" w:type="pct"/>
                  <w:vAlign w:val="center"/>
                </w:tcPr>
                <w:p>
                  <w:pPr>
                    <w:adjustRightInd w:val="0"/>
                    <w:snapToGrid w:val="0"/>
                    <w:jc w:val="center"/>
                    <w:rPr>
                      <w:szCs w:val="21"/>
                    </w:rPr>
                  </w:pPr>
                  <w:r>
                    <w:rPr>
                      <w:szCs w:val="21"/>
                    </w:rPr>
                    <w:t>0.00001</w:t>
                  </w:r>
                </w:p>
              </w:tc>
              <w:tc>
                <w:tcPr>
                  <w:tcW w:w="967" w:type="pct"/>
                  <w:vAlign w:val="center"/>
                </w:tcPr>
                <w:p>
                  <w:pPr>
                    <w:adjustRightInd w:val="0"/>
                    <w:snapToGrid w:val="0"/>
                    <w:jc w:val="center"/>
                    <w:rPr>
                      <w:szCs w:val="21"/>
                    </w:rPr>
                  </w:pPr>
                  <w:r>
                    <w:rPr>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6</w:t>
                  </w:r>
                </w:p>
              </w:tc>
              <w:tc>
                <w:tcPr>
                  <w:tcW w:w="838" w:type="pct"/>
                  <w:vMerge w:val="continue"/>
                  <w:vAlign w:val="center"/>
                </w:tcPr>
                <w:p>
                  <w:pPr>
                    <w:pStyle w:val="51"/>
                    <w:snapToGrid w:val="0"/>
                    <w:jc w:val="center"/>
                    <w:rPr>
                      <w:rFonts w:ascii="Times New Roman" w:cs="Times New Roman"/>
                      <w:color w:val="auto"/>
                      <w:sz w:val="21"/>
                      <w:szCs w:val="21"/>
                    </w:rPr>
                  </w:pPr>
                </w:p>
              </w:tc>
              <w:tc>
                <w:tcPr>
                  <w:tcW w:w="797" w:type="pct"/>
                  <w:vAlign w:val="center"/>
                </w:tcPr>
                <w:p>
                  <w:pPr>
                    <w:adjustRightInd w:val="0"/>
                    <w:snapToGrid w:val="0"/>
                    <w:jc w:val="center"/>
                    <w:rPr>
                      <w:szCs w:val="21"/>
                    </w:rPr>
                  </w:pPr>
                  <w:r>
                    <w:rPr>
                      <w:szCs w:val="21"/>
                    </w:rPr>
                    <w:t>TN</w:t>
                  </w:r>
                </w:p>
              </w:tc>
              <w:tc>
                <w:tcPr>
                  <w:tcW w:w="1088" w:type="pct"/>
                  <w:vAlign w:val="center"/>
                </w:tcPr>
                <w:p>
                  <w:pPr>
                    <w:adjustRightInd w:val="0"/>
                    <w:snapToGrid w:val="0"/>
                    <w:jc w:val="center"/>
                    <w:rPr>
                      <w:szCs w:val="21"/>
                    </w:rPr>
                  </w:pPr>
                  <w:r>
                    <w:rPr>
                      <w:szCs w:val="21"/>
                    </w:rPr>
                    <w:t>40</w:t>
                  </w:r>
                </w:p>
              </w:tc>
              <w:tc>
                <w:tcPr>
                  <w:tcW w:w="892" w:type="pct"/>
                  <w:vAlign w:val="center"/>
                </w:tcPr>
                <w:p>
                  <w:pPr>
                    <w:adjustRightInd w:val="0"/>
                    <w:snapToGrid w:val="0"/>
                    <w:jc w:val="center"/>
                    <w:rPr>
                      <w:szCs w:val="21"/>
                    </w:rPr>
                  </w:pPr>
                  <w:r>
                    <w:rPr>
                      <w:szCs w:val="21"/>
                    </w:rPr>
                    <w:t>0.00010</w:t>
                  </w:r>
                </w:p>
              </w:tc>
              <w:tc>
                <w:tcPr>
                  <w:tcW w:w="967" w:type="pct"/>
                  <w:vAlign w:val="center"/>
                </w:tcPr>
                <w:p>
                  <w:pPr>
                    <w:adjustRightInd w:val="0"/>
                    <w:snapToGrid w:val="0"/>
                    <w:jc w:val="center"/>
                    <w:rPr>
                      <w:szCs w:val="21"/>
                    </w:rPr>
                  </w:pPr>
                  <w:r>
                    <w:rPr>
                      <w:szCs w:val="21"/>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7</w:t>
                  </w:r>
                </w:p>
              </w:tc>
              <w:tc>
                <w:tcPr>
                  <w:tcW w:w="838" w:type="pct"/>
                  <w:vMerge w:val="continue"/>
                  <w:vAlign w:val="center"/>
                </w:tcPr>
                <w:p>
                  <w:pPr>
                    <w:pStyle w:val="51"/>
                    <w:snapToGrid w:val="0"/>
                    <w:jc w:val="center"/>
                    <w:rPr>
                      <w:rFonts w:ascii="Times New Roman" w:cs="Times New Roman"/>
                      <w:color w:val="auto"/>
                      <w:sz w:val="21"/>
                      <w:szCs w:val="21"/>
                    </w:rPr>
                  </w:pPr>
                </w:p>
              </w:tc>
              <w:tc>
                <w:tcPr>
                  <w:tcW w:w="797" w:type="pct"/>
                  <w:vAlign w:val="center"/>
                </w:tcPr>
                <w:p>
                  <w:pPr>
                    <w:adjustRightInd w:val="0"/>
                    <w:snapToGrid w:val="0"/>
                    <w:jc w:val="center"/>
                    <w:rPr>
                      <w:szCs w:val="21"/>
                    </w:rPr>
                  </w:pPr>
                  <w:r>
                    <w:rPr>
                      <w:szCs w:val="21"/>
                    </w:rPr>
                    <w:t>动植物油</w:t>
                  </w:r>
                </w:p>
              </w:tc>
              <w:tc>
                <w:tcPr>
                  <w:tcW w:w="1088" w:type="pct"/>
                  <w:vAlign w:val="center"/>
                </w:tcPr>
                <w:p>
                  <w:pPr>
                    <w:adjustRightInd w:val="0"/>
                    <w:snapToGrid w:val="0"/>
                    <w:jc w:val="center"/>
                    <w:rPr>
                      <w:szCs w:val="21"/>
                    </w:rPr>
                  </w:pPr>
                  <w:r>
                    <w:rPr>
                      <w:szCs w:val="21"/>
                    </w:rPr>
                    <w:t>40</w:t>
                  </w:r>
                </w:p>
              </w:tc>
              <w:tc>
                <w:tcPr>
                  <w:tcW w:w="892" w:type="pct"/>
                  <w:vAlign w:val="center"/>
                </w:tcPr>
                <w:p>
                  <w:pPr>
                    <w:adjustRightInd w:val="0"/>
                    <w:snapToGrid w:val="0"/>
                    <w:jc w:val="center"/>
                    <w:rPr>
                      <w:szCs w:val="21"/>
                    </w:rPr>
                  </w:pPr>
                  <w:r>
                    <w:rPr>
                      <w:szCs w:val="21"/>
                    </w:rPr>
                    <w:t>0.00010</w:t>
                  </w:r>
                </w:p>
              </w:tc>
              <w:tc>
                <w:tcPr>
                  <w:tcW w:w="967" w:type="pct"/>
                  <w:vAlign w:val="center"/>
                </w:tcPr>
                <w:p>
                  <w:pPr>
                    <w:adjustRightInd w:val="0"/>
                    <w:snapToGrid w:val="0"/>
                    <w:jc w:val="center"/>
                    <w:rPr>
                      <w:szCs w:val="21"/>
                    </w:rPr>
                  </w:pPr>
                  <w:r>
                    <w:rPr>
                      <w:szCs w:val="21"/>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8</w:t>
                  </w:r>
                </w:p>
              </w:tc>
              <w:tc>
                <w:tcPr>
                  <w:tcW w:w="838" w:type="pct"/>
                  <w:vMerge w:val="restar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生产废水</w:t>
                  </w:r>
                </w:p>
              </w:tc>
              <w:tc>
                <w:tcPr>
                  <w:tcW w:w="797" w:type="pct"/>
                  <w:vAlign w:val="center"/>
                </w:tcPr>
                <w:p>
                  <w:pPr>
                    <w:adjustRightInd w:val="0"/>
                    <w:snapToGrid w:val="0"/>
                    <w:jc w:val="center"/>
                    <w:rPr>
                      <w:szCs w:val="21"/>
                    </w:rPr>
                  </w:pPr>
                  <w:r>
                    <w:rPr>
                      <w:szCs w:val="21"/>
                    </w:rPr>
                    <w:t>COD</w:t>
                  </w:r>
                </w:p>
              </w:tc>
              <w:tc>
                <w:tcPr>
                  <w:tcW w:w="1088" w:type="pct"/>
                  <w:vAlign w:val="center"/>
                </w:tcPr>
                <w:p>
                  <w:pPr>
                    <w:adjustRightInd w:val="0"/>
                    <w:snapToGrid w:val="0"/>
                    <w:jc w:val="center"/>
                    <w:rPr>
                      <w:szCs w:val="21"/>
                    </w:rPr>
                  </w:pPr>
                  <w:r>
                    <w:rPr>
                      <w:rFonts w:eastAsia="等线"/>
                      <w:szCs w:val="21"/>
                    </w:rPr>
                    <w:t>195.5</w:t>
                  </w:r>
                </w:p>
              </w:tc>
              <w:tc>
                <w:tcPr>
                  <w:tcW w:w="892" w:type="pct"/>
                  <w:vAlign w:val="center"/>
                </w:tcPr>
                <w:p>
                  <w:pPr>
                    <w:adjustRightInd w:val="0"/>
                    <w:snapToGrid w:val="0"/>
                    <w:jc w:val="center"/>
                    <w:rPr>
                      <w:szCs w:val="21"/>
                    </w:rPr>
                  </w:pPr>
                  <w:r>
                    <w:rPr>
                      <w:rFonts w:eastAsia="等线"/>
                      <w:szCs w:val="21"/>
                    </w:rPr>
                    <w:t>0.0004</w:t>
                  </w:r>
                </w:p>
              </w:tc>
              <w:tc>
                <w:tcPr>
                  <w:tcW w:w="967" w:type="pct"/>
                  <w:vAlign w:val="center"/>
                </w:tcPr>
                <w:p>
                  <w:pPr>
                    <w:adjustRightInd w:val="0"/>
                    <w:snapToGrid w:val="0"/>
                    <w:jc w:val="center"/>
                    <w:rPr>
                      <w:szCs w:val="21"/>
                    </w:rPr>
                  </w:pPr>
                  <w:r>
                    <w:rPr>
                      <w:rFonts w:eastAsia="等线"/>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9</w:t>
                  </w:r>
                </w:p>
              </w:tc>
              <w:tc>
                <w:tcPr>
                  <w:tcW w:w="838" w:type="pct"/>
                  <w:vMerge w:val="continue"/>
                  <w:vAlign w:val="center"/>
                </w:tcPr>
                <w:p>
                  <w:pPr>
                    <w:pStyle w:val="51"/>
                    <w:snapToGrid w:val="0"/>
                    <w:jc w:val="center"/>
                    <w:rPr>
                      <w:rFonts w:ascii="Times New Roman" w:cs="Times New Roman"/>
                      <w:color w:val="auto"/>
                      <w:sz w:val="21"/>
                      <w:szCs w:val="21"/>
                    </w:rPr>
                  </w:pPr>
                </w:p>
              </w:tc>
              <w:tc>
                <w:tcPr>
                  <w:tcW w:w="797" w:type="pct"/>
                  <w:vAlign w:val="center"/>
                </w:tcPr>
                <w:p>
                  <w:pPr>
                    <w:adjustRightInd w:val="0"/>
                    <w:snapToGrid w:val="0"/>
                    <w:jc w:val="center"/>
                    <w:rPr>
                      <w:szCs w:val="21"/>
                    </w:rPr>
                  </w:pPr>
                  <w:r>
                    <w:rPr>
                      <w:szCs w:val="21"/>
                    </w:rPr>
                    <w:t>BOD</w:t>
                  </w:r>
                  <w:r>
                    <w:rPr>
                      <w:szCs w:val="21"/>
                      <w:vertAlign w:val="subscript"/>
                    </w:rPr>
                    <w:t>5</w:t>
                  </w:r>
                </w:p>
              </w:tc>
              <w:tc>
                <w:tcPr>
                  <w:tcW w:w="1088" w:type="pct"/>
                  <w:vAlign w:val="center"/>
                </w:tcPr>
                <w:p>
                  <w:pPr>
                    <w:adjustRightInd w:val="0"/>
                    <w:snapToGrid w:val="0"/>
                    <w:jc w:val="center"/>
                    <w:rPr>
                      <w:szCs w:val="21"/>
                    </w:rPr>
                  </w:pPr>
                  <w:r>
                    <w:rPr>
                      <w:rFonts w:eastAsia="等线"/>
                      <w:szCs w:val="21"/>
                    </w:rPr>
                    <w:t>93.5</w:t>
                  </w:r>
                </w:p>
              </w:tc>
              <w:tc>
                <w:tcPr>
                  <w:tcW w:w="892" w:type="pct"/>
                  <w:vAlign w:val="center"/>
                </w:tcPr>
                <w:p>
                  <w:pPr>
                    <w:adjustRightInd w:val="0"/>
                    <w:snapToGrid w:val="0"/>
                    <w:jc w:val="center"/>
                    <w:rPr>
                      <w:szCs w:val="21"/>
                    </w:rPr>
                  </w:pPr>
                  <w:r>
                    <w:rPr>
                      <w:rFonts w:eastAsia="等线"/>
                      <w:szCs w:val="21"/>
                    </w:rPr>
                    <w:t>0.0002</w:t>
                  </w:r>
                </w:p>
              </w:tc>
              <w:tc>
                <w:tcPr>
                  <w:tcW w:w="967" w:type="pct"/>
                  <w:vAlign w:val="center"/>
                </w:tcPr>
                <w:p>
                  <w:pPr>
                    <w:adjustRightInd w:val="0"/>
                    <w:snapToGrid w:val="0"/>
                    <w:jc w:val="center"/>
                    <w:rPr>
                      <w:szCs w:val="21"/>
                    </w:rPr>
                  </w:pPr>
                  <w:r>
                    <w:rPr>
                      <w:rFonts w:eastAsia="等线"/>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10</w:t>
                  </w:r>
                </w:p>
              </w:tc>
              <w:tc>
                <w:tcPr>
                  <w:tcW w:w="838" w:type="pct"/>
                  <w:vMerge w:val="continue"/>
                  <w:vAlign w:val="center"/>
                </w:tcPr>
                <w:p>
                  <w:pPr>
                    <w:pStyle w:val="51"/>
                    <w:snapToGrid w:val="0"/>
                    <w:jc w:val="center"/>
                    <w:rPr>
                      <w:rFonts w:ascii="Times New Roman" w:cs="Times New Roman"/>
                      <w:color w:val="auto"/>
                      <w:sz w:val="21"/>
                      <w:szCs w:val="21"/>
                    </w:rPr>
                  </w:pPr>
                </w:p>
              </w:tc>
              <w:tc>
                <w:tcPr>
                  <w:tcW w:w="797" w:type="pct"/>
                  <w:vAlign w:val="center"/>
                </w:tcPr>
                <w:p>
                  <w:pPr>
                    <w:adjustRightInd w:val="0"/>
                    <w:snapToGrid w:val="0"/>
                    <w:jc w:val="center"/>
                    <w:rPr>
                      <w:szCs w:val="21"/>
                    </w:rPr>
                  </w:pPr>
                  <w:r>
                    <w:rPr>
                      <w:szCs w:val="21"/>
                    </w:rPr>
                    <w:t>SS</w:t>
                  </w:r>
                </w:p>
              </w:tc>
              <w:tc>
                <w:tcPr>
                  <w:tcW w:w="1088" w:type="pct"/>
                  <w:vAlign w:val="center"/>
                </w:tcPr>
                <w:p>
                  <w:pPr>
                    <w:adjustRightInd w:val="0"/>
                    <w:snapToGrid w:val="0"/>
                    <w:jc w:val="center"/>
                    <w:rPr>
                      <w:szCs w:val="21"/>
                    </w:rPr>
                  </w:pPr>
                  <w:r>
                    <w:rPr>
                      <w:rFonts w:eastAsia="等线"/>
                      <w:szCs w:val="21"/>
                    </w:rPr>
                    <w:t>30</w:t>
                  </w:r>
                </w:p>
              </w:tc>
              <w:tc>
                <w:tcPr>
                  <w:tcW w:w="892" w:type="pct"/>
                  <w:vAlign w:val="center"/>
                </w:tcPr>
                <w:p>
                  <w:pPr>
                    <w:adjustRightInd w:val="0"/>
                    <w:snapToGrid w:val="0"/>
                    <w:jc w:val="center"/>
                    <w:rPr>
                      <w:szCs w:val="21"/>
                    </w:rPr>
                  </w:pPr>
                  <w:r>
                    <w:rPr>
                      <w:rFonts w:eastAsia="等线"/>
                      <w:szCs w:val="21"/>
                    </w:rPr>
                    <w:t>0.00008</w:t>
                  </w:r>
                </w:p>
              </w:tc>
              <w:tc>
                <w:tcPr>
                  <w:tcW w:w="967" w:type="pct"/>
                  <w:vAlign w:val="center"/>
                </w:tcPr>
                <w:p>
                  <w:pPr>
                    <w:adjustRightInd w:val="0"/>
                    <w:snapToGrid w:val="0"/>
                    <w:jc w:val="center"/>
                    <w:rPr>
                      <w:szCs w:val="21"/>
                    </w:rPr>
                  </w:pPr>
                  <w:r>
                    <w:rPr>
                      <w:rFonts w:eastAsia="等线"/>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11</w:t>
                  </w:r>
                </w:p>
              </w:tc>
              <w:tc>
                <w:tcPr>
                  <w:tcW w:w="838" w:type="pct"/>
                  <w:vMerge w:val="continue"/>
                  <w:vAlign w:val="center"/>
                </w:tcPr>
                <w:p>
                  <w:pPr>
                    <w:pStyle w:val="51"/>
                    <w:snapToGrid w:val="0"/>
                    <w:jc w:val="center"/>
                    <w:rPr>
                      <w:rFonts w:ascii="Times New Roman" w:cs="Times New Roman"/>
                      <w:color w:val="auto"/>
                      <w:sz w:val="21"/>
                      <w:szCs w:val="21"/>
                    </w:rPr>
                  </w:pPr>
                </w:p>
              </w:tc>
              <w:tc>
                <w:tcPr>
                  <w:tcW w:w="797" w:type="pct"/>
                  <w:vAlign w:val="center"/>
                </w:tcPr>
                <w:p>
                  <w:pPr>
                    <w:adjustRightInd w:val="0"/>
                    <w:snapToGrid w:val="0"/>
                    <w:jc w:val="center"/>
                    <w:rPr>
                      <w:szCs w:val="21"/>
                    </w:rPr>
                  </w:pPr>
                  <w:r>
                    <w:rPr>
                      <w:szCs w:val="21"/>
                    </w:rPr>
                    <w:t>氨氮</w:t>
                  </w:r>
                </w:p>
              </w:tc>
              <w:tc>
                <w:tcPr>
                  <w:tcW w:w="1088" w:type="pct"/>
                  <w:vAlign w:val="center"/>
                </w:tcPr>
                <w:p>
                  <w:pPr>
                    <w:adjustRightInd w:val="0"/>
                    <w:snapToGrid w:val="0"/>
                    <w:jc w:val="center"/>
                    <w:rPr>
                      <w:szCs w:val="21"/>
                    </w:rPr>
                  </w:pPr>
                  <w:r>
                    <w:rPr>
                      <w:rFonts w:eastAsia="等线"/>
                      <w:szCs w:val="21"/>
                    </w:rPr>
                    <w:t>38</w:t>
                  </w:r>
                </w:p>
              </w:tc>
              <w:tc>
                <w:tcPr>
                  <w:tcW w:w="892" w:type="pct"/>
                  <w:vAlign w:val="center"/>
                </w:tcPr>
                <w:p>
                  <w:pPr>
                    <w:adjustRightInd w:val="0"/>
                    <w:snapToGrid w:val="0"/>
                    <w:jc w:val="center"/>
                    <w:rPr>
                      <w:szCs w:val="21"/>
                    </w:rPr>
                  </w:pPr>
                  <w:r>
                    <w:rPr>
                      <w:rFonts w:eastAsia="等线"/>
                      <w:szCs w:val="21"/>
                    </w:rPr>
                    <w:t>0.0001</w:t>
                  </w:r>
                </w:p>
              </w:tc>
              <w:tc>
                <w:tcPr>
                  <w:tcW w:w="967" w:type="pct"/>
                  <w:vAlign w:val="center"/>
                </w:tcPr>
                <w:p>
                  <w:pPr>
                    <w:adjustRightInd w:val="0"/>
                    <w:snapToGrid w:val="0"/>
                    <w:jc w:val="center"/>
                    <w:rPr>
                      <w:szCs w:val="21"/>
                    </w:rPr>
                  </w:pPr>
                  <w:r>
                    <w:rPr>
                      <w:rFonts w:eastAsia="等线"/>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12</w:t>
                  </w:r>
                </w:p>
              </w:tc>
              <w:tc>
                <w:tcPr>
                  <w:tcW w:w="838" w:type="pct"/>
                  <w:vMerge w:val="continue"/>
                  <w:vAlign w:val="center"/>
                </w:tcPr>
                <w:p>
                  <w:pPr>
                    <w:pStyle w:val="51"/>
                    <w:snapToGrid w:val="0"/>
                    <w:jc w:val="center"/>
                    <w:rPr>
                      <w:rFonts w:ascii="Times New Roman" w:cs="Times New Roman"/>
                      <w:color w:val="auto"/>
                      <w:sz w:val="21"/>
                      <w:szCs w:val="21"/>
                    </w:rPr>
                  </w:pPr>
                </w:p>
              </w:tc>
              <w:tc>
                <w:tcPr>
                  <w:tcW w:w="797" w:type="pct"/>
                  <w:vAlign w:val="center"/>
                </w:tcPr>
                <w:p>
                  <w:pPr>
                    <w:adjustRightInd w:val="0"/>
                    <w:snapToGrid w:val="0"/>
                    <w:jc w:val="center"/>
                    <w:rPr>
                      <w:szCs w:val="21"/>
                    </w:rPr>
                  </w:pPr>
                  <w:r>
                    <w:rPr>
                      <w:szCs w:val="21"/>
                    </w:rPr>
                    <w:t>粪大肠菌群</w:t>
                  </w:r>
                </w:p>
              </w:tc>
              <w:tc>
                <w:tcPr>
                  <w:tcW w:w="1088" w:type="pct"/>
                  <w:vAlign w:val="center"/>
                </w:tcPr>
                <w:p>
                  <w:pPr>
                    <w:adjustRightInd w:val="0"/>
                    <w:snapToGrid w:val="0"/>
                    <w:jc w:val="center"/>
                    <w:rPr>
                      <w:szCs w:val="21"/>
                    </w:rPr>
                  </w:pPr>
                  <w:r>
                    <w:rPr>
                      <w:rFonts w:eastAsia="等线"/>
                      <w:szCs w:val="21"/>
                    </w:rPr>
                    <w:t>1000</w:t>
                  </w:r>
                </w:p>
              </w:tc>
              <w:tc>
                <w:tcPr>
                  <w:tcW w:w="892" w:type="pct"/>
                  <w:vAlign w:val="center"/>
                </w:tcPr>
                <w:p>
                  <w:pPr>
                    <w:adjustRightInd w:val="0"/>
                    <w:snapToGrid w:val="0"/>
                    <w:jc w:val="center"/>
                    <w:rPr>
                      <w:szCs w:val="21"/>
                    </w:rPr>
                  </w:pPr>
                  <w:r>
                    <w:rPr>
                      <w:rFonts w:eastAsia="等线"/>
                      <w:szCs w:val="21"/>
                    </w:rPr>
                    <w:t>0.0023</w:t>
                  </w:r>
                </w:p>
              </w:tc>
              <w:tc>
                <w:tcPr>
                  <w:tcW w:w="967" w:type="pct"/>
                  <w:vAlign w:val="center"/>
                </w:tcPr>
                <w:p>
                  <w:pPr>
                    <w:adjustRightInd w:val="0"/>
                    <w:snapToGrid w:val="0"/>
                    <w:jc w:val="center"/>
                    <w:rPr>
                      <w:szCs w:val="21"/>
                    </w:rPr>
                  </w:pPr>
                  <w:r>
                    <w:rPr>
                      <w:rFonts w:eastAsia="等线"/>
                      <w:szCs w:val="21"/>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13</w:t>
                  </w:r>
                </w:p>
              </w:tc>
              <w:tc>
                <w:tcPr>
                  <w:tcW w:w="838" w:type="pct"/>
                  <w:vMerge w:val="continue"/>
                  <w:vAlign w:val="center"/>
                </w:tcPr>
                <w:p>
                  <w:pPr>
                    <w:pStyle w:val="51"/>
                    <w:snapToGrid w:val="0"/>
                    <w:jc w:val="center"/>
                    <w:rPr>
                      <w:rFonts w:ascii="Times New Roman" w:cs="Times New Roman"/>
                      <w:color w:val="auto"/>
                      <w:sz w:val="21"/>
                      <w:szCs w:val="21"/>
                    </w:rPr>
                  </w:pPr>
                </w:p>
              </w:tc>
              <w:tc>
                <w:tcPr>
                  <w:tcW w:w="797" w:type="pct"/>
                  <w:vAlign w:val="center"/>
                </w:tcPr>
                <w:p>
                  <w:pPr>
                    <w:adjustRightInd w:val="0"/>
                    <w:snapToGrid w:val="0"/>
                    <w:jc w:val="center"/>
                    <w:rPr>
                      <w:szCs w:val="21"/>
                    </w:rPr>
                  </w:pPr>
                  <w:r>
                    <w:rPr>
                      <w:szCs w:val="21"/>
                    </w:rPr>
                    <w:t>总余氯</w:t>
                  </w:r>
                </w:p>
              </w:tc>
              <w:tc>
                <w:tcPr>
                  <w:tcW w:w="1088" w:type="pct"/>
                  <w:vAlign w:val="center"/>
                </w:tcPr>
                <w:p>
                  <w:pPr>
                    <w:adjustRightInd w:val="0"/>
                    <w:snapToGrid w:val="0"/>
                    <w:jc w:val="center"/>
                    <w:rPr>
                      <w:szCs w:val="21"/>
                    </w:rPr>
                  </w:pPr>
                  <w:r>
                    <w:rPr>
                      <w:rFonts w:eastAsia="等线"/>
                      <w:szCs w:val="21"/>
                    </w:rPr>
                    <w:t>2</w:t>
                  </w:r>
                </w:p>
              </w:tc>
              <w:tc>
                <w:tcPr>
                  <w:tcW w:w="892" w:type="pct"/>
                  <w:vAlign w:val="center"/>
                </w:tcPr>
                <w:p>
                  <w:pPr>
                    <w:adjustRightInd w:val="0"/>
                    <w:snapToGrid w:val="0"/>
                    <w:jc w:val="center"/>
                    <w:rPr>
                      <w:szCs w:val="21"/>
                    </w:rPr>
                  </w:pPr>
                  <w:r>
                    <w:rPr>
                      <w:rFonts w:eastAsia="等线"/>
                      <w:szCs w:val="21"/>
                    </w:rPr>
                    <w:t>0.000005</w:t>
                  </w:r>
                </w:p>
              </w:tc>
              <w:tc>
                <w:tcPr>
                  <w:tcW w:w="967" w:type="pct"/>
                  <w:vAlign w:val="center"/>
                </w:tcPr>
                <w:p>
                  <w:pPr>
                    <w:adjustRightInd w:val="0"/>
                    <w:snapToGrid w:val="0"/>
                    <w:jc w:val="center"/>
                    <w:rPr>
                      <w:szCs w:val="21"/>
                    </w:rPr>
                  </w:pPr>
                  <w:r>
                    <w:rPr>
                      <w:rFonts w:eastAsia="等线"/>
                      <w:szCs w:val="21"/>
                    </w:rPr>
                    <w:t>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6" w:type="pct"/>
                  <w:gridSpan w:val="2"/>
                  <w:vMerge w:val="restart"/>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全厂排放口合计</w:t>
                  </w:r>
                </w:p>
                <w:p>
                  <w:pPr>
                    <w:pStyle w:val="51"/>
                    <w:snapToGrid w:val="0"/>
                    <w:jc w:val="center"/>
                    <w:rPr>
                      <w:rFonts w:ascii="Times New Roman" w:cs="Times New Roman"/>
                      <w:color w:val="auto"/>
                      <w:sz w:val="21"/>
                      <w:szCs w:val="21"/>
                    </w:rPr>
                  </w:pPr>
                  <w:r>
                    <w:rPr>
                      <w:rFonts w:ascii="Times New Roman" w:cs="Times New Roman"/>
                      <w:color w:val="auto"/>
                      <w:sz w:val="21"/>
                      <w:szCs w:val="21"/>
                    </w:rPr>
                    <w:t>（3934.9m</w:t>
                  </w:r>
                  <w:r>
                    <w:rPr>
                      <w:rFonts w:ascii="Times New Roman" w:cs="Times New Roman"/>
                      <w:color w:val="auto"/>
                      <w:sz w:val="21"/>
                      <w:szCs w:val="21"/>
                      <w:vertAlign w:val="superscript"/>
                    </w:rPr>
                    <w:t>3</w:t>
                  </w:r>
                  <w:r>
                    <w:rPr>
                      <w:rFonts w:ascii="Times New Roman" w:cs="Times New Roman"/>
                      <w:color w:val="auto"/>
                      <w:sz w:val="21"/>
                      <w:szCs w:val="21"/>
                    </w:rPr>
                    <w:t>/a）</w:t>
                  </w:r>
                </w:p>
              </w:tc>
              <w:tc>
                <w:tcPr>
                  <w:tcW w:w="2777" w:type="pct"/>
                  <w:gridSpan w:val="3"/>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COD</w:t>
                  </w:r>
                </w:p>
              </w:tc>
              <w:tc>
                <w:tcPr>
                  <w:tcW w:w="967" w:type="pct"/>
                  <w:vAlign w:val="center"/>
                </w:tcPr>
                <w:p>
                  <w:pPr>
                    <w:adjustRightInd w:val="0"/>
                    <w:snapToGrid w:val="0"/>
                    <w:jc w:val="center"/>
                    <w:rPr>
                      <w:szCs w:val="21"/>
                    </w:rPr>
                  </w:pPr>
                  <w:r>
                    <w:rPr>
                      <w:rFonts w:eastAsia="等线"/>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6" w:type="pct"/>
                  <w:gridSpan w:val="2"/>
                  <w:vMerge w:val="continue"/>
                  <w:vAlign w:val="center"/>
                </w:tcPr>
                <w:p>
                  <w:pPr>
                    <w:pStyle w:val="51"/>
                    <w:snapToGrid w:val="0"/>
                    <w:jc w:val="center"/>
                    <w:rPr>
                      <w:rFonts w:ascii="Times New Roman" w:cs="Times New Roman"/>
                      <w:color w:val="auto"/>
                      <w:sz w:val="21"/>
                      <w:szCs w:val="21"/>
                    </w:rPr>
                  </w:pPr>
                </w:p>
              </w:tc>
              <w:tc>
                <w:tcPr>
                  <w:tcW w:w="2777" w:type="pct"/>
                  <w:gridSpan w:val="3"/>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BOD</w:t>
                  </w:r>
                  <w:r>
                    <w:rPr>
                      <w:rFonts w:ascii="Times New Roman" w:cs="Times New Roman"/>
                      <w:color w:val="auto"/>
                      <w:sz w:val="21"/>
                      <w:szCs w:val="21"/>
                      <w:vertAlign w:val="subscript"/>
                    </w:rPr>
                    <w:t>5</w:t>
                  </w:r>
                </w:p>
              </w:tc>
              <w:tc>
                <w:tcPr>
                  <w:tcW w:w="967" w:type="pct"/>
                  <w:vAlign w:val="center"/>
                </w:tcPr>
                <w:p>
                  <w:pPr>
                    <w:adjustRightInd w:val="0"/>
                    <w:snapToGrid w:val="0"/>
                    <w:jc w:val="center"/>
                    <w:rPr>
                      <w:szCs w:val="21"/>
                    </w:rPr>
                  </w:pPr>
                  <w:r>
                    <w:rPr>
                      <w:rFonts w:eastAsia="等线"/>
                      <w:szCs w:val="21"/>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6" w:type="pct"/>
                  <w:gridSpan w:val="2"/>
                  <w:vMerge w:val="continue"/>
                  <w:vAlign w:val="center"/>
                </w:tcPr>
                <w:p>
                  <w:pPr>
                    <w:pStyle w:val="51"/>
                    <w:snapToGrid w:val="0"/>
                    <w:jc w:val="center"/>
                    <w:rPr>
                      <w:rFonts w:ascii="Times New Roman" w:cs="Times New Roman"/>
                      <w:color w:val="auto"/>
                      <w:sz w:val="21"/>
                      <w:szCs w:val="21"/>
                    </w:rPr>
                  </w:pPr>
                </w:p>
              </w:tc>
              <w:tc>
                <w:tcPr>
                  <w:tcW w:w="2777" w:type="pct"/>
                  <w:gridSpan w:val="3"/>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SS</w:t>
                  </w:r>
                </w:p>
              </w:tc>
              <w:tc>
                <w:tcPr>
                  <w:tcW w:w="967" w:type="pct"/>
                  <w:vAlign w:val="center"/>
                </w:tcPr>
                <w:p>
                  <w:pPr>
                    <w:adjustRightInd w:val="0"/>
                    <w:snapToGrid w:val="0"/>
                    <w:jc w:val="center"/>
                    <w:rPr>
                      <w:szCs w:val="21"/>
                    </w:rPr>
                  </w:pPr>
                  <w:r>
                    <w:rPr>
                      <w:rFonts w:eastAsia="等线"/>
                      <w:szCs w:val="21"/>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6" w:type="pct"/>
                  <w:gridSpan w:val="2"/>
                  <w:vMerge w:val="continue"/>
                  <w:vAlign w:val="center"/>
                </w:tcPr>
                <w:p>
                  <w:pPr>
                    <w:pStyle w:val="51"/>
                    <w:snapToGrid w:val="0"/>
                    <w:jc w:val="center"/>
                    <w:rPr>
                      <w:rFonts w:ascii="Times New Roman" w:cs="Times New Roman"/>
                      <w:color w:val="auto"/>
                      <w:sz w:val="21"/>
                      <w:szCs w:val="21"/>
                    </w:rPr>
                  </w:pPr>
                </w:p>
              </w:tc>
              <w:tc>
                <w:tcPr>
                  <w:tcW w:w="2777" w:type="pct"/>
                  <w:gridSpan w:val="3"/>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氨氮</w:t>
                  </w:r>
                </w:p>
              </w:tc>
              <w:tc>
                <w:tcPr>
                  <w:tcW w:w="967" w:type="pct"/>
                  <w:vAlign w:val="center"/>
                </w:tcPr>
                <w:p>
                  <w:pPr>
                    <w:adjustRightInd w:val="0"/>
                    <w:snapToGrid w:val="0"/>
                    <w:jc w:val="center"/>
                    <w:rPr>
                      <w:szCs w:val="21"/>
                    </w:rPr>
                  </w:pPr>
                  <w:r>
                    <w:rPr>
                      <w:rFonts w:eastAsia="等线"/>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6" w:type="pct"/>
                  <w:gridSpan w:val="2"/>
                  <w:vMerge w:val="continue"/>
                  <w:vAlign w:val="center"/>
                </w:tcPr>
                <w:p>
                  <w:pPr>
                    <w:pStyle w:val="51"/>
                    <w:snapToGrid w:val="0"/>
                    <w:jc w:val="center"/>
                    <w:rPr>
                      <w:rFonts w:ascii="Times New Roman" w:cs="Times New Roman"/>
                      <w:color w:val="auto"/>
                      <w:sz w:val="21"/>
                      <w:szCs w:val="21"/>
                    </w:rPr>
                  </w:pPr>
                </w:p>
              </w:tc>
              <w:tc>
                <w:tcPr>
                  <w:tcW w:w="2777" w:type="pct"/>
                  <w:gridSpan w:val="3"/>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TP</w:t>
                  </w:r>
                </w:p>
              </w:tc>
              <w:tc>
                <w:tcPr>
                  <w:tcW w:w="967" w:type="pct"/>
                  <w:vAlign w:val="center"/>
                </w:tcPr>
                <w:p>
                  <w:pPr>
                    <w:adjustRightInd w:val="0"/>
                    <w:snapToGrid w:val="0"/>
                    <w:jc w:val="center"/>
                    <w:rPr>
                      <w:szCs w:val="21"/>
                    </w:rPr>
                  </w:pPr>
                  <w:r>
                    <w:rPr>
                      <w:rFonts w:eastAsia="等线"/>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6" w:type="pct"/>
                  <w:gridSpan w:val="2"/>
                  <w:vMerge w:val="continue"/>
                  <w:vAlign w:val="center"/>
                </w:tcPr>
                <w:p>
                  <w:pPr>
                    <w:pStyle w:val="51"/>
                    <w:snapToGrid w:val="0"/>
                    <w:jc w:val="center"/>
                    <w:rPr>
                      <w:rFonts w:ascii="Times New Roman" w:cs="Times New Roman"/>
                      <w:color w:val="auto"/>
                      <w:sz w:val="21"/>
                      <w:szCs w:val="21"/>
                    </w:rPr>
                  </w:pPr>
                </w:p>
              </w:tc>
              <w:tc>
                <w:tcPr>
                  <w:tcW w:w="2777" w:type="pct"/>
                  <w:gridSpan w:val="3"/>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TN</w:t>
                  </w:r>
                </w:p>
              </w:tc>
              <w:tc>
                <w:tcPr>
                  <w:tcW w:w="967" w:type="pct"/>
                  <w:vAlign w:val="center"/>
                </w:tcPr>
                <w:p>
                  <w:pPr>
                    <w:adjustRightInd w:val="0"/>
                    <w:snapToGrid w:val="0"/>
                    <w:jc w:val="center"/>
                    <w:rPr>
                      <w:szCs w:val="21"/>
                    </w:rPr>
                  </w:pPr>
                  <w:r>
                    <w:rPr>
                      <w:rFonts w:eastAsia="等线"/>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6" w:type="pct"/>
                  <w:gridSpan w:val="2"/>
                  <w:vMerge w:val="continue"/>
                  <w:vAlign w:val="center"/>
                </w:tcPr>
                <w:p>
                  <w:pPr>
                    <w:pStyle w:val="51"/>
                    <w:snapToGrid w:val="0"/>
                    <w:jc w:val="center"/>
                    <w:rPr>
                      <w:rFonts w:ascii="Times New Roman" w:cs="Times New Roman"/>
                      <w:color w:val="auto"/>
                      <w:sz w:val="21"/>
                      <w:szCs w:val="21"/>
                    </w:rPr>
                  </w:pPr>
                </w:p>
              </w:tc>
              <w:tc>
                <w:tcPr>
                  <w:tcW w:w="2777" w:type="pct"/>
                  <w:gridSpan w:val="3"/>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动植物油</w:t>
                  </w:r>
                </w:p>
              </w:tc>
              <w:tc>
                <w:tcPr>
                  <w:tcW w:w="967" w:type="pct"/>
                  <w:vAlign w:val="center"/>
                </w:tcPr>
                <w:p>
                  <w:pPr>
                    <w:adjustRightInd w:val="0"/>
                    <w:snapToGrid w:val="0"/>
                    <w:jc w:val="center"/>
                    <w:rPr>
                      <w:szCs w:val="21"/>
                    </w:rPr>
                  </w:pPr>
                  <w:r>
                    <w:rPr>
                      <w:rFonts w:eastAsia="等线"/>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6" w:type="pct"/>
                  <w:gridSpan w:val="2"/>
                  <w:vMerge w:val="continue"/>
                  <w:vAlign w:val="center"/>
                </w:tcPr>
                <w:p>
                  <w:pPr>
                    <w:pStyle w:val="51"/>
                    <w:snapToGrid w:val="0"/>
                    <w:jc w:val="center"/>
                    <w:rPr>
                      <w:rFonts w:ascii="Times New Roman" w:cs="Times New Roman"/>
                      <w:color w:val="auto"/>
                      <w:sz w:val="21"/>
                      <w:szCs w:val="21"/>
                    </w:rPr>
                  </w:pPr>
                </w:p>
              </w:tc>
              <w:tc>
                <w:tcPr>
                  <w:tcW w:w="2777" w:type="pct"/>
                  <w:gridSpan w:val="3"/>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粪大肠菌群</w:t>
                  </w:r>
                </w:p>
              </w:tc>
              <w:tc>
                <w:tcPr>
                  <w:tcW w:w="967" w:type="pct"/>
                  <w:vAlign w:val="center"/>
                </w:tcPr>
                <w:p>
                  <w:pPr>
                    <w:adjustRightInd w:val="0"/>
                    <w:snapToGrid w:val="0"/>
                    <w:jc w:val="center"/>
                    <w:rPr>
                      <w:szCs w:val="21"/>
                    </w:rPr>
                  </w:pPr>
                  <w:r>
                    <w:rPr>
                      <w:rFonts w:eastAsia="等线"/>
                      <w:szCs w:val="21"/>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6" w:type="pct"/>
                  <w:gridSpan w:val="2"/>
                  <w:vMerge w:val="continue"/>
                  <w:vAlign w:val="center"/>
                </w:tcPr>
                <w:p>
                  <w:pPr>
                    <w:pStyle w:val="51"/>
                    <w:snapToGrid w:val="0"/>
                    <w:jc w:val="center"/>
                    <w:rPr>
                      <w:rFonts w:ascii="Times New Roman" w:cs="Times New Roman"/>
                      <w:color w:val="auto"/>
                      <w:sz w:val="21"/>
                      <w:szCs w:val="21"/>
                    </w:rPr>
                  </w:pPr>
                </w:p>
              </w:tc>
              <w:tc>
                <w:tcPr>
                  <w:tcW w:w="2777" w:type="pct"/>
                  <w:gridSpan w:val="3"/>
                  <w:vAlign w:val="center"/>
                </w:tcPr>
                <w:p>
                  <w:pPr>
                    <w:pStyle w:val="51"/>
                    <w:snapToGrid w:val="0"/>
                    <w:jc w:val="center"/>
                    <w:rPr>
                      <w:rFonts w:ascii="Times New Roman" w:cs="Times New Roman"/>
                      <w:color w:val="auto"/>
                      <w:sz w:val="21"/>
                      <w:szCs w:val="21"/>
                    </w:rPr>
                  </w:pPr>
                  <w:r>
                    <w:rPr>
                      <w:rFonts w:ascii="Times New Roman" w:cs="Times New Roman"/>
                      <w:color w:val="auto"/>
                      <w:sz w:val="21"/>
                      <w:szCs w:val="21"/>
                    </w:rPr>
                    <w:t>总余氯</w:t>
                  </w:r>
                </w:p>
              </w:tc>
              <w:tc>
                <w:tcPr>
                  <w:tcW w:w="967" w:type="pct"/>
                  <w:vAlign w:val="center"/>
                </w:tcPr>
                <w:p>
                  <w:pPr>
                    <w:adjustRightInd w:val="0"/>
                    <w:snapToGrid w:val="0"/>
                    <w:jc w:val="center"/>
                    <w:rPr>
                      <w:szCs w:val="21"/>
                    </w:rPr>
                  </w:pPr>
                  <w:r>
                    <w:rPr>
                      <w:rFonts w:eastAsia="等线"/>
                      <w:szCs w:val="21"/>
                    </w:rPr>
                    <w:t>0.0017</w:t>
                  </w:r>
                </w:p>
              </w:tc>
            </w:tr>
          </w:tbl>
          <w:p>
            <w:pPr>
              <w:adjustRightInd w:val="0"/>
              <w:snapToGrid w:val="0"/>
              <w:spacing w:line="360" w:lineRule="auto"/>
              <w:ind w:firstLine="480" w:firstLineChars="200"/>
              <w:rPr>
                <w:bCs/>
                <w:sz w:val="24"/>
              </w:rPr>
            </w:pPr>
            <w:r>
              <w:rPr>
                <w:bCs/>
                <w:sz w:val="24"/>
              </w:rPr>
              <w:t>（3）</w:t>
            </w:r>
            <w:r>
              <w:rPr>
                <w:sz w:val="24"/>
              </w:rPr>
              <w:t>可行性分析</w:t>
            </w:r>
          </w:p>
          <w:p>
            <w:pPr>
              <w:adjustRightInd w:val="0"/>
              <w:snapToGrid w:val="0"/>
              <w:spacing w:line="360" w:lineRule="auto"/>
              <w:ind w:firstLine="480" w:firstLineChars="200"/>
              <w:rPr>
                <w:bCs/>
                <w:sz w:val="24"/>
              </w:rPr>
            </w:pPr>
            <w:r>
              <w:rPr>
                <w:rFonts w:hint="eastAsia" w:ascii="宋体" w:hAnsi="宋体" w:cs="宋体"/>
                <w:bCs/>
                <w:sz w:val="24"/>
              </w:rPr>
              <w:t>①</w:t>
            </w:r>
            <w:r>
              <w:rPr>
                <w:bCs/>
                <w:sz w:val="24"/>
              </w:rPr>
              <w:t>生活污水可行性分析</w:t>
            </w:r>
          </w:p>
          <w:p>
            <w:pPr>
              <w:adjustRightInd w:val="0"/>
              <w:snapToGrid w:val="0"/>
              <w:spacing w:line="360" w:lineRule="auto"/>
              <w:ind w:firstLine="480" w:firstLineChars="200"/>
              <w:rPr>
                <w:bCs/>
                <w:sz w:val="24"/>
              </w:rPr>
            </w:pPr>
            <w:r>
              <w:rPr>
                <w:bCs/>
                <w:sz w:val="24"/>
              </w:rPr>
              <w:t>生活污水、餐厅废水采用化粪池、隔油池处理，是常规成熟稳定的工艺，处理后达到周至县污水处理厂接管标准，在技术上是完全可行的，可以做到稳定运行及达标排放。</w:t>
            </w:r>
          </w:p>
          <w:p>
            <w:pPr>
              <w:adjustRightInd w:val="0"/>
              <w:snapToGrid w:val="0"/>
              <w:spacing w:line="360" w:lineRule="auto"/>
              <w:ind w:firstLine="480" w:firstLineChars="200"/>
              <w:rPr>
                <w:bCs/>
                <w:sz w:val="24"/>
              </w:rPr>
            </w:pPr>
            <w:r>
              <w:rPr>
                <w:rFonts w:hint="eastAsia" w:ascii="宋体" w:hAnsi="宋体" w:cs="宋体"/>
                <w:bCs/>
                <w:sz w:val="24"/>
              </w:rPr>
              <w:t>②</w:t>
            </w:r>
            <w:r>
              <w:rPr>
                <w:bCs/>
                <w:sz w:val="24"/>
              </w:rPr>
              <w:t>污水处理站可行性</w:t>
            </w:r>
          </w:p>
          <w:p>
            <w:pPr>
              <w:adjustRightInd w:val="0"/>
              <w:snapToGrid w:val="0"/>
              <w:spacing w:line="360" w:lineRule="auto"/>
              <w:ind w:firstLine="480" w:firstLineChars="200"/>
              <w:rPr>
                <w:bCs/>
                <w:sz w:val="24"/>
              </w:rPr>
            </w:pPr>
            <w:r>
              <w:rPr>
                <w:bCs/>
                <w:sz w:val="24"/>
              </w:rPr>
              <w:t>混凝沉淀：混凝法的基本原理是将混凝剂投入废水中。因为凝结剂是电解质，它在废水中形成胶束，这些胶束被废水中的胶体物质电中和，形成堆积物。混凝沉淀不仅能去除废水中粒径为10-3~10-6mm的悬浮微粒，还能去除色度、油脂、微生物、氮磷、重金属和有机物等丰富的营养物质。次氯酸钠消毒：项目采用次氯酸钠对生产废水进行消毒。</w:t>
            </w:r>
          </w:p>
          <w:p>
            <w:pPr>
              <w:adjustRightInd w:val="0"/>
              <w:snapToGrid w:val="0"/>
              <w:spacing w:line="360" w:lineRule="auto"/>
              <w:ind w:firstLine="480" w:firstLineChars="200"/>
              <w:rPr>
                <w:bCs/>
                <w:sz w:val="24"/>
              </w:rPr>
            </w:pPr>
            <w:r>
              <w:rPr>
                <w:bCs/>
                <w:sz w:val="24"/>
              </w:rPr>
              <w:t>废水处理工艺参照《医院污水处理工程技术规范》（HJ2029-2013）中非传染病医院污水，处理</w:t>
            </w:r>
            <w:r>
              <w:rPr>
                <w:rFonts w:hint="eastAsia"/>
                <w:bCs/>
                <w:sz w:val="24"/>
              </w:rPr>
              <w:t>出水</w:t>
            </w:r>
            <w:r>
              <w:rPr>
                <w:bCs/>
                <w:sz w:val="24"/>
              </w:rPr>
              <w:t>排入终端已建有正常运行的二级污水处理厂的城镇污水管网时，可采用一级强化+消毒工艺。</w:t>
            </w:r>
            <w:r>
              <w:rPr>
                <w:rFonts w:hint="eastAsia"/>
                <w:bCs/>
                <w:sz w:val="24"/>
              </w:rPr>
              <w:t>本项目</w:t>
            </w:r>
            <w:r>
              <w:rPr>
                <w:bCs/>
                <w:sz w:val="24"/>
              </w:rPr>
              <w:t>生产废水经“</w:t>
            </w:r>
            <w:r>
              <w:rPr>
                <w:rFonts w:hint="eastAsia"/>
                <w:bCs/>
                <w:sz w:val="24"/>
              </w:rPr>
              <w:t>混凝沉淀+消毒</w:t>
            </w:r>
            <w:r>
              <w:rPr>
                <w:bCs/>
                <w:sz w:val="24"/>
              </w:rPr>
              <w:t>”</w:t>
            </w:r>
            <w:r>
              <w:rPr>
                <w:rFonts w:hint="eastAsia"/>
                <w:bCs/>
                <w:sz w:val="24"/>
              </w:rPr>
              <w:t>处理</w:t>
            </w:r>
            <w:r>
              <w:rPr>
                <w:bCs/>
                <w:sz w:val="24"/>
              </w:rPr>
              <w:t>后拉运至周至县污水处理厂，周至县污水处理厂为</w:t>
            </w:r>
            <w:r>
              <w:rPr>
                <w:rFonts w:hint="eastAsia"/>
                <w:bCs/>
                <w:sz w:val="24"/>
              </w:rPr>
              <w:t>二级</w:t>
            </w:r>
            <w:r>
              <w:rPr>
                <w:bCs/>
                <w:sz w:val="24"/>
              </w:rPr>
              <w:t>污水处理厂</w:t>
            </w:r>
            <w:r>
              <w:rPr>
                <w:rFonts w:hint="eastAsia"/>
                <w:bCs/>
                <w:sz w:val="24"/>
              </w:rPr>
              <w:t>。</w:t>
            </w:r>
          </w:p>
          <w:p>
            <w:pPr>
              <w:adjustRightInd w:val="0"/>
              <w:snapToGrid w:val="0"/>
              <w:spacing w:line="360" w:lineRule="auto"/>
              <w:ind w:firstLine="480" w:firstLineChars="200"/>
              <w:rPr>
                <w:bCs/>
                <w:sz w:val="24"/>
              </w:rPr>
            </w:pPr>
            <w:r>
              <w:rPr>
                <w:bCs/>
                <w:sz w:val="24"/>
              </w:rPr>
              <w:t>综上，本项目使用混凝沉淀+消毒工艺可行。</w:t>
            </w:r>
          </w:p>
          <w:p>
            <w:pPr>
              <w:adjustRightInd w:val="0"/>
              <w:snapToGrid w:val="0"/>
              <w:spacing w:line="360" w:lineRule="auto"/>
              <w:ind w:firstLine="480" w:firstLineChars="200"/>
              <w:rPr>
                <w:bCs/>
                <w:sz w:val="24"/>
              </w:rPr>
            </w:pPr>
            <w:r>
              <w:rPr>
                <w:bCs/>
                <w:sz w:val="24"/>
              </w:rPr>
              <w:fldChar w:fldCharType="begin"/>
            </w:r>
            <w:r>
              <w:rPr>
                <w:bCs/>
                <w:sz w:val="24"/>
              </w:rPr>
              <w:instrText xml:space="preserve"> = 3 \* GB3 </w:instrText>
            </w:r>
            <w:r>
              <w:rPr>
                <w:bCs/>
                <w:sz w:val="24"/>
              </w:rPr>
              <w:fldChar w:fldCharType="separate"/>
            </w:r>
            <w:r>
              <w:rPr>
                <w:rFonts w:hint="eastAsia" w:ascii="宋体" w:hAnsi="宋体" w:cs="宋体"/>
                <w:bCs/>
                <w:sz w:val="24"/>
              </w:rPr>
              <w:t>③</w:t>
            </w:r>
            <w:r>
              <w:rPr>
                <w:bCs/>
                <w:sz w:val="24"/>
              </w:rPr>
              <w:fldChar w:fldCharType="end"/>
            </w:r>
            <w:r>
              <w:rPr>
                <w:bCs/>
                <w:sz w:val="24"/>
              </w:rPr>
              <w:t>污水</w:t>
            </w:r>
            <w:r>
              <w:rPr>
                <w:rFonts w:hint="eastAsia"/>
                <w:bCs/>
                <w:sz w:val="24"/>
              </w:rPr>
              <w:t>拉运至</w:t>
            </w:r>
            <w:r>
              <w:rPr>
                <w:bCs/>
                <w:sz w:val="24"/>
              </w:rPr>
              <w:t>周至县污水处理厂可行性分析</w:t>
            </w:r>
          </w:p>
          <w:p>
            <w:pPr>
              <w:adjustRightInd w:val="0"/>
              <w:snapToGrid w:val="0"/>
              <w:spacing w:line="360" w:lineRule="auto"/>
              <w:ind w:firstLine="480" w:firstLineChars="200"/>
              <w:rPr>
                <w:bCs/>
                <w:sz w:val="24"/>
              </w:rPr>
            </w:pPr>
            <w:r>
              <w:rPr>
                <w:bCs/>
                <w:sz w:val="24"/>
              </w:rPr>
              <w:t>本项目生活污水和生产废水处理后，定期拉运至周至县污水处理厂处理，对环境影响较小。</w:t>
            </w:r>
          </w:p>
          <w:p>
            <w:pPr>
              <w:adjustRightInd w:val="0"/>
              <w:snapToGrid w:val="0"/>
              <w:spacing w:line="360" w:lineRule="auto"/>
              <w:ind w:firstLine="480" w:firstLineChars="200"/>
              <w:rPr>
                <w:bCs/>
                <w:sz w:val="24"/>
              </w:rPr>
            </w:pPr>
            <w:r>
              <w:rPr>
                <w:sz w:val="24"/>
              </w:rPr>
              <w:t>周至县污水处理厂位于周至县二曲街办镇东村4组，实际处理能力为26000m</w:t>
            </w:r>
            <w:r>
              <w:rPr>
                <w:sz w:val="24"/>
                <w:vertAlign w:val="superscript"/>
              </w:rPr>
              <w:t>3</w:t>
            </w:r>
            <w:r>
              <w:rPr>
                <w:sz w:val="24"/>
              </w:rPr>
              <w:t>/d，污水处理工艺为A</w:t>
            </w:r>
            <w:r>
              <w:rPr>
                <w:sz w:val="24"/>
                <w:vertAlign w:val="superscript"/>
              </w:rPr>
              <w:t>2</w:t>
            </w:r>
            <w:r>
              <w:rPr>
                <w:sz w:val="24"/>
              </w:rPr>
              <w:t>/O+生物膜（MBBR）+V型滤池+次氯酸钠消毒，水污染物排放执行《陕西省黄河流域污水综合排放标准》（GB18918-2002）表1污水处理厂水污染物排放浓度限值A标准。</w:t>
            </w:r>
          </w:p>
          <w:p>
            <w:pPr>
              <w:adjustRightInd w:val="0"/>
              <w:snapToGrid w:val="0"/>
              <w:spacing w:line="360" w:lineRule="auto"/>
              <w:ind w:firstLine="480" w:firstLineChars="200"/>
              <w:rPr>
                <w:bCs/>
                <w:sz w:val="24"/>
              </w:rPr>
            </w:pPr>
            <w:r>
              <w:rPr>
                <w:bCs/>
                <w:sz w:val="24"/>
              </w:rPr>
              <w:t>项目产生废水主要为生活污水和生产废水，产生量为10.77m</w:t>
            </w:r>
            <w:r>
              <w:rPr>
                <w:bCs/>
                <w:sz w:val="24"/>
                <w:vertAlign w:val="superscript"/>
              </w:rPr>
              <w:t>3</w:t>
            </w:r>
            <w:r>
              <w:rPr>
                <w:bCs/>
                <w:sz w:val="24"/>
              </w:rPr>
              <w:t>/d，3934.9m</w:t>
            </w:r>
            <w:r>
              <w:rPr>
                <w:bCs/>
                <w:sz w:val="24"/>
                <w:vertAlign w:val="superscript"/>
              </w:rPr>
              <w:t>3</w:t>
            </w:r>
            <w:r>
              <w:rPr>
                <w:bCs/>
                <w:sz w:val="24"/>
                <w:lang w:val="zh-TW"/>
              </w:rPr>
              <w:t>/a</w:t>
            </w:r>
            <w:r>
              <w:rPr>
                <w:bCs/>
                <w:sz w:val="24"/>
              </w:rPr>
              <w:t>。对于污水处理厂的处理规模，本项目废水产生量较小，且水质简单，排入周至县污水处理厂冲击较小。生活污水处理后水质要求达到《污水综合排放标准》（GB8978-1996）中三级标准和《污水排入城镇下水道水质标准》（GB/T31962-2015）B级标准；生产废水经处理后达到</w:t>
            </w:r>
            <w:r>
              <w:rPr>
                <w:sz w:val="24"/>
              </w:rPr>
              <w:t>《医疗机构水污染物排放标准》（GB18466-2005）中表2预处理标准和</w:t>
            </w:r>
            <w:r>
              <w:rPr>
                <w:bCs/>
                <w:sz w:val="24"/>
              </w:rPr>
              <w:t>《污水排入城镇下水道水质标准》（GB/T31962-2015）中B级标准，满足周至县污水处理厂进水水质要求。因此，周至县污水处理厂可接纳本项目废水，本项目废水依托处理方式可行。</w:t>
            </w:r>
          </w:p>
          <w:p>
            <w:pPr>
              <w:adjustRightInd w:val="0"/>
              <w:snapToGrid w:val="0"/>
              <w:spacing w:line="360" w:lineRule="auto"/>
              <w:ind w:firstLine="480" w:firstLineChars="200"/>
              <w:rPr>
                <w:bCs/>
                <w:sz w:val="24"/>
              </w:rPr>
            </w:pPr>
            <w:r>
              <w:rPr>
                <w:bCs/>
                <w:sz w:val="24"/>
              </w:rPr>
              <w:t>（4）废水排放口、监测计划</w:t>
            </w:r>
          </w:p>
          <w:p>
            <w:pPr>
              <w:adjustRightInd w:val="0"/>
              <w:snapToGrid w:val="0"/>
              <w:spacing w:line="360" w:lineRule="auto"/>
              <w:ind w:firstLine="480" w:firstLineChars="200"/>
              <w:rPr>
                <w:sz w:val="24"/>
              </w:rPr>
            </w:pPr>
            <w:r>
              <w:rPr>
                <w:bCs/>
                <w:sz w:val="24"/>
              </w:rPr>
              <w:t>建设单位需委托有资质的监测单位进行监测，监控废水排放及环保设施的运转状况。</w:t>
            </w:r>
            <w:r>
              <w:rPr>
                <w:sz w:val="24"/>
              </w:rPr>
              <w:t>本项目按照《排污单位自行监测技术指南总则》（HJ819-2017）中规定的要求进行自行监测，废水排放监测要求见表4-5。</w:t>
            </w:r>
          </w:p>
          <w:p>
            <w:pPr>
              <w:jc w:val="center"/>
              <w:outlineLvl w:val="1"/>
              <w:rPr>
                <w:b/>
                <w:bCs/>
                <w:kern w:val="0"/>
                <w:sz w:val="24"/>
              </w:rPr>
            </w:pPr>
            <w:r>
              <w:rPr>
                <w:b/>
                <w:bCs/>
                <w:kern w:val="0"/>
                <w:sz w:val="24"/>
              </w:rPr>
              <w:t>表4-5运营期废水监测计划</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286"/>
              <w:gridCol w:w="1000"/>
              <w:gridCol w:w="713"/>
              <w:gridCol w:w="903"/>
              <w:gridCol w:w="2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pct"/>
                  <w:vAlign w:val="center"/>
                </w:tcPr>
                <w:p>
                  <w:pPr>
                    <w:jc w:val="center"/>
                    <w:rPr>
                      <w:b/>
                      <w:snapToGrid w:val="0"/>
                      <w:kern w:val="0"/>
                      <w:szCs w:val="21"/>
                    </w:rPr>
                  </w:pPr>
                  <w:r>
                    <w:rPr>
                      <w:b/>
                      <w:snapToGrid w:val="0"/>
                      <w:kern w:val="0"/>
                      <w:szCs w:val="21"/>
                    </w:rPr>
                    <w:t>污染源名称</w:t>
                  </w:r>
                </w:p>
              </w:tc>
              <w:tc>
                <w:tcPr>
                  <w:tcW w:w="810" w:type="pct"/>
                  <w:vAlign w:val="center"/>
                </w:tcPr>
                <w:p>
                  <w:pPr>
                    <w:jc w:val="center"/>
                    <w:rPr>
                      <w:b/>
                      <w:snapToGrid w:val="0"/>
                      <w:kern w:val="0"/>
                      <w:szCs w:val="21"/>
                    </w:rPr>
                  </w:pPr>
                  <w:r>
                    <w:rPr>
                      <w:b/>
                      <w:snapToGrid w:val="0"/>
                      <w:kern w:val="0"/>
                      <w:szCs w:val="21"/>
                    </w:rPr>
                    <w:t>监测项目</w:t>
                  </w:r>
                </w:p>
              </w:tc>
              <w:tc>
                <w:tcPr>
                  <w:tcW w:w="630" w:type="pct"/>
                  <w:vAlign w:val="center"/>
                </w:tcPr>
                <w:p>
                  <w:pPr>
                    <w:jc w:val="center"/>
                    <w:rPr>
                      <w:b/>
                      <w:snapToGrid w:val="0"/>
                      <w:kern w:val="0"/>
                      <w:szCs w:val="21"/>
                    </w:rPr>
                  </w:pPr>
                  <w:r>
                    <w:rPr>
                      <w:b/>
                      <w:snapToGrid w:val="0"/>
                      <w:kern w:val="0"/>
                      <w:szCs w:val="21"/>
                    </w:rPr>
                    <w:t>监测点位置</w:t>
                  </w:r>
                </w:p>
              </w:tc>
              <w:tc>
                <w:tcPr>
                  <w:tcW w:w="449" w:type="pct"/>
                  <w:vAlign w:val="center"/>
                </w:tcPr>
                <w:p>
                  <w:pPr>
                    <w:jc w:val="center"/>
                    <w:rPr>
                      <w:b/>
                      <w:snapToGrid w:val="0"/>
                      <w:kern w:val="0"/>
                      <w:szCs w:val="21"/>
                    </w:rPr>
                  </w:pPr>
                  <w:r>
                    <w:rPr>
                      <w:b/>
                      <w:snapToGrid w:val="0"/>
                      <w:kern w:val="0"/>
                      <w:szCs w:val="21"/>
                    </w:rPr>
                    <w:t>监测点数</w:t>
                  </w:r>
                </w:p>
              </w:tc>
              <w:tc>
                <w:tcPr>
                  <w:tcW w:w="569" w:type="pct"/>
                  <w:vAlign w:val="center"/>
                </w:tcPr>
                <w:p>
                  <w:pPr>
                    <w:jc w:val="center"/>
                    <w:rPr>
                      <w:b/>
                      <w:snapToGrid w:val="0"/>
                      <w:kern w:val="0"/>
                      <w:szCs w:val="21"/>
                    </w:rPr>
                  </w:pPr>
                  <w:r>
                    <w:rPr>
                      <w:b/>
                      <w:snapToGrid w:val="0"/>
                      <w:kern w:val="0"/>
                      <w:szCs w:val="21"/>
                    </w:rPr>
                    <w:t>监测频率</w:t>
                  </w:r>
                </w:p>
              </w:tc>
              <w:tc>
                <w:tcPr>
                  <w:tcW w:w="1819" w:type="pct"/>
                  <w:vAlign w:val="center"/>
                </w:tcPr>
                <w:p>
                  <w:pPr>
                    <w:jc w:val="center"/>
                    <w:rPr>
                      <w:b/>
                      <w:snapToGrid w:val="0"/>
                      <w:kern w:val="0"/>
                      <w:szCs w:val="21"/>
                    </w:rPr>
                  </w:pPr>
                  <w:r>
                    <w:rPr>
                      <w:b/>
                      <w:snapToGrid w:val="0"/>
                      <w:kern w:val="0"/>
                      <w:szCs w:val="21"/>
                    </w:rPr>
                    <w:t>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pct"/>
                  <w:vAlign w:val="center"/>
                </w:tcPr>
                <w:p>
                  <w:pPr>
                    <w:jc w:val="center"/>
                    <w:rPr>
                      <w:snapToGrid w:val="0"/>
                      <w:kern w:val="0"/>
                      <w:szCs w:val="21"/>
                    </w:rPr>
                  </w:pPr>
                  <w:r>
                    <w:rPr>
                      <w:snapToGrid w:val="0"/>
                      <w:kern w:val="0"/>
                      <w:szCs w:val="21"/>
                    </w:rPr>
                    <w:t>生活污水</w:t>
                  </w:r>
                </w:p>
              </w:tc>
              <w:tc>
                <w:tcPr>
                  <w:tcW w:w="810" w:type="pct"/>
                  <w:vAlign w:val="center"/>
                </w:tcPr>
                <w:p>
                  <w:pPr>
                    <w:spacing w:line="240" w:lineRule="exact"/>
                    <w:rPr>
                      <w:szCs w:val="21"/>
                    </w:rPr>
                  </w:pPr>
                  <w:r>
                    <w:rPr>
                      <w:bCs/>
                      <w:szCs w:val="21"/>
                    </w:rPr>
                    <w:t>pH、COD、BOD</w:t>
                  </w:r>
                  <w:r>
                    <w:rPr>
                      <w:bCs/>
                      <w:szCs w:val="21"/>
                      <w:vertAlign w:val="subscript"/>
                    </w:rPr>
                    <w:t>5</w:t>
                  </w:r>
                  <w:r>
                    <w:rPr>
                      <w:bCs/>
                      <w:szCs w:val="21"/>
                    </w:rPr>
                    <w:t>、SS、氨氮、总磷、总氮、动植物油</w:t>
                  </w:r>
                </w:p>
              </w:tc>
              <w:tc>
                <w:tcPr>
                  <w:tcW w:w="630" w:type="pct"/>
                  <w:vAlign w:val="center"/>
                </w:tcPr>
                <w:p>
                  <w:pPr>
                    <w:jc w:val="center"/>
                    <w:rPr>
                      <w:snapToGrid w:val="0"/>
                      <w:kern w:val="0"/>
                      <w:szCs w:val="21"/>
                    </w:rPr>
                  </w:pPr>
                  <w:r>
                    <w:rPr>
                      <w:snapToGrid w:val="0"/>
                      <w:kern w:val="0"/>
                      <w:szCs w:val="21"/>
                    </w:rPr>
                    <w:t>化粪池出口</w:t>
                  </w:r>
                </w:p>
              </w:tc>
              <w:tc>
                <w:tcPr>
                  <w:tcW w:w="449" w:type="pct"/>
                  <w:vAlign w:val="center"/>
                </w:tcPr>
                <w:p>
                  <w:pPr>
                    <w:jc w:val="center"/>
                    <w:rPr>
                      <w:snapToGrid w:val="0"/>
                      <w:kern w:val="0"/>
                      <w:szCs w:val="21"/>
                    </w:rPr>
                  </w:pPr>
                  <w:r>
                    <w:rPr>
                      <w:snapToGrid w:val="0"/>
                      <w:kern w:val="0"/>
                      <w:szCs w:val="21"/>
                    </w:rPr>
                    <w:t>1</w:t>
                  </w:r>
                </w:p>
              </w:tc>
              <w:tc>
                <w:tcPr>
                  <w:tcW w:w="569" w:type="pct"/>
                  <w:vAlign w:val="center"/>
                </w:tcPr>
                <w:p>
                  <w:pPr>
                    <w:spacing w:line="240" w:lineRule="exact"/>
                    <w:jc w:val="center"/>
                    <w:rPr>
                      <w:szCs w:val="21"/>
                    </w:rPr>
                  </w:pPr>
                  <w:r>
                    <w:rPr>
                      <w:szCs w:val="21"/>
                    </w:rPr>
                    <w:t>1次/季度</w:t>
                  </w:r>
                </w:p>
              </w:tc>
              <w:tc>
                <w:tcPr>
                  <w:tcW w:w="1819" w:type="pct"/>
                  <w:vAlign w:val="center"/>
                </w:tcPr>
                <w:p>
                  <w:pPr>
                    <w:jc w:val="center"/>
                    <w:rPr>
                      <w:snapToGrid w:val="0"/>
                      <w:kern w:val="0"/>
                      <w:szCs w:val="21"/>
                    </w:rPr>
                  </w:pPr>
                  <w:r>
                    <w:rPr>
                      <w:bCs/>
                      <w:snapToGrid w:val="0"/>
                      <w:kern w:val="0"/>
                      <w:szCs w:val="21"/>
                    </w:rPr>
                    <w:t>《污水综合排放标准》（GB8978-1996）中三级标准和《污水排入城镇下水道水质标准》（GB/T31962-2015）B级标准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pct"/>
                  <w:vAlign w:val="center"/>
                </w:tcPr>
                <w:p>
                  <w:pPr>
                    <w:jc w:val="center"/>
                    <w:rPr>
                      <w:snapToGrid w:val="0"/>
                      <w:kern w:val="0"/>
                      <w:szCs w:val="21"/>
                    </w:rPr>
                  </w:pPr>
                  <w:r>
                    <w:rPr>
                      <w:snapToGrid w:val="0"/>
                      <w:kern w:val="0"/>
                      <w:szCs w:val="21"/>
                    </w:rPr>
                    <w:t>生产废水</w:t>
                  </w:r>
                </w:p>
              </w:tc>
              <w:tc>
                <w:tcPr>
                  <w:tcW w:w="810" w:type="pct"/>
                  <w:vAlign w:val="center"/>
                </w:tcPr>
                <w:p>
                  <w:pPr>
                    <w:spacing w:line="240" w:lineRule="exact"/>
                    <w:rPr>
                      <w:szCs w:val="21"/>
                    </w:rPr>
                  </w:pPr>
                  <w:r>
                    <w:rPr>
                      <w:bCs/>
                      <w:szCs w:val="21"/>
                    </w:rPr>
                    <w:t>pH、COD、BOD</w:t>
                  </w:r>
                  <w:r>
                    <w:rPr>
                      <w:bCs/>
                      <w:szCs w:val="21"/>
                      <w:vertAlign w:val="subscript"/>
                    </w:rPr>
                    <w:t>5</w:t>
                  </w:r>
                  <w:r>
                    <w:rPr>
                      <w:bCs/>
                      <w:szCs w:val="21"/>
                    </w:rPr>
                    <w:t>、SS、NH</w:t>
                  </w:r>
                  <w:r>
                    <w:rPr>
                      <w:bCs/>
                      <w:szCs w:val="21"/>
                      <w:vertAlign w:val="subscript"/>
                    </w:rPr>
                    <w:t>3</w:t>
                  </w:r>
                  <w:r>
                    <w:rPr>
                      <w:bCs/>
                      <w:szCs w:val="21"/>
                    </w:rPr>
                    <w:t>-N、粪大肠菌群数、总余氯</w:t>
                  </w:r>
                </w:p>
              </w:tc>
              <w:tc>
                <w:tcPr>
                  <w:tcW w:w="630" w:type="pct"/>
                  <w:vAlign w:val="center"/>
                </w:tcPr>
                <w:p>
                  <w:pPr>
                    <w:jc w:val="center"/>
                    <w:rPr>
                      <w:snapToGrid w:val="0"/>
                      <w:kern w:val="0"/>
                      <w:szCs w:val="21"/>
                    </w:rPr>
                  </w:pPr>
                  <w:r>
                    <w:rPr>
                      <w:snapToGrid w:val="0"/>
                      <w:kern w:val="0"/>
                      <w:szCs w:val="21"/>
                    </w:rPr>
                    <w:t>生产废水排放口</w:t>
                  </w:r>
                </w:p>
              </w:tc>
              <w:tc>
                <w:tcPr>
                  <w:tcW w:w="449" w:type="pct"/>
                  <w:vAlign w:val="center"/>
                </w:tcPr>
                <w:p>
                  <w:pPr>
                    <w:jc w:val="center"/>
                    <w:rPr>
                      <w:snapToGrid w:val="0"/>
                      <w:kern w:val="0"/>
                      <w:szCs w:val="21"/>
                    </w:rPr>
                  </w:pPr>
                  <w:r>
                    <w:rPr>
                      <w:snapToGrid w:val="0"/>
                      <w:kern w:val="0"/>
                      <w:szCs w:val="21"/>
                    </w:rPr>
                    <w:t>1</w:t>
                  </w:r>
                </w:p>
              </w:tc>
              <w:tc>
                <w:tcPr>
                  <w:tcW w:w="569" w:type="pct"/>
                  <w:vAlign w:val="center"/>
                </w:tcPr>
                <w:p>
                  <w:pPr>
                    <w:spacing w:line="240" w:lineRule="exact"/>
                    <w:jc w:val="center"/>
                    <w:rPr>
                      <w:szCs w:val="21"/>
                    </w:rPr>
                  </w:pPr>
                  <w:r>
                    <w:rPr>
                      <w:szCs w:val="21"/>
                    </w:rPr>
                    <w:t>1次/季度</w:t>
                  </w:r>
                </w:p>
              </w:tc>
              <w:tc>
                <w:tcPr>
                  <w:tcW w:w="1819" w:type="pct"/>
                  <w:vAlign w:val="center"/>
                </w:tcPr>
                <w:p>
                  <w:pPr>
                    <w:jc w:val="center"/>
                    <w:rPr>
                      <w:bCs/>
                      <w:snapToGrid w:val="0"/>
                      <w:kern w:val="0"/>
                      <w:szCs w:val="21"/>
                    </w:rPr>
                  </w:pPr>
                  <w:r>
                    <w:rPr>
                      <w:bCs/>
                      <w:snapToGrid w:val="0"/>
                      <w:kern w:val="0"/>
                      <w:szCs w:val="21"/>
                    </w:rPr>
                    <w:t>《医疗机构水污染物排放标准》（GB18466-2005）中表2预处理标准和《污水排入城镇下水道水质标准》（GB/T31962-2015）中B级标准</w:t>
                  </w:r>
                </w:p>
              </w:tc>
            </w:tr>
          </w:tbl>
          <w:p>
            <w:pPr>
              <w:adjustRightInd w:val="0"/>
              <w:snapToGrid w:val="0"/>
              <w:spacing w:line="360" w:lineRule="auto"/>
              <w:ind w:firstLine="482" w:firstLineChars="200"/>
              <w:rPr>
                <w:b/>
                <w:bCs/>
                <w:sz w:val="24"/>
              </w:rPr>
            </w:pPr>
            <w:r>
              <w:rPr>
                <w:b/>
                <w:bCs/>
                <w:sz w:val="24"/>
              </w:rPr>
              <w:t>3、噪声</w:t>
            </w:r>
          </w:p>
          <w:p>
            <w:pPr>
              <w:adjustRightInd w:val="0"/>
              <w:snapToGrid w:val="0"/>
              <w:spacing w:line="360" w:lineRule="auto"/>
              <w:ind w:firstLine="480" w:firstLineChars="200"/>
              <w:rPr>
                <w:bCs/>
                <w:sz w:val="24"/>
              </w:rPr>
            </w:pPr>
            <w:r>
              <w:rPr>
                <w:bCs/>
                <w:sz w:val="24"/>
              </w:rPr>
              <w:t>（1）噪声源强及降噪措施</w:t>
            </w:r>
          </w:p>
          <w:p>
            <w:pPr>
              <w:adjustRightInd w:val="0"/>
              <w:snapToGrid w:val="0"/>
              <w:spacing w:line="360" w:lineRule="auto"/>
              <w:ind w:firstLine="480" w:firstLineChars="200"/>
              <w:rPr>
                <w:bCs/>
                <w:sz w:val="24"/>
              </w:rPr>
            </w:pPr>
            <w:r>
              <w:rPr>
                <w:bCs/>
                <w:sz w:val="24"/>
              </w:rPr>
              <w:t>本项目运营期间主要噪声源为设备运行噪声主要设备噪声源见表4-6。</w:t>
            </w:r>
          </w:p>
          <w:p>
            <w:pPr>
              <w:pStyle w:val="45"/>
              <w:rPr>
                <w:color w:val="auto"/>
                <w:sz w:val="24"/>
                <w:szCs w:val="24"/>
              </w:rPr>
            </w:pPr>
            <w:r>
              <w:rPr>
                <w:color w:val="auto"/>
                <w:sz w:val="24"/>
                <w:szCs w:val="24"/>
              </w:rPr>
              <w:t>表4-6项目噪声源一览表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076"/>
              <w:gridCol w:w="1076"/>
              <w:gridCol w:w="1076"/>
              <w:gridCol w:w="1164"/>
              <w:gridCol w:w="737"/>
              <w:gridCol w:w="975"/>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421" w:type="pct"/>
                  <w:vAlign w:val="center"/>
                </w:tcPr>
                <w:p>
                  <w:pPr>
                    <w:pStyle w:val="61"/>
                    <w:rPr>
                      <w:b/>
                      <w:bCs/>
                      <w:sz w:val="21"/>
                      <w:szCs w:val="21"/>
                    </w:rPr>
                  </w:pPr>
                  <w:r>
                    <w:rPr>
                      <w:b/>
                      <w:bCs/>
                      <w:sz w:val="21"/>
                      <w:szCs w:val="21"/>
                    </w:rPr>
                    <w:t>序号</w:t>
                  </w:r>
                </w:p>
              </w:tc>
              <w:tc>
                <w:tcPr>
                  <w:tcW w:w="678" w:type="pct"/>
                  <w:vAlign w:val="center"/>
                </w:tcPr>
                <w:p>
                  <w:pPr>
                    <w:pStyle w:val="61"/>
                    <w:rPr>
                      <w:b/>
                      <w:bCs/>
                      <w:sz w:val="21"/>
                      <w:szCs w:val="21"/>
                    </w:rPr>
                  </w:pPr>
                  <w:r>
                    <w:rPr>
                      <w:b/>
                      <w:bCs/>
                      <w:sz w:val="21"/>
                      <w:szCs w:val="21"/>
                    </w:rPr>
                    <w:t>噪声源</w:t>
                  </w:r>
                </w:p>
              </w:tc>
              <w:tc>
                <w:tcPr>
                  <w:tcW w:w="678" w:type="pct"/>
                  <w:vAlign w:val="center"/>
                </w:tcPr>
                <w:p>
                  <w:pPr>
                    <w:pStyle w:val="61"/>
                    <w:rPr>
                      <w:b/>
                      <w:bCs/>
                      <w:sz w:val="21"/>
                      <w:szCs w:val="21"/>
                    </w:rPr>
                  </w:pPr>
                  <w:r>
                    <w:rPr>
                      <w:rFonts w:hint="eastAsia"/>
                      <w:b/>
                      <w:bCs/>
                      <w:sz w:val="21"/>
                      <w:szCs w:val="21"/>
                    </w:rPr>
                    <w:t>声源</w:t>
                  </w:r>
                  <w:r>
                    <w:rPr>
                      <w:b/>
                      <w:bCs/>
                      <w:sz w:val="21"/>
                      <w:szCs w:val="21"/>
                    </w:rPr>
                    <w:t>类型</w:t>
                  </w:r>
                </w:p>
              </w:tc>
              <w:tc>
                <w:tcPr>
                  <w:tcW w:w="678" w:type="pct"/>
                  <w:vAlign w:val="center"/>
                </w:tcPr>
                <w:p>
                  <w:pPr>
                    <w:pStyle w:val="61"/>
                    <w:rPr>
                      <w:b/>
                      <w:bCs/>
                      <w:sz w:val="21"/>
                      <w:szCs w:val="21"/>
                    </w:rPr>
                  </w:pPr>
                  <w:r>
                    <w:rPr>
                      <w:b/>
                      <w:bCs/>
                      <w:sz w:val="21"/>
                      <w:szCs w:val="21"/>
                    </w:rPr>
                    <w:t>数量</w:t>
                  </w:r>
                </w:p>
                <w:p>
                  <w:pPr>
                    <w:pStyle w:val="61"/>
                    <w:jc w:val="both"/>
                    <w:rPr>
                      <w:b/>
                      <w:bCs/>
                      <w:sz w:val="21"/>
                      <w:szCs w:val="21"/>
                    </w:rPr>
                  </w:pPr>
                </w:p>
              </w:tc>
              <w:tc>
                <w:tcPr>
                  <w:tcW w:w="733" w:type="pct"/>
                  <w:vAlign w:val="center"/>
                </w:tcPr>
                <w:p>
                  <w:pPr>
                    <w:pStyle w:val="61"/>
                    <w:rPr>
                      <w:b/>
                      <w:bCs/>
                      <w:sz w:val="21"/>
                      <w:szCs w:val="21"/>
                    </w:rPr>
                  </w:pPr>
                  <w:r>
                    <w:rPr>
                      <w:b/>
                      <w:bCs/>
                      <w:sz w:val="21"/>
                      <w:szCs w:val="21"/>
                    </w:rPr>
                    <w:t>单台设备噪声dB(A)</w:t>
                  </w:r>
                </w:p>
              </w:tc>
              <w:tc>
                <w:tcPr>
                  <w:tcW w:w="464" w:type="pct"/>
                  <w:vAlign w:val="center"/>
                </w:tcPr>
                <w:p>
                  <w:pPr>
                    <w:pStyle w:val="61"/>
                    <w:rPr>
                      <w:b/>
                      <w:bCs/>
                      <w:sz w:val="21"/>
                      <w:szCs w:val="21"/>
                    </w:rPr>
                  </w:pPr>
                  <w:r>
                    <w:rPr>
                      <w:b/>
                      <w:bCs/>
                      <w:sz w:val="21"/>
                      <w:szCs w:val="21"/>
                    </w:rPr>
                    <w:t>持续时间</w:t>
                  </w:r>
                </w:p>
              </w:tc>
              <w:tc>
                <w:tcPr>
                  <w:tcW w:w="614" w:type="pct"/>
                  <w:vAlign w:val="center"/>
                </w:tcPr>
                <w:p>
                  <w:pPr>
                    <w:pStyle w:val="65"/>
                    <w:adjustRightInd w:val="0"/>
                    <w:snapToGrid w:val="0"/>
                    <w:jc w:val="center"/>
                    <w:rPr>
                      <w:rFonts w:ascii="Times New Roman" w:hAnsi="Times New Roman" w:cs="Times New Roman"/>
                      <w:b/>
                      <w:bCs/>
                      <w:szCs w:val="21"/>
                    </w:rPr>
                  </w:pPr>
                  <w:r>
                    <w:rPr>
                      <w:rFonts w:ascii="Times New Roman" w:hAnsi="Times New Roman" w:cs="Times New Roman"/>
                      <w:b/>
                      <w:bCs/>
                      <w:szCs w:val="21"/>
                    </w:rPr>
                    <w:t>降噪措施</w:t>
                  </w:r>
                </w:p>
              </w:tc>
              <w:tc>
                <w:tcPr>
                  <w:tcW w:w="733" w:type="pct"/>
                  <w:vAlign w:val="center"/>
                </w:tcPr>
                <w:p>
                  <w:pPr>
                    <w:pStyle w:val="61"/>
                    <w:rPr>
                      <w:b/>
                      <w:bCs/>
                      <w:sz w:val="21"/>
                      <w:szCs w:val="21"/>
                    </w:rPr>
                  </w:pPr>
                  <w:r>
                    <w:rPr>
                      <w:b/>
                      <w:bCs/>
                      <w:sz w:val="21"/>
                      <w:szCs w:val="21"/>
                    </w:rPr>
                    <w:t>处理后噪声强度dB(A)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Align w:val="center"/>
                </w:tcPr>
                <w:p>
                  <w:pPr>
                    <w:pStyle w:val="61"/>
                    <w:rPr>
                      <w:sz w:val="21"/>
                      <w:szCs w:val="21"/>
                    </w:rPr>
                  </w:pPr>
                  <w:r>
                    <w:rPr>
                      <w:sz w:val="21"/>
                      <w:szCs w:val="21"/>
                    </w:rPr>
                    <w:t>1</w:t>
                  </w:r>
                </w:p>
              </w:tc>
              <w:tc>
                <w:tcPr>
                  <w:tcW w:w="678" w:type="pct"/>
                  <w:vAlign w:val="center"/>
                </w:tcPr>
                <w:p>
                  <w:pPr>
                    <w:adjustRightInd w:val="0"/>
                    <w:snapToGrid w:val="0"/>
                    <w:jc w:val="center"/>
                    <w:rPr>
                      <w:szCs w:val="21"/>
                    </w:rPr>
                  </w:pPr>
                  <w:r>
                    <w:rPr>
                      <w:szCs w:val="21"/>
                    </w:rPr>
                    <w:t>火化炉</w:t>
                  </w:r>
                </w:p>
              </w:tc>
              <w:tc>
                <w:tcPr>
                  <w:tcW w:w="678" w:type="pct"/>
                  <w:vAlign w:val="center"/>
                </w:tcPr>
                <w:p>
                  <w:pPr>
                    <w:adjustRightInd w:val="0"/>
                    <w:snapToGrid w:val="0"/>
                    <w:jc w:val="center"/>
                    <w:rPr>
                      <w:szCs w:val="21"/>
                    </w:rPr>
                  </w:pPr>
                  <w:r>
                    <w:rPr>
                      <w:rFonts w:hint="eastAsia"/>
                      <w:szCs w:val="21"/>
                    </w:rPr>
                    <w:t>室内</w:t>
                  </w:r>
                  <w:r>
                    <w:rPr>
                      <w:szCs w:val="21"/>
                    </w:rPr>
                    <w:t>声源</w:t>
                  </w:r>
                </w:p>
              </w:tc>
              <w:tc>
                <w:tcPr>
                  <w:tcW w:w="678" w:type="pct"/>
                  <w:vAlign w:val="center"/>
                </w:tcPr>
                <w:p>
                  <w:pPr>
                    <w:adjustRightInd w:val="0"/>
                    <w:snapToGrid w:val="0"/>
                    <w:jc w:val="center"/>
                    <w:rPr>
                      <w:szCs w:val="21"/>
                    </w:rPr>
                  </w:pPr>
                  <w:r>
                    <w:rPr>
                      <w:szCs w:val="21"/>
                    </w:rPr>
                    <w:t>10台</w:t>
                  </w:r>
                </w:p>
              </w:tc>
              <w:tc>
                <w:tcPr>
                  <w:tcW w:w="733" w:type="pct"/>
                  <w:vAlign w:val="center"/>
                </w:tcPr>
                <w:p>
                  <w:pPr>
                    <w:adjustRightInd w:val="0"/>
                    <w:snapToGrid w:val="0"/>
                    <w:jc w:val="center"/>
                    <w:rPr>
                      <w:szCs w:val="21"/>
                    </w:rPr>
                  </w:pPr>
                  <w:r>
                    <w:rPr>
                      <w:szCs w:val="21"/>
                    </w:rPr>
                    <w:t>100</w:t>
                  </w:r>
                </w:p>
              </w:tc>
              <w:tc>
                <w:tcPr>
                  <w:tcW w:w="464" w:type="pct"/>
                  <w:vAlign w:val="center"/>
                </w:tcPr>
                <w:p>
                  <w:pPr>
                    <w:adjustRightInd w:val="0"/>
                    <w:snapToGrid w:val="0"/>
                    <w:jc w:val="center"/>
                    <w:rPr>
                      <w:szCs w:val="21"/>
                    </w:rPr>
                  </w:pPr>
                  <w:r>
                    <w:rPr>
                      <w:szCs w:val="21"/>
                    </w:rPr>
                    <w:t>间歇运行</w:t>
                  </w:r>
                </w:p>
              </w:tc>
              <w:tc>
                <w:tcPr>
                  <w:tcW w:w="614" w:type="pct"/>
                  <w:vMerge w:val="restart"/>
                  <w:vAlign w:val="center"/>
                </w:tcPr>
                <w:p>
                  <w:pPr>
                    <w:pStyle w:val="61"/>
                    <w:rPr>
                      <w:sz w:val="21"/>
                      <w:szCs w:val="21"/>
                    </w:rPr>
                  </w:pPr>
                  <w:r>
                    <w:rPr>
                      <w:sz w:val="21"/>
                      <w:szCs w:val="21"/>
                    </w:rPr>
                    <w:t>选用低噪声设备，基础减振、厂房隔声，炉体设备自带消声器</w:t>
                  </w:r>
                </w:p>
              </w:tc>
              <w:tc>
                <w:tcPr>
                  <w:tcW w:w="733" w:type="pct"/>
                  <w:vAlign w:val="center"/>
                </w:tcPr>
                <w:p>
                  <w:pPr>
                    <w:pStyle w:val="61"/>
                    <w:rPr>
                      <w:sz w:val="21"/>
                      <w:szCs w:val="21"/>
                    </w:rPr>
                  </w:pPr>
                  <w:r>
                    <w:rPr>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Align w:val="center"/>
                </w:tcPr>
                <w:p>
                  <w:pPr>
                    <w:pStyle w:val="61"/>
                    <w:rPr>
                      <w:sz w:val="21"/>
                      <w:szCs w:val="21"/>
                    </w:rPr>
                  </w:pPr>
                  <w:r>
                    <w:rPr>
                      <w:sz w:val="21"/>
                      <w:szCs w:val="21"/>
                    </w:rPr>
                    <w:t>2</w:t>
                  </w:r>
                </w:p>
              </w:tc>
              <w:tc>
                <w:tcPr>
                  <w:tcW w:w="678" w:type="pct"/>
                  <w:vAlign w:val="center"/>
                </w:tcPr>
                <w:p>
                  <w:pPr>
                    <w:adjustRightInd w:val="0"/>
                    <w:snapToGrid w:val="0"/>
                    <w:jc w:val="center"/>
                    <w:rPr>
                      <w:szCs w:val="21"/>
                    </w:rPr>
                  </w:pPr>
                  <w:r>
                    <w:rPr>
                      <w:szCs w:val="21"/>
                    </w:rPr>
                    <w:t>焚烧炉</w:t>
                  </w:r>
                </w:p>
              </w:tc>
              <w:tc>
                <w:tcPr>
                  <w:tcW w:w="678" w:type="pct"/>
                  <w:vAlign w:val="center"/>
                </w:tcPr>
                <w:p>
                  <w:pPr>
                    <w:adjustRightInd w:val="0"/>
                    <w:snapToGrid w:val="0"/>
                    <w:jc w:val="center"/>
                    <w:rPr>
                      <w:szCs w:val="21"/>
                    </w:rPr>
                  </w:pPr>
                  <w:r>
                    <w:rPr>
                      <w:rFonts w:hint="eastAsia"/>
                      <w:szCs w:val="21"/>
                    </w:rPr>
                    <w:t>室内</w:t>
                  </w:r>
                  <w:r>
                    <w:rPr>
                      <w:szCs w:val="21"/>
                    </w:rPr>
                    <w:t>声源</w:t>
                  </w:r>
                </w:p>
              </w:tc>
              <w:tc>
                <w:tcPr>
                  <w:tcW w:w="678" w:type="pct"/>
                  <w:vAlign w:val="center"/>
                </w:tcPr>
                <w:p>
                  <w:pPr>
                    <w:adjustRightInd w:val="0"/>
                    <w:snapToGrid w:val="0"/>
                    <w:jc w:val="center"/>
                    <w:rPr>
                      <w:szCs w:val="21"/>
                    </w:rPr>
                  </w:pPr>
                  <w:r>
                    <w:rPr>
                      <w:szCs w:val="21"/>
                    </w:rPr>
                    <w:t>11台</w:t>
                  </w:r>
                </w:p>
              </w:tc>
              <w:tc>
                <w:tcPr>
                  <w:tcW w:w="733" w:type="pct"/>
                  <w:vAlign w:val="center"/>
                </w:tcPr>
                <w:p>
                  <w:pPr>
                    <w:adjustRightInd w:val="0"/>
                    <w:snapToGrid w:val="0"/>
                    <w:jc w:val="center"/>
                    <w:rPr>
                      <w:szCs w:val="21"/>
                    </w:rPr>
                  </w:pPr>
                  <w:r>
                    <w:rPr>
                      <w:szCs w:val="21"/>
                    </w:rPr>
                    <w:t>100</w:t>
                  </w:r>
                </w:p>
              </w:tc>
              <w:tc>
                <w:tcPr>
                  <w:tcW w:w="464" w:type="pct"/>
                  <w:vAlign w:val="center"/>
                </w:tcPr>
                <w:p>
                  <w:pPr>
                    <w:adjustRightInd w:val="0"/>
                    <w:snapToGrid w:val="0"/>
                    <w:jc w:val="center"/>
                    <w:rPr>
                      <w:szCs w:val="21"/>
                    </w:rPr>
                  </w:pPr>
                  <w:r>
                    <w:rPr>
                      <w:szCs w:val="21"/>
                    </w:rPr>
                    <w:t>间歇运行</w:t>
                  </w:r>
                </w:p>
              </w:tc>
              <w:tc>
                <w:tcPr>
                  <w:tcW w:w="614" w:type="pct"/>
                  <w:vMerge w:val="continue"/>
                  <w:vAlign w:val="center"/>
                </w:tcPr>
                <w:p>
                  <w:pPr>
                    <w:pStyle w:val="61"/>
                    <w:rPr>
                      <w:sz w:val="21"/>
                      <w:szCs w:val="21"/>
                    </w:rPr>
                  </w:pPr>
                </w:p>
              </w:tc>
              <w:tc>
                <w:tcPr>
                  <w:tcW w:w="733" w:type="pct"/>
                  <w:vAlign w:val="center"/>
                </w:tcPr>
                <w:p>
                  <w:pPr>
                    <w:widowControl/>
                    <w:adjustRightInd w:val="0"/>
                    <w:snapToGrid w:val="0"/>
                    <w:jc w:val="center"/>
                    <w:rPr>
                      <w:kern w:val="0"/>
                      <w:szCs w:val="21"/>
                    </w:rPr>
                  </w:pPr>
                  <w:r>
                    <w:rPr>
                      <w:kern w:val="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Align w:val="center"/>
                </w:tcPr>
                <w:p>
                  <w:pPr>
                    <w:pStyle w:val="61"/>
                    <w:rPr>
                      <w:sz w:val="21"/>
                      <w:szCs w:val="21"/>
                    </w:rPr>
                  </w:pPr>
                  <w:r>
                    <w:rPr>
                      <w:sz w:val="21"/>
                      <w:szCs w:val="21"/>
                    </w:rPr>
                    <w:t>3</w:t>
                  </w:r>
                </w:p>
              </w:tc>
              <w:tc>
                <w:tcPr>
                  <w:tcW w:w="678" w:type="pct"/>
                  <w:vAlign w:val="center"/>
                </w:tcPr>
                <w:p>
                  <w:pPr>
                    <w:adjustRightInd w:val="0"/>
                    <w:snapToGrid w:val="0"/>
                    <w:jc w:val="center"/>
                    <w:rPr>
                      <w:szCs w:val="21"/>
                    </w:rPr>
                  </w:pPr>
                  <w:r>
                    <w:rPr>
                      <w:szCs w:val="21"/>
                    </w:rPr>
                    <w:t>祭祀炉</w:t>
                  </w:r>
                </w:p>
              </w:tc>
              <w:tc>
                <w:tcPr>
                  <w:tcW w:w="678" w:type="pct"/>
                  <w:vAlign w:val="center"/>
                </w:tcPr>
                <w:p>
                  <w:pPr>
                    <w:adjustRightInd w:val="0"/>
                    <w:snapToGrid w:val="0"/>
                    <w:jc w:val="center"/>
                    <w:rPr>
                      <w:szCs w:val="21"/>
                    </w:rPr>
                  </w:pPr>
                  <w:r>
                    <w:rPr>
                      <w:rFonts w:hint="eastAsia"/>
                      <w:szCs w:val="21"/>
                    </w:rPr>
                    <w:t>室内</w:t>
                  </w:r>
                  <w:r>
                    <w:rPr>
                      <w:szCs w:val="21"/>
                    </w:rPr>
                    <w:t>声源</w:t>
                  </w:r>
                </w:p>
              </w:tc>
              <w:tc>
                <w:tcPr>
                  <w:tcW w:w="678" w:type="pct"/>
                  <w:vAlign w:val="center"/>
                </w:tcPr>
                <w:p>
                  <w:pPr>
                    <w:adjustRightInd w:val="0"/>
                    <w:snapToGrid w:val="0"/>
                    <w:jc w:val="center"/>
                    <w:rPr>
                      <w:szCs w:val="21"/>
                    </w:rPr>
                  </w:pPr>
                  <w:r>
                    <w:rPr>
                      <w:szCs w:val="21"/>
                    </w:rPr>
                    <w:t>1台</w:t>
                  </w:r>
                </w:p>
              </w:tc>
              <w:tc>
                <w:tcPr>
                  <w:tcW w:w="733" w:type="pct"/>
                  <w:vAlign w:val="center"/>
                </w:tcPr>
                <w:p>
                  <w:pPr>
                    <w:adjustRightInd w:val="0"/>
                    <w:snapToGrid w:val="0"/>
                    <w:jc w:val="center"/>
                    <w:rPr>
                      <w:szCs w:val="21"/>
                    </w:rPr>
                  </w:pPr>
                  <w:r>
                    <w:rPr>
                      <w:szCs w:val="21"/>
                    </w:rPr>
                    <w:t>90</w:t>
                  </w:r>
                </w:p>
              </w:tc>
              <w:tc>
                <w:tcPr>
                  <w:tcW w:w="464" w:type="pct"/>
                  <w:vAlign w:val="center"/>
                </w:tcPr>
                <w:p>
                  <w:pPr>
                    <w:adjustRightInd w:val="0"/>
                    <w:snapToGrid w:val="0"/>
                    <w:jc w:val="center"/>
                    <w:rPr>
                      <w:szCs w:val="21"/>
                    </w:rPr>
                  </w:pPr>
                  <w:r>
                    <w:rPr>
                      <w:szCs w:val="21"/>
                    </w:rPr>
                    <w:t>间歇运行</w:t>
                  </w:r>
                </w:p>
              </w:tc>
              <w:tc>
                <w:tcPr>
                  <w:tcW w:w="614" w:type="pct"/>
                  <w:vMerge w:val="continue"/>
                  <w:vAlign w:val="center"/>
                </w:tcPr>
                <w:p>
                  <w:pPr>
                    <w:pStyle w:val="61"/>
                    <w:rPr>
                      <w:sz w:val="21"/>
                      <w:szCs w:val="21"/>
                    </w:rPr>
                  </w:pPr>
                </w:p>
              </w:tc>
              <w:tc>
                <w:tcPr>
                  <w:tcW w:w="733" w:type="pct"/>
                  <w:vAlign w:val="center"/>
                </w:tcPr>
                <w:p>
                  <w:pPr>
                    <w:pStyle w:val="61"/>
                    <w:rPr>
                      <w:sz w:val="21"/>
                      <w:szCs w:val="21"/>
                    </w:rPr>
                  </w:pPr>
                  <w:r>
                    <w:rPr>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Align w:val="center"/>
                </w:tcPr>
                <w:p>
                  <w:pPr>
                    <w:pStyle w:val="61"/>
                    <w:rPr>
                      <w:sz w:val="21"/>
                      <w:szCs w:val="21"/>
                    </w:rPr>
                  </w:pPr>
                  <w:r>
                    <w:rPr>
                      <w:sz w:val="21"/>
                      <w:szCs w:val="21"/>
                    </w:rPr>
                    <w:t>4</w:t>
                  </w:r>
                </w:p>
              </w:tc>
              <w:tc>
                <w:tcPr>
                  <w:tcW w:w="678" w:type="pct"/>
                  <w:vAlign w:val="center"/>
                </w:tcPr>
                <w:p>
                  <w:pPr>
                    <w:adjustRightInd w:val="0"/>
                    <w:snapToGrid w:val="0"/>
                    <w:jc w:val="center"/>
                    <w:rPr>
                      <w:szCs w:val="21"/>
                    </w:rPr>
                  </w:pPr>
                  <w:r>
                    <w:rPr>
                      <w:szCs w:val="21"/>
                    </w:rPr>
                    <w:t>环保设备风机</w:t>
                  </w:r>
                </w:p>
              </w:tc>
              <w:tc>
                <w:tcPr>
                  <w:tcW w:w="678" w:type="pct"/>
                  <w:vAlign w:val="center"/>
                </w:tcPr>
                <w:p>
                  <w:pPr>
                    <w:adjustRightInd w:val="0"/>
                    <w:snapToGrid w:val="0"/>
                    <w:jc w:val="center"/>
                    <w:rPr>
                      <w:szCs w:val="21"/>
                    </w:rPr>
                  </w:pPr>
                  <w:r>
                    <w:rPr>
                      <w:rFonts w:hint="eastAsia"/>
                      <w:szCs w:val="21"/>
                    </w:rPr>
                    <w:t>室内</w:t>
                  </w:r>
                  <w:r>
                    <w:rPr>
                      <w:szCs w:val="21"/>
                    </w:rPr>
                    <w:t>声源</w:t>
                  </w:r>
                </w:p>
              </w:tc>
              <w:tc>
                <w:tcPr>
                  <w:tcW w:w="678" w:type="pct"/>
                  <w:vAlign w:val="center"/>
                </w:tcPr>
                <w:p>
                  <w:pPr>
                    <w:adjustRightInd w:val="0"/>
                    <w:snapToGrid w:val="0"/>
                    <w:jc w:val="center"/>
                    <w:rPr>
                      <w:szCs w:val="21"/>
                    </w:rPr>
                  </w:pPr>
                  <w:r>
                    <w:rPr>
                      <w:szCs w:val="21"/>
                    </w:rPr>
                    <w:t>12台</w:t>
                  </w:r>
                </w:p>
              </w:tc>
              <w:tc>
                <w:tcPr>
                  <w:tcW w:w="733" w:type="pct"/>
                  <w:vAlign w:val="center"/>
                </w:tcPr>
                <w:p>
                  <w:pPr>
                    <w:adjustRightInd w:val="0"/>
                    <w:snapToGrid w:val="0"/>
                    <w:jc w:val="center"/>
                    <w:rPr>
                      <w:szCs w:val="21"/>
                    </w:rPr>
                  </w:pPr>
                  <w:r>
                    <w:rPr>
                      <w:szCs w:val="21"/>
                    </w:rPr>
                    <w:t>85</w:t>
                  </w:r>
                </w:p>
              </w:tc>
              <w:tc>
                <w:tcPr>
                  <w:tcW w:w="464" w:type="pct"/>
                  <w:vAlign w:val="center"/>
                </w:tcPr>
                <w:p>
                  <w:pPr>
                    <w:adjustRightInd w:val="0"/>
                    <w:snapToGrid w:val="0"/>
                    <w:jc w:val="center"/>
                    <w:rPr>
                      <w:szCs w:val="21"/>
                    </w:rPr>
                  </w:pPr>
                  <w:r>
                    <w:rPr>
                      <w:szCs w:val="21"/>
                    </w:rPr>
                    <w:t>间歇运行</w:t>
                  </w:r>
                </w:p>
              </w:tc>
              <w:tc>
                <w:tcPr>
                  <w:tcW w:w="614" w:type="pct"/>
                  <w:vMerge w:val="continue"/>
                  <w:vAlign w:val="center"/>
                </w:tcPr>
                <w:p>
                  <w:pPr>
                    <w:pStyle w:val="61"/>
                    <w:rPr>
                      <w:sz w:val="21"/>
                      <w:szCs w:val="21"/>
                    </w:rPr>
                  </w:pPr>
                </w:p>
              </w:tc>
              <w:tc>
                <w:tcPr>
                  <w:tcW w:w="733" w:type="pct"/>
                  <w:vAlign w:val="center"/>
                </w:tcPr>
                <w:p>
                  <w:pPr>
                    <w:pStyle w:val="61"/>
                    <w:rPr>
                      <w:sz w:val="21"/>
                      <w:szCs w:val="21"/>
                    </w:rPr>
                  </w:pPr>
                  <w:r>
                    <w:rPr>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Align w:val="center"/>
                </w:tcPr>
                <w:p>
                  <w:pPr>
                    <w:pStyle w:val="61"/>
                    <w:rPr>
                      <w:sz w:val="21"/>
                      <w:szCs w:val="21"/>
                    </w:rPr>
                  </w:pPr>
                  <w:r>
                    <w:rPr>
                      <w:rFonts w:hint="eastAsia"/>
                      <w:sz w:val="21"/>
                      <w:szCs w:val="21"/>
                    </w:rPr>
                    <w:t>5</w:t>
                  </w:r>
                </w:p>
              </w:tc>
              <w:tc>
                <w:tcPr>
                  <w:tcW w:w="678" w:type="pct"/>
                  <w:vAlign w:val="center"/>
                </w:tcPr>
                <w:p>
                  <w:pPr>
                    <w:adjustRightInd w:val="0"/>
                    <w:snapToGrid w:val="0"/>
                    <w:jc w:val="center"/>
                    <w:rPr>
                      <w:szCs w:val="21"/>
                    </w:rPr>
                  </w:pPr>
                  <w:r>
                    <w:rPr>
                      <w:rFonts w:hint="eastAsia"/>
                      <w:szCs w:val="21"/>
                    </w:rPr>
                    <w:t>空气热源泵</w:t>
                  </w:r>
                  <w:r>
                    <w:rPr>
                      <w:szCs w:val="21"/>
                    </w:rPr>
                    <w:t>系统</w:t>
                  </w:r>
                </w:p>
              </w:tc>
              <w:tc>
                <w:tcPr>
                  <w:tcW w:w="678" w:type="pct"/>
                  <w:vAlign w:val="center"/>
                </w:tcPr>
                <w:p>
                  <w:pPr>
                    <w:adjustRightInd w:val="0"/>
                    <w:snapToGrid w:val="0"/>
                    <w:jc w:val="center"/>
                    <w:rPr>
                      <w:szCs w:val="21"/>
                    </w:rPr>
                  </w:pPr>
                  <w:r>
                    <w:rPr>
                      <w:rFonts w:hint="eastAsia"/>
                      <w:szCs w:val="21"/>
                    </w:rPr>
                    <w:t>室内</w:t>
                  </w:r>
                  <w:r>
                    <w:rPr>
                      <w:szCs w:val="21"/>
                    </w:rPr>
                    <w:t>声源</w:t>
                  </w:r>
                </w:p>
              </w:tc>
              <w:tc>
                <w:tcPr>
                  <w:tcW w:w="678" w:type="pct"/>
                  <w:vAlign w:val="center"/>
                </w:tcPr>
                <w:p>
                  <w:pPr>
                    <w:adjustRightInd w:val="0"/>
                    <w:snapToGrid w:val="0"/>
                    <w:jc w:val="center"/>
                    <w:rPr>
                      <w:szCs w:val="21"/>
                    </w:rPr>
                  </w:pPr>
                  <w:r>
                    <w:rPr>
                      <w:rFonts w:hint="eastAsia"/>
                      <w:szCs w:val="21"/>
                    </w:rPr>
                    <w:t>1台</w:t>
                  </w:r>
                </w:p>
              </w:tc>
              <w:tc>
                <w:tcPr>
                  <w:tcW w:w="733" w:type="pct"/>
                  <w:vAlign w:val="center"/>
                </w:tcPr>
                <w:p>
                  <w:pPr>
                    <w:adjustRightInd w:val="0"/>
                    <w:snapToGrid w:val="0"/>
                    <w:jc w:val="center"/>
                    <w:rPr>
                      <w:szCs w:val="21"/>
                    </w:rPr>
                  </w:pPr>
                  <w:r>
                    <w:rPr>
                      <w:rFonts w:hint="eastAsia"/>
                      <w:szCs w:val="21"/>
                    </w:rPr>
                    <w:t>90</w:t>
                  </w:r>
                </w:p>
              </w:tc>
              <w:tc>
                <w:tcPr>
                  <w:tcW w:w="464" w:type="pct"/>
                  <w:vAlign w:val="center"/>
                </w:tcPr>
                <w:p>
                  <w:pPr>
                    <w:adjustRightInd w:val="0"/>
                    <w:snapToGrid w:val="0"/>
                    <w:jc w:val="center"/>
                    <w:rPr>
                      <w:szCs w:val="21"/>
                    </w:rPr>
                  </w:pPr>
                  <w:r>
                    <w:rPr>
                      <w:rFonts w:hint="eastAsia"/>
                      <w:szCs w:val="21"/>
                    </w:rPr>
                    <w:t>间歇</w:t>
                  </w:r>
                  <w:r>
                    <w:rPr>
                      <w:szCs w:val="21"/>
                    </w:rPr>
                    <w:t>运行</w:t>
                  </w:r>
                </w:p>
              </w:tc>
              <w:tc>
                <w:tcPr>
                  <w:tcW w:w="614" w:type="pct"/>
                  <w:vMerge w:val="continue"/>
                  <w:vAlign w:val="center"/>
                </w:tcPr>
                <w:p>
                  <w:pPr>
                    <w:pStyle w:val="61"/>
                    <w:rPr>
                      <w:sz w:val="21"/>
                      <w:szCs w:val="21"/>
                    </w:rPr>
                  </w:pPr>
                </w:p>
              </w:tc>
              <w:tc>
                <w:tcPr>
                  <w:tcW w:w="733" w:type="pct"/>
                  <w:vAlign w:val="center"/>
                </w:tcPr>
                <w:p>
                  <w:pPr>
                    <w:pStyle w:val="61"/>
                    <w:rPr>
                      <w:sz w:val="21"/>
                      <w:szCs w:val="21"/>
                    </w:rPr>
                  </w:pPr>
                  <w:r>
                    <w:rPr>
                      <w:rFonts w:hint="eastAsia"/>
                      <w:sz w:val="21"/>
                      <w:szCs w:val="21"/>
                    </w:rPr>
                    <w:t>70</w:t>
                  </w:r>
                </w:p>
              </w:tc>
            </w:tr>
          </w:tbl>
          <w:p>
            <w:pPr>
              <w:adjustRightInd w:val="0"/>
              <w:snapToGrid w:val="0"/>
              <w:spacing w:line="360" w:lineRule="auto"/>
              <w:ind w:firstLine="480" w:firstLineChars="200"/>
              <w:rPr>
                <w:bCs/>
                <w:sz w:val="24"/>
              </w:rPr>
            </w:pPr>
            <w:r>
              <w:rPr>
                <w:bCs/>
                <w:sz w:val="24"/>
              </w:rPr>
              <w:t>（2）厂界达标情况</w:t>
            </w:r>
          </w:p>
          <w:p>
            <w:pPr>
              <w:adjustRightInd w:val="0"/>
              <w:snapToGrid w:val="0"/>
              <w:spacing w:line="360" w:lineRule="auto"/>
              <w:ind w:firstLine="480" w:firstLineChars="200"/>
              <w:rPr>
                <w:bCs/>
                <w:sz w:val="24"/>
              </w:rPr>
            </w:pPr>
            <w:r>
              <w:rPr>
                <w:bCs/>
                <w:sz w:val="24"/>
              </w:rPr>
              <w:t>根据《环境影响评价技术导则声环境》（HJ 2.4-2021）采用如下模式：</w:t>
            </w:r>
          </w:p>
          <w:p>
            <w:pPr>
              <w:adjustRightInd w:val="0"/>
              <w:snapToGrid w:val="0"/>
              <w:spacing w:line="360" w:lineRule="auto"/>
              <w:ind w:firstLine="480" w:firstLineChars="200"/>
              <w:rPr>
                <w:bCs/>
                <w:sz w:val="24"/>
              </w:rPr>
            </w:pPr>
            <w:r>
              <w:rPr>
                <w:bCs/>
                <w:sz w:val="24"/>
              </w:rPr>
              <w:fldChar w:fldCharType="begin"/>
            </w:r>
            <w:r>
              <w:rPr>
                <w:bCs/>
                <w:sz w:val="24"/>
              </w:rPr>
              <w:instrText xml:space="preserve"> = 1 \* GB3 </w:instrText>
            </w:r>
            <w:r>
              <w:rPr>
                <w:bCs/>
                <w:sz w:val="24"/>
              </w:rPr>
              <w:fldChar w:fldCharType="separate"/>
            </w:r>
            <w:r>
              <w:rPr>
                <w:rFonts w:hint="eastAsia" w:ascii="宋体" w:hAnsi="宋体" w:cs="宋体"/>
                <w:bCs/>
                <w:sz w:val="24"/>
              </w:rPr>
              <w:t>①</w:t>
            </w:r>
            <w:r>
              <w:rPr>
                <w:bCs/>
                <w:sz w:val="24"/>
              </w:rPr>
              <w:fldChar w:fldCharType="end"/>
            </w:r>
            <w:r>
              <w:rPr>
                <w:bCs/>
                <w:sz w:val="24"/>
              </w:rPr>
              <w:t>室外声源</w:t>
            </w:r>
          </w:p>
          <w:p>
            <w:pPr>
              <w:adjustRightInd w:val="0"/>
              <w:snapToGrid w:val="0"/>
              <w:spacing w:line="360" w:lineRule="auto"/>
              <w:ind w:firstLine="480" w:firstLineChars="200"/>
              <w:rPr>
                <w:bCs/>
                <w:sz w:val="24"/>
              </w:rPr>
            </w:pPr>
            <w:r>
              <w:rPr>
                <w:kern w:val="0"/>
                <w:sz w:val="24"/>
              </w:rPr>
              <w:t>室外点声源对预测点的噪声声压级影响值（dB(A)）为：</w:t>
            </w:r>
          </w:p>
          <w:p>
            <w:pPr>
              <w:adjustRightInd w:val="0"/>
              <w:snapToGrid w:val="0"/>
              <w:spacing w:line="360" w:lineRule="auto"/>
              <w:ind w:firstLine="480" w:firstLineChars="200"/>
              <w:rPr>
                <w:bCs/>
                <w:sz w:val="24"/>
              </w:rPr>
            </w:pPr>
            <m:oMathPara>
              <m:oMath>
                <m:sSub>
                  <m:sSubPr>
                    <m:ctrlPr>
                      <w:rPr>
                        <w:rFonts w:ascii="Cambria Math" w:hAnsi="Cambria Math"/>
                        <w:bCs/>
                        <w:sz w:val="24"/>
                      </w:rPr>
                    </m:ctrlPr>
                  </m:sSubPr>
                  <m:e>
                    <m:r>
                      <m:rPr/>
                      <w:rPr>
                        <w:rFonts w:ascii="Cambria Math" w:hAnsi="Cambria Math"/>
                        <w:sz w:val="24"/>
                      </w:rPr>
                      <m:t>L</m:t>
                    </m:r>
                    <m:ctrlPr>
                      <w:rPr>
                        <w:rFonts w:ascii="Cambria Math" w:hAnsi="Cambria Math"/>
                        <w:bCs/>
                        <w:sz w:val="24"/>
                      </w:rPr>
                    </m:ctrlPr>
                  </m:e>
                  <m:sub>
                    <m:r>
                      <m:rPr/>
                      <w:rPr>
                        <w:rFonts w:ascii="Cambria Math" w:hAnsi="Cambria Math"/>
                        <w:sz w:val="24"/>
                      </w:rPr>
                      <m:t>P</m:t>
                    </m:r>
                    <m:ctrlPr>
                      <w:rPr>
                        <w:rFonts w:ascii="Cambria Math" w:hAnsi="Cambria Math"/>
                        <w:bCs/>
                        <w:sz w:val="24"/>
                      </w:rPr>
                    </m:ctrlPr>
                  </m:sub>
                </m:sSub>
                <m:d>
                  <m:dPr>
                    <m:ctrlPr>
                      <w:rPr>
                        <w:rFonts w:ascii="Cambria Math" w:hAnsi="Cambria Math"/>
                        <w:bCs/>
                        <w:i/>
                        <w:sz w:val="24"/>
                      </w:rPr>
                    </m:ctrlPr>
                  </m:dPr>
                  <m:e>
                    <m:r>
                      <m:rPr/>
                      <w:rPr>
                        <w:rFonts w:ascii="Cambria Math" w:hAnsi="Cambria Math"/>
                        <w:sz w:val="24"/>
                      </w:rPr>
                      <m:t>r</m:t>
                    </m:r>
                    <m:ctrlPr>
                      <w:rPr>
                        <w:rFonts w:ascii="Cambria Math" w:hAnsi="Cambria Math"/>
                        <w:bCs/>
                        <w:i/>
                        <w:sz w:val="24"/>
                      </w:rPr>
                    </m:ctrlPr>
                  </m:e>
                </m:d>
                <m:r>
                  <m:rPr/>
                  <w:rPr>
                    <w:rFonts w:ascii="Cambria Math" w:hAnsi="Cambria Math"/>
                    <w:sz w:val="24"/>
                  </w:rPr>
                  <m:t>=</m:t>
                </m:r>
                <m:sSub>
                  <m:sSubPr>
                    <m:ctrlPr>
                      <w:rPr>
                        <w:rFonts w:ascii="Cambria Math" w:hAnsi="Cambria Math"/>
                        <w:bCs/>
                        <w:i/>
                        <w:sz w:val="24"/>
                      </w:rPr>
                    </m:ctrlPr>
                  </m:sSubPr>
                  <m:e>
                    <m:r>
                      <m:rPr/>
                      <w:rPr>
                        <w:rFonts w:ascii="Cambria Math" w:hAnsi="Cambria Math"/>
                        <w:sz w:val="24"/>
                      </w:rPr>
                      <m:t>L</m:t>
                    </m:r>
                    <m:ctrlPr>
                      <w:rPr>
                        <w:rFonts w:ascii="Cambria Math" w:hAnsi="Cambria Math"/>
                        <w:bCs/>
                        <w:i/>
                        <w:sz w:val="24"/>
                      </w:rPr>
                    </m:ctrlPr>
                  </m:e>
                  <m:sub>
                    <m:r>
                      <m:rPr/>
                      <w:rPr>
                        <w:rFonts w:ascii="Cambria Math" w:hAnsi="Cambria Math"/>
                        <w:sz w:val="24"/>
                      </w:rPr>
                      <m:t>P0</m:t>
                    </m:r>
                    <m:ctrlPr>
                      <w:rPr>
                        <w:rFonts w:ascii="Cambria Math" w:hAnsi="Cambria Math"/>
                        <w:bCs/>
                        <w:i/>
                        <w:sz w:val="24"/>
                      </w:rPr>
                    </m:ctrlPr>
                  </m:sub>
                </m:sSub>
                <m:r>
                  <m:rPr/>
                  <w:rPr>
                    <w:rFonts w:ascii="Cambria Math" w:hAnsi="Cambria Math"/>
                    <w:sz w:val="24"/>
                  </w:rPr>
                  <m:t>−20</m:t>
                </m:r>
                <m:func>
                  <m:funcPr>
                    <m:ctrlPr>
                      <w:rPr>
                        <w:rFonts w:ascii="Cambria Math" w:hAnsi="Cambria Math"/>
                        <w:bCs/>
                        <w:i/>
                        <w:sz w:val="24"/>
                      </w:rPr>
                    </m:ctrlPr>
                  </m:funcPr>
                  <m:fName>
                    <m:r>
                      <m:rPr>
                        <m:sty m:val="p"/>
                      </m:rPr>
                      <w:rPr>
                        <w:rFonts w:ascii="Cambria Math" w:hAnsi="Cambria Math"/>
                        <w:sz w:val="24"/>
                      </w:rPr>
                      <m:t>lg</m:t>
                    </m:r>
                    <m:ctrlPr>
                      <w:rPr>
                        <w:rFonts w:ascii="Cambria Math" w:hAnsi="Cambria Math"/>
                        <w:bCs/>
                        <w:i/>
                        <w:sz w:val="24"/>
                      </w:rPr>
                    </m:ctrlPr>
                  </m:fName>
                  <m:e>
                    <m:f>
                      <m:fPr>
                        <m:ctrlPr>
                          <w:rPr>
                            <w:rFonts w:ascii="Cambria Math" w:hAnsi="Cambria Math"/>
                            <w:bCs/>
                            <w:i/>
                            <w:sz w:val="24"/>
                          </w:rPr>
                        </m:ctrlPr>
                      </m:fPr>
                      <m:num>
                        <m:r>
                          <m:rPr/>
                          <w:rPr>
                            <w:rFonts w:ascii="Cambria Math" w:hAnsi="Cambria Math"/>
                            <w:sz w:val="24"/>
                          </w:rPr>
                          <m:t>r</m:t>
                        </m:r>
                        <m:ctrlPr>
                          <w:rPr>
                            <w:rFonts w:ascii="Cambria Math" w:hAnsi="Cambria Math"/>
                            <w:bCs/>
                            <w:i/>
                            <w:sz w:val="24"/>
                          </w:rPr>
                        </m:ctrlPr>
                      </m:num>
                      <m:den>
                        <m:sSub>
                          <m:sSubPr>
                            <m:ctrlPr>
                              <w:rPr>
                                <w:rFonts w:ascii="Cambria Math" w:hAnsi="Cambria Math"/>
                                <w:bCs/>
                                <w:i/>
                                <w:sz w:val="24"/>
                              </w:rPr>
                            </m:ctrlPr>
                          </m:sSubPr>
                          <m:e>
                            <m:r>
                              <m:rPr/>
                              <w:rPr>
                                <w:rFonts w:ascii="Cambria Math" w:hAnsi="Cambria Math"/>
                                <w:sz w:val="24"/>
                              </w:rPr>
                              <m:t>r</m:t>
                            </m:r>
                            <m:ctrlPr>
                              <w:rPr>
                                <w:rFonts w:ascii="Cambria Math" w:hAnsi="Cambria Math"/>
                                <w:bCs/>
                                <w:i/>
                                <w:sz w:val="24"/>
                              </w:rPr>
                            </m:ctrlPr>
                          </m:e>
                          <m:sub>
                            <m:r>
                              <m:rPr/>
                              <w:rPr>
                                <w:rFonts w:ascii="Cambria Math" w:hAnsi="Cambria Math"/>
                                <w:sz w:val="24"/>
                              </w:rPr>
                              <m:t>0</m:t>
                            </m:r>
                            <m:ctrlPr>
                              <w:rPr>
                                <w:rFonts w:ascii="Cambria Math" w:hAnsi="Cambria Math"/>
                                <w:bCs/>
                                <w:i/>
                                <w:sz w:val="24"/>
                              </w:rPr>
                            </m:ctrlPr>
                          </m:sub>
                        </m:sSub>
                        <m:ctrlPr>
                          <w:rPr>
                            <w:rFonts w:ascii="Cambria Math" w:hAnsi="Cambria Math"/>
                            <w:bCs/>
                            <w:i/>
                            <w:sz w:val="24"/>
                          </w:rPr>
                        </m:ctrlPr>
                      </m:den>
                    </m:f>
                    <m:ctrlPr>
                      <w:rPr>
                        <w:rFonts w:ascii="Cambria Math" w:hAnsi="Cambria Math"/>
                        <w:bCs/>
                        <w:i/>
                        <w:sz w:val="24"/>
                      </w:rPr>
                    </m:ctrlPr>
                  </m:e>
                </m:func>
              </m:oMath>
            </m:oMathPara>
          </w:p>
          <w:p>
            <w:pPr>
              <w:adjustRightInd w:val="0"/>
              <w:snapToGrid w:val="0"/>
              <w:spacing w:line="360" w:lineRule="auto"/>
              <w:ind w:firstLine="480" w:firstLineChars="200"/>
              <w:rPr>
                <w:bCs/>
                <w:sz w:val="24"/>
              </w:rPr>
            </w:pPr>
            <w:r>
              <w:rPr>
                <w:bCs/>
                <w:sz w:val="24"/>
              </w:rPr>
              <w:t>式中：L</w:t>
            </w:r>
            <w:r>
              <w:rPr>
                <w:bCs/>
                <w:sz w:val="24"/>
                <w:vertAlign w:val="subscript"/>
              </w:rPr>
              <w:t>P</w:t>
            </w:r>
            <w:r>
              <w:rPr>
                <w:bCs/>
                <w:sz w:val="24"/>
              </w:rPr>
              <w:t>(r)为预测点的声压级，dB（A）；</w:t>
            </w:r>
          </w:p>
          <w:p>
            <w:pPr>
              <w:adjustRightInd w:val="0"/>
              <w:snapToGrid w:val="0"/>
              <w:spacing w:line="360" w:lineRule="auto"/>
              <w:ind w:firstLine="1200" w:firstLineChars="500"/>
              <w:rPr>
                <w:bCs/>
                <w:sz w:val="24"/>
              </w:rPr>
            </w:pPr>
            <w:r>
              <w:rPr>
                <w:bCs/>
                <w:sz w:val="24"/>
              </w:rPr>
              <w:t>L</w:t>
            </w:r>
            <w:r>
              <w:rPr>
                <w:bCs/>
                <w:sz w:val="24"/>
                <w:vertAlign w:val="subscript"/>
              </w:rPr>
              <w:t>P0</w:t>
            </w:r>
            <w:r>
              <w:rPr>
                <w:bCs/>
                <w:sz w:val="24"/>
              </w:rPr>
              <w:t>为点声源在r</w:t>
            </w:r>
            <w:r>
              <w:rPr>
                <w:bCs/>
                <w:sz w:val="24"/>
                <w:vertAlign w:val="subscript"/>
              </w:rPr>
              <w:t>0</w:t>
            </w:r>
            <w:r>
              <w:rPr>
                <w:bCs/>
                <w:sz w:val="24"/>
              </w:rPr>
              <w:t>(m)距离处测定的声压级，dB（A）；</w:t>
            </w:r>
          </w:p>
          <w:p>
            <w:pPr>
              <w:adjustRightInd w:val="0"/>
              <w:snapToGrid w:val="0"/>
              <w:spacing w:line="360" w:lineRule="auto"/>
              <w:ind w:firstLine="1200" w:firstLineChars="500"/>
              <w:rPr>
                <w:bCs/>
                <w:sz w:val="24"/>
              </w:rPr>
            </w:pPr>
            <w:r>
              <w:rPr>
                <w:bCs/>
                <w:sz w:val="24"/>
              </w:rPr>
              <w:t>R为点声源距预测点的距离，m。</w:t>
            </w:r>
          </w:p>
          <w:p>
            <w:pPr>
              <w:adjustRightInd w:val="0"/>
              <w:snapToGrid w:val="0"/>
              <w:spacing w:line="360" w:lineRule="auto"/>
              <w:ind w:firstLine="480" w:firstLineChars="200"/>
              <w:rPr>
                <w:bCs/>
                <w:sz w:val="24"/>
              </w:rPr>
            </w:pPr>
            <w:r>
              <w:rPr>
                <w:bCs/>
                <w:sz w:val="24"/>
              </w:rPr>
              <w:fldChar w:fldCharType="begin"/>
            </w:r>
            <w:r>
              <w:rPr>
                <w:bCs/>
                <w:sz w:val="24"/>
              </w:rPr>
              <w:instrText xml:space="preserve"> = 2 \* GB3 </w:instrText>
            </w:r>
            <w:r>
              <w:rPr>
                <w:bCs/>
                <w:sz w:val="24"/>
              </w:rPr>
              <w:fldChar w:fldCharType="separate"/>
            </w:r>
            <w:r>
              <w:rPr>
                <w:rFonts w:hint="eastAsia" w:ascii="宋体" w:hAnsi="宋体" w:cs="宋体"/>
                <w:bCs/>
                <w:sz w:val="24"/>
              </w:rPr>
              <w:t>②</w:t>
            </w:r>
            <w:r>
              <w:rPr>
                <w:bCs/>
                <w:sz w:val="24"/>
              </w:rPr>
              <w:fldChar w:fldCharType="end"/>
            </w:r>
            <w:r>
              <w:rPr>
                <w:bCs/>
                <w:sz w:val="24"/>
              </w:rPr>
              <w:t>室内声源</w:t>
            </w:r>
          </w:p>
          <w:p>
            <w:pPr>
              <w:adjustRightInd w:val="0"/>
              <w:snapToGrid w:val="0"/>
              <w:spacing w:line="360" w:lineRule="auto"/>
              <w:ind w:firstLine="480" w:firstLineChars="200"/>
              <w:rPr>
                <w:bCs/>
                <w:sz w:val="24"/>
              </w:rPr>
            </w:pPr>
            <w:r>
              <w:rPr>
                <w:bCs/>
                <w:sz w:val="24"/>
              </w:rPr>
              <w:t>室内声源等效为室外点源的声传播衰减公式为：</w:t>
            </w:r>
          </w:p>
          <w:p>
            <w:pPr>
              <w:adjustRightInd w:val="0"/>
              <w:snapToGrid w:val="0"/>
              <w:spacing w:line="360" w:lineRule="auto"/>
              <w:ind w:firstLine="480" w:firstLineChars="200"/>
              <w:rPr>
                <w:bCs/>
                <w:sz w:val="24"/>
              </w:rPr>
            </w:pPr>
            <m:oMathPara>
              <m:oMath>
                <m:sSub>
                  <m:sSubPr>
                    <m:ctrlPr>
                      <w:rPr>
                        <w:rFonts w:ascii="Cambria Math" w:hAnsi="Cambria Math"/>
                        <w:bCs/>
                        <w:sz w:val="24"/>
                      </w:rPr>
                    </m:ctrlPr>
                  </m:sSubPr>
                  <m:e>
                    <m:r>
                      <m:rPr/>
                      <w:rPr>
                        <w:rFonts w:ascii="Cambria Math" w:hAnsi="Cambria Math"/>
                        <w:sz w:val="24"/>
                      </w:rPr>
                      <m:t>L</m:t>
                    </m:r>
                    <m:ctrlPr>
                      <w:rPr>
                        <w:rFonts w:ascii="Cambria Math" w:hAnsi="Cambria Math"/>
                        <w:bCs/>
                        <w:sz w:val="24"/>
                      </w:rPr>
                    </m:ctrlPr>
                  </m:e>
                  <m:sub>
                    <m:r>
                      <m:rPr/>
                      <w:rPr>
                        <w:rFonts w:ascii="Cambria Math" w:hAnsi="Cambria Math"/>
                        <w:sz w:val="24"/>
                      </w:rPr>
                      <m:t>P</m:t>
                    </m:r>
                    <m:ctrlPr>
                      <w:rPr>
                        <w:rFonts w:ascii="Cambria Math" w:hAnsi="Cambria Math"/>
                        <w:bCs/>
                        <w:sz w:val="24"/>
                      </w:rPr>
                    </m:ctrlPr>
                  </m:sub>
                </m:sSub>
                <m:d>
                  <m:dPr>
                    <m:ctrlPr>
                      <w:rPr>
                        <w:rFonts w:ascii="Cambria Math" w:hAnsi="Cambria Math"/>
                        <w:bCs/>
                        <w:i/>
                        <w:sz w:val="24"/>
                      </w:rPr>
                    </m:ctrlPr>
                  </m:dPr>
                  <m:e>
                    <m:r>
                      <m:rPr/>
                      <w:rPr>
                        <w:rFonts w:ascii="Cambria Math" w:hAnsi="Cambria Math"/>
                        <w:sz w:val="24"/>
                      </w:rPr>
                      <m:t>r</m:t>
                    </m:r>
                    <m:ctrlPr>
                      <w:rPr>
                        <w:rFonts w:ascii="Cambria Math" w:hAnsi="Cambria Math"/>
                        <w:bCs/>
                        <w:i/>
                        <w:sz w:val="24"/>
                      </w:rPr>
                    </m:ctrlPr>
                  </m:e>
                </m:d>
                <m:r>
                  <m:rPr/>
                  <w:rPr>
                    <w:rFonts w:ascii="Cambria Math" w:hAnsi="Cambria Math"/>
                    <w:sz w:val="24"/>
                  </w:rPr>
                  <m:t>=</m:t>
                </m:r>
                <m:sSub>
                  <m:sSubPr>
                    <m:ctrlPr>
                      <w:rPr>
                        <w:rFonts w:ascii="Cambria Math" w:hAnsi="Cambria Math"/>
                        <w:bCs/>
                        <w:i/>
                        <w:sz w:val="24"/>
                      </w:rPr>
                    </m:ctrlPr>
                  </m:sSubPr>
                  <m:e>
                    <m:r>
                      <m:rPr/>
                      <w:rPr>
                        <w:rFonts w:ascii="Cambria Math" w:hAnsi="Cambria Math"/>
                        <w:sz w:val="24"/>
                      </w:rPr>
                      <m:t>L</m:t>
                    </m:r>
                    <m:ctrlPr>
                      <w:rPr>
                        <w:rFonts w:ascii="Cambria Math" w:hAnsi="Cambria Math"/>
                        <w:bCs/>
                        <w:i/>
                        <w:sz w:val="24"/>
                      </w:rPr>
                    </m:ctrlPr>
                  </m:e>
                  <m:sub>
                    <m:r>
                      <m:rPr/>
                      <w:rPr>
                        <w:rFonts w:ascii="Cambria Math" w:hAnsi="Cambria Math"/>
                        <w:sz w:val="24"/>
                      </w:rPr>
                      <m:t>p0</m:t>
                    </m:r>
                    <m:ctrlPr>
                      <w:rPr>
                        <w:rFonts w:ascii="Cambria Math" w:hAnsi="Cambria Math"/>
                        <w:bCs/>
                        <w:i/>
                        <w:sz w:val="24"/>
                      </w:rPr>
                    </m:ctrlPr>
                  </m:sub>
                </m:sSub>
                <m:r>
                  <m:rPr/>
                  <w:rPr>
                    <w:rFonts w:ascii="Cambria Math" w:hAnsi="Cambria Math"/>
                    <w:sz w:val="24"/>
                  </w:rPr>
                  <m:t>−20</m:t>
                </m:r>
                <m:func>
                  <m:funcPr>
                    <m:ctrlPr>
                      <w:rPr>
                        <w:rFonts w:ascii="Cambria Math" w:hAnsi="Cambria Math"/>
                        <w:bCs/>
                        <w:i/>
                        <w:sz w:val="24"/>
                      </w:rPr>
                    </m:ctrlPr>
                  </m:funcPr>
                  <m:fName>
                    <m:r>
                      <m:rPr>
                        <m:sty m:val="p"/>
                      </m:rPr>
                      <w:rPr>
                        <w:rFonts w:ascii="Cambria Math" w:hAnsi="Cambria Math"/>
                        <w:sz w:val="24"/>
                      </w:rPr>
                      <m:t>lg</m:t>
                    </m:r>
                    <m:ctrlPr>
                      <w:rPr>
                        <w:rFonts w:ascii="Cambria Math" w:hAnsi="Cambria Math"/>
                        <w:bCs/>
                        <w:i/>
                        <w:sz w:val="24"/>
                      </w:rPr>
                    </m:ctrlPr>
                  </m:fName>
                  <m:e>
                    <m:f>
                      <m:fPr>
                        <m:ctrlPr>
                          <w:rPr>
                            <w:rFonts w:ascii="Cambria Math" w:hAnsi="Cambria Math"/>
                            <w:bCs/>
                            <w:i/>
                            <w:sz w:val="24"/>
                          </w:rPr>
                        </m:ctrlPr>
                      </m:fPr>
                      <m:num>
                        <m:r>
                          <m:rPr/>
                          <w:rPr>
                            <w:rFonts w:ascii="Cambria Math" w:hAnsi="Cambria Math"/>
                            <w:sz w:val="24"/>
                          </w:rPr>
                          <m:t>r</m:t>
                        </m:r>
                        <m:ctrlPr>
                          <w:rPr>
                            <w:rFonts w:ascii="Cambria Math" w:hAnsi="Cambria Math"/>
                            <w:bCs/>
                            <w:i/>
                            <w:sz w:val="24"/>
                          </w:rPr>
                        </m:ctrlPr>
                      </m:num>
                      <m:den>
                        <m:sSub>
                          <m:sSubPr>
                            <m:ctrlPr>
                              <w:rPr>
                                <w:rFonts w:ascii="Cambria Math" w:hAnsi="Cambria Math"/>
                                <w:bCs/>
                                <w:i/>
                                <w:sz w:val="24"/>
                              </w:rPr>
                            </m:ctrlPr>
                          </m:sSubPr>
                          <m:e>
                            <m:r>
                              <m:rPr/>
                              <w:rPr>
                                <w:rFonts w:ascii="Cambria Math" w:hAnsi="Cambria Math"/>
                                <w:sz w:val="24"/>
                              </w:rPr>
                              <m:t>r</m:t>
                            </m:r>
                            <m:ctrlPr>
                              <w:rPr>
                                <w:rFonts w:ascii="Cambria Math" w:hAnsi="Cambria Math"/>
                                <w:bCs/>
                                <w:i/>
                                <w:sz w:val="24"/>
                              </w:rPr>
                            </m:ctrlPr>
                          </m:e>
                          <m:sub>
                            <m:r>
                              <m:rPr/>
                              <w:rPr>
                                <w:rFonts w:ascii="Cambria Math" w:hAnsi="Cambria Math"/>
                                <w:sz w:val="24"/>
                              </w:rPr>
                              <m:t>0</m:t>
                            </m:r>
                            <m:ctrlPr>
                              <w:rPr>
                                <w:rFonts w:ascii="Cambria Math" w:hAnsi="Cambria Math"/>
                                <w:bCs/>
                                <w:i/>
                                <w:sz w:val="24"/>
                              </w:rPr>
                            </m:ctrlPr>
                          </m:sub>
                        </m:sSub>
                        <m:ctrlPr>
                          <w:rPr>
                            <w:rFonts w:ascii="Cambria Math" w:hAnsi="Cambria Math"/>
                            <w:bCs/>
                            <w:i/>
                            <w:sz w:val="24"/>
                          </w:rPr>
                        </m:ctrlPr>
                      </m:den>
                    </m:f>
                    <m:ctrlPr>
                      <w:rPr>
                        <w:rFonts w:ascii="Cambria Math" w:hAnsi="Cambria Math"/>
                        <w:bCs/>
                        <w:i/>
                        <w:sz w:val="24"/>
                      </w:rPr>
                    </m:ctrlPr>
                  </m:e>
                </m:func>
                <m:r>
                  <m:rPr/>
                  <w:rPr>
                    <w:rFonts w:ascii="Cambria Math" w:hAnsi="Cambria Math"/>
                    <w:sz w:val="24"/>
                  </w:rPr>
                  <m:t>−TL+10</m:t>
                </m:r>
                <m:func>
                  <m:funcPr>
                    <m:ctrlPr>
                      <w:rPr>
                        <w:rFonts w:ascii="Cambria Math" w:hAnsi="Cambria Math"/>
                        <w:bCs/>
                        <w:i/>
                        <w:sz w:val="24"/>
                      </w:rPr>
                    </m:ctrlPr>
                  </m:funcPr>
                  <m:fName>
                    <m:r>
                      <m:rPr>
                        <m:sty m:val="p"/>
                      </m:rPr>
                      <w:rPr>
                        <w:rFonts w:ascii="Cambria Math" w:hAnsi="Cambria Math"/>
                        <w:sz w:val="24"/>
                      </w:rPr>
                      <m:t>lg</m:t>
                    </m:r>
                    <m:ctrlPr>
                      <w:rPr>
                        <w:rFonts w:ascii="Cambria Math" w:hAnsi="Cambria Math"/>
                        <w:bCs/>
                        <w:i/>
                        <w:sz w:val="24"/>
                      </w:rPr>
                    </m:ctrlPr>
                  </m:fName>
                  <m:e>
                    <m:f>
                      <m:fPr>
                        <m:ctrlPr>
                          <w:rPr>
                            <w:rFonts w:ascii="Cambria Math" w:hAnsi="Cambria Math"/>
                            <w:bCs/>
                            <w:i/>
                            <w:sz w:val="24"/>
                          </w:rPr>
                        </m:ctrlPr>
                      </m:fPr>
                      <m:num>
                        <m:r>
                          <m:rPr/>
                          <w:rPr>
                            <w:rFonts w:ascii="Cambria Math" w:hAnsi="Cambria Math"/>
                            <w:sz w:val="24"/>
                          </w:rPr>
                          <m:t>1−α</m:t>
                        </m:r>
                        <m:ctrlPr>
                          <w:rPr>
                            <w:rFonts w:ascii="Cambria Math" w:hAnsi="Cambria Math"/>
                            <w:bCs/>
                            <w:i/>
                            <w:sz w:val="24"/>
                          </w:rPr>
                        </m:ctrlPr>
                      </m:num>
                      <m:den>
                        <m:r>
                          <m:rPr/>
                          <w:rPr>
                            <w:rFonts w:ascii="Cambria Math" w:hAnsi="Cambria Math"/>
                            <w:sz w:val="24"/>
                          </w:rPr>
                          <m:t>α</m:t>
                        </m:r>
                        <m:ctrlPr>
                          <w:rPr>
                            <w:rFonts w:ascii="Cambria Math" w:hAnsi="Cambria Math"/>
                            <w:bCs/>
                            <w:i/>
                            <w:sz w:val="24"/>
                          </w:rPr>
                        </m:ctrlPr>
                      </m:den>
                    </m:f>
                    <m:ctrlPr>
                      <w:rPr>
                        <w:rFonts w:ascii="Cambria Math" w:hAnsi="Cambria Math"/>
                        <w:bCs/>
                        <w:i/>
                        <w:sz w:val="24"/>
                      </w:rPr>
                    </m:ctrlPr>
                  </m:e>
                </m:func>
              </m:oMath>
            </m:oMathPara>
          </w:p>
          <w:p>
            <w:pPr>
              <w:adjustRightInd w:val="0"/>
              <w:snapToGrid w:val="0"/>
              <w:spacing w:line="360" w:lineRule="auto"/>
              <w:ind w:firstLine="480" w:firstLineChars="200"/>
              <w:rPr>
                <w:bCs/>
                <w:sz w:val="24"/>
              </w:rPr>
            </w:pPr>
            <w:r>
              <w:rPr>
                <w:bCs/>
                <w:sz w:val="24"/>
              </w:rPr>
              <w:t>式中：L</w:t>
            </w:r>
            <w:r>
              <w:rPr>
                <w:bCs/>
                <w:sz w:val="24"/>
                <w:vertAlign w:val="subscript"/>
              </w:rPr>
              <w:t>P</w:t>
            </w:r>
            <w:r>
              <w:rPr>
                <w:bCs/>
                <w:sz w:val="24"/>
              </w:rPr>
              <w:t>(r)为预测点的声压级，dB（A）；</w:t>
            </w:r>
          </w:p>
          <w:p>
            <w:pPr>
              <w:adjustRightInd w:val="0"/>
              <w:snapToGrid w:val="0"/>
              <w:spacing w:line="360" w:lineRule="auto"/>
              <w:ind w:firstLine="1200" w:firstLineChars="500"/>
              <w:rPr>
                <w:bCs/>
                <w:sz w:val="24"/>
              </w:rPr>
            </w:pPr>
            <w:r>
              <w:rPr>
                <w:bCs/>
                <w:sz w:val="24"/>
              </w:rPr>
              <w:t>L</w:t>
            </w:r>
            <w:r>
              <w:rPr>
                <w:bCs/>
                <w:sz w:val="24"/>
                <w:vertAlign w:val="subscript"/>
              </w:rPr>
              <w:t>P0</w:t>
            </w:r>
            <w:r>
              <w:rPr>
                <w:bCs/>
                <w:sz w:val="24"/>
              </w:rPr>
              <w:t>为点声源在r</w:t>
            </w:r>
            <w:r>
              <w:rPr>
                <w:bCs/>
                <w:sz w:val="24"/>
                <w:vertAlign w:val="subscript"/>
              </w:rPr>
              <w:t>0</w:t>
            </w:r>
            <w:r>
              <w:rPr>
                <w:bCs/>
                <w:sz w:val="24"/>
              </w:rPr>
              <w:t>(m)距离处测定的声压级，dB（A）；</w:t>
            </w:r>
          </w:p>
          <w:p>
            <w:pPr>
              <w:adjustRightInd w:val="0"/>
              <w:snapToGrid w:val="0"/>
              <w:spacing w:line="360" w:lineRule="auto"/>
              <w:ind w:firstLine="1200" w:firstLineChars="500"/>
              <w:rPr>
                <w:bCs/>
                <w:sz w:val="24"/>
              </w:rPr>
            </w:pPr>
            <w:r>
              <w:rPr>
                <w:bCs/>
                <w:sz w:val="24"/>
              </w:rPr>
              <w:t>TL为围护结构的平均隔声量，dB(A)；</w:t>
            </w:r>
          </w:p>
          <w:p>
            <w:pPr>
              <w:adjustRightInd w:val="0"/>
              <w:snapToGrid w:val="0"/>
              <w:spacing w:line="360" w:lineRule="auto"/>
              <w:ind w:firstLine="1200" w:firstLineChars="500"/>
              <w:rPr>
                <w:bCs/>
                <w:sz w:val="24"/>
              </w:rPr>
            </w:pPr>
            <w:r>
              <w:rPr>
                <w:bCs/>
                <w:sz w:val="24"/>
              </w:rPr>
              <w:t>α为吸声系数，对一般机械车间，取0.15。</w:t>
            </w:r>
          </w:p>
          <w:p>
            <w:pPr>
              <w:adjustRightInd w:val="0"/>
              <w:snapToGrid w:val="0"/>
              <w:spacing w:line="360" w:lineRule="auto"/>
              <w:ind w:firstLine="480" w:firstLineChars="200"/>
              <w:rPr>
                <w:bCs/>
                <w:sz w:val="24"/>
              </w:rPr>
            </w:pPr>
            <w:r>
              <w:rPr>
                <w:bCs/>
                <w:sz w:val="24"/>
              </w:rPr>
              <w:fldChar w:fldCharType="begin"/>
            </w:r>
            <w:r>
              <w:rPr>
                <w:bCs/>
                <w:sz w:val="24"/>
              </w:rPr>
              <w:instrText xml:space="preserve"> = 3 \* GB3 </w:instrText>
            </w:r>
            <w:r>
              <w:rPr>
                <w:bCs/>
                <w:sz w:val="24"/>
              </w:rPr>
              <w:fldChar w:fldCharType="separate"/>
            </w:r>
            <w:r>
              <w:rPr>
                <w:rFonts w:hint="eastAsia" w:ascii="宋体" w:hAnsi="宋体" w:cs="宋体"/>
                <w:bCs/>
                <w:sz w:val="24"/>
              </w:rPr>
              <w:t>③</w:t>
            </w:r>
            <w:r>
              <w:rPr>
                <w:bCs/>
                <w:sz w:val="24"/>
              </w:rPr>
              <w:fldChar w:fldCharType="end"/>
            </w:r>
            <w:r>
              <w:rPr>
                <w:bCs/>
                <w:sz w:val="24"/>
              </w:rPr>
              <w:t>噪声贡献值</w:t>
            </w:r>
          </w:p>
          <w:p>
            <w:pPr>
              <w:adjustRightInd w:val="0"/>
              <w:snapToGrid w:val="0"/>
              <w:spacing w:line="360" w:lineRule="auto"/>
              <w:ind w:firstLine="480" w:firstLineChars="200"/>
              <w:rPr>
                <w:bCs/>
                <w:sz w:val="24"/>
              </w:rPr>
            </w:pPr>
            <m:oMathPara>
              <m:oMath>
                <m:sSub>
                  <m:sSubPr>
                    <m:ctrlPr>
                      <w:rPr>
                        <w:rFonts w:ascii="Cambria Math" w:hAnsi="Cambria Math"/>
                        <w:sz w:val="24"/>
                      </w:rPr>
                    </m:ctrlPr>
                  </m:sSubPr>
                  <m:e>
                    <m:r>
                      <m:rPr>
                        <m:sty m:val="p"/>
                      </m:rPr>
                      <w:rPr>
                        <w:rFonts w:ascii="Cambria Math" w:hAnsi="Cambria Math"/>
                        <w:sz w:val="24"/>
                      </w:rPr>
                      <m:t>L</m:t>
                    </m:r>
                    <m:ctrlPr>
                      <w:rPr>
                        <w:rFonts w:ascii="Cambria Math" w:hAnsi="Cambria Math"/>
                        <w:sz w:val="24"/>
                      </w:rPr>
                    </m:ctrlPr>
                  </m:e>
                  <m:sub>
                    <m:r>
                      <m:rPr/>
                      <w:rPr>
                        <w:rFonts w:ascii="Cambria Math" w:hAnsi="Cambria Math"/>
                        <w:sz w:val="24"/>
                      </w:rPr>
                      <m:t>eqg</m:t>
                    </m:r>
                    <m:ctrlPr>
                      <w:rPr>
                        <w:rFonts w:ascii="Cambria Math" w:hAnsi="Cambria Math"/>
                        <w:sz w:val="24"/>
                      </w:rPr>
                    </m:ctrlPr>
                  </m:sub>
                </m:sSub>
                <m:r>
                  <m:rPr>
                    <m:sty m:val="p"/>
                  </m:rPr>
                  <w:rPr>
                    <w:rFonts w:ascii="Cambria Math" w:hAnsi="Cambria Math"/>
                    <w:sz w:val="24"/>
                  </w:rPr>
                  <m:t>=10</m:t>
                </m:r>
                <m:func>
                  <m:funcPr>
                    <m:ctrlPr>
                      <w:rPr>
                        <w:rFonts w:ascii="Cambria Math" w:hAnsi="Cambria Math"/>
                        <w:sz w:val="24"/>
                      </w:rPr>
                    </m:ctrlPr>
                  </m:funcPr>
                  <m:fName>
                    <m:r>
                      <m:rPr>
                        <m:sty m:val="p"/>
                      </m:rPr>
                      <w:rPr>
                        <w:rFonts w:ascii="Cambria Math" w:hAnsi="Cambria Math"/>
                        <w:sz w:val="24"/>
                      </w:rPr>
                      <m:t>lg</m:t>
                    </m:r>
                    <m:ctrlPr>
                      <w:rPr>
                        <w:rFonts w:ascii="Cambria Math" w:hAnsi="Cambria Math"/>
                        <w:sz w:val="24"/>
                      </w:rPr>
                    </m:ctrlPr>
                  </m:fName>
                  <m:e>
                    <m:d>
                      <m:dPr>
                        <m:ctrlPr>
                          <w:rPr>
                            <w:rFonts w:ascii="Cambria Math" w:hAnsi="Cambria Math"/>
                            <w:i/>
                            <w:sz w:val="24"/>
                          </w:rPr>
                        </m:ctrlPr>
                      </m:dPr>
                      <m:e>
                        <m:f>
                          <m:fPr>
                            <m:ctrlPr>
                              <w:rPr>
                                <w:rFonts w:ascii="Cambria Math" w:hAnsi="Cambria Math"/>
                                <w:i/>
                                <w:sz w:val="24"/>
                              </w:rPr>
                            </m:ctrlPr>
                          </m:fPr>
                          <m:num>
                            <m:r>
                              <m:rPr/>
                              <w:rPr>
                                <w:rFonts w:ascii="Cambria Math" w:hAnsi="Cambria Math"/>
                                <w:sz w:val="24"/>
                              </w:rPr>
                              <m:t>1</m:t>
                            </m:r>
                            <m:ctrlPr>
                              <w:rPr>
                                <w:rFonts w:ascii="Cambria Math" w:hAnsi="Cambria Math"/>
                                <w:i/>
                                <w:sz w:val="24"/>
                              </w:rPr>
                            </m:ctrlPr>
                          </m:num>
                          <m:den>
                            <m:r>
                              <m:rPr/>
                              <w:rPr>
                                <w:rFonts w:ascii="Cambria Math" w:hAnsi="Cambria Math"/>
                                <w:sz w:val="24"/>
                              </w:rPr>
                              <m:t>T</m:t>
                            </m:r>
                            <m:ctrlPr>
                              <w:rPr>
                                <w:rFonts w:ascii="Cambria Math" w:hAnsi="Cambria Math"/>
                                <w:i/>
                                <w:sz w:val="24"/>
                              </w:rPr>
                            </m:ctrlPr>
                          </m:den>
                        </m:f>
                        <m:nary>
                          <m:naryPr>
                            <m:chr m:val="∑"/>
                            <m:limLoc m:val="undOvr"/>
                            <m:supHide m:val="1"/>
                            <m:ctrlPr>
                              <w:rPr>
                                <w:rFonts w:ascii="Cambria Math" w:hAnsi="Cambria Math"/>
                                <w:i/>
                                <w:sz w:val="24"/>
                              </w:rPr>
                            </m:ctrlPr>
                          </m:naryPr>
                          <m:sub>
                            <m:r>
                              <m:rPr/>
                              <w:rPr>
                                <w:rFonts w:ascii="Cambria Math" w:hAnsi="Cambria Math"/>
                                <w:sz w:val="24"/>
                              </w:rPr>
                              <m:t>i</m:t>
                            </m:r>
                            <m:ctrlPr>
                              <w:rPr>
                                <w:rFonts w:ascii="Cambria Math" w:hAnsi="Cambria Math"/>
                                <w:i/>
                                <w:sz w:val="24"/>
                              </w:rPr>
                            </m:ctrlPr>
                          </m:sub>
                          <m:sup>
                            <m:ctrlPr>
                              <w:rPr>
                                <w:rFonts w:ascii="Cambria Math" w:hAnsi="Cambria Math"/>
                                <w:i/>
                                <w:sz w:val="24"/>
                              </w:rPr>
                            </m:ctrlPr>
                          </m:sup>
                          <m:e>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sSup>
                              <m:sSupPr>
                                <m:ctrlPr>
                                  <w:rPr>
                                    <w:rFonts w:ascii="Cambria Math" w:hAnsi="Cambria Math"/>
                                    <w:i/>
                                    <w:sz w:val="24"/>
                                  </w:rPr>
                                </m:ctrlPr>
                              </m:sSupPr>
                              <m:e>
                                <m:r>
                                  <m:rPr/>
                                  <w:rPr>
                                    <w:rFonts w:ascii="Cambria Math" w:hAnsi="Cambria Math"/>
                                    <w:sz w:val="24"/>
                                  </w:rPr>
                                  <m:t>10</m:t>
                                </m:r>
                                <m:ctrlPr>
                                  <w:rPr>
                                    <w:rFonts w:ascii="Cambria Math" w:hAnsi="Cambria Math"/>
                                    <w:i/>
                                    <w:sz w:val="24"/>
                                  </w:rPr>
                                </m:ctrlPr>
                              </m:e>
                              <m:sup>
                                <m:r>
                                  <m:rPr/>
                                  <w:rPr>
                                    <w:rFonts w:ascii="Cambria Math" w:hAnsi="Cambria Math"/>
                                    <w:sz w:val="24"/>
                                  </w:rPr>
                                  <m:t>0.1</m:t>
                                </m:r>
                                <m:sSub>
                                  <m:sSubPr>
                                    <m:ctrlPr>
                                      <w:rPr>
                                        <w:rFonts w:ascii="Cambria Math" w:hAnsi="Cambria Math"/>
                                        <w:i/>
                                        <w:sz w:val="24"/>
                                      </w:rPr>
                                    </m:ctrlPr>
                                  </m:sSubPr>
                                  <m:e>
                                    <m:r>
                                      <m:rPr/>
                                      <w:rPr>
                                        <w:rFonts w:ascii="Cambria Math" w:hAnsi="Cambria Math"/>
                                        <w:sz w:val="24"/>
                                      </w:rPr>
                                      <m:t>L</m:t>
                                    </m:r>
                                    <m:ctrlPr>
                                      <w:rPr>
                                        <w:rFonts w:ascii="Cambria Math" w:hAnsi="Cambria Math"/>
                                        <w:i/>
                                        <w:sz w:val="24"/>
                                      </w:rPr>
                                    </m:ctrlPr>
                                  </m:e>
                                  <m:sub>
                                    <m:r>
                                      <m:rPr/>
                                      <w:rPr>
                                        <w:rFonts w:ascii="Cambria Math" w:hAnsi="Cambria Math"/>
                                        <w:sz w:val="24"/>
                                      </w:rPr>
                                      <m:t>Ai</m:t>
                                    </m:r>
                                    <m:ctrlPr>
                                      <w:rPr>
                                        <w:rFonts w:ascii="Cambria Math" w:hAnsi="Cambria Math"/>
                                        <w:i/>
                                        <w:sz w:val="24"/>
                                      </w:rPr>
                                    </m:ctrlPr>
                                  </m:sub>
                                </m:sSub>
                                <m:ctrlPr>
                                  <w:rPr>
                                    <w:rFonts w:ascii="Cambria Math" w:hAnsi="Cambria Math"/>
                                    <w:i/>
                                    <w:sz w:val="24"/>
                                  </w:rPr>
                                </m:ctrlPr>
                              </m:sup>
                            </m:sSup>
                            <m:ctrlPr>
                              <w:rPr>
                                <w:rFonts w:ascii="Cambria Math" w:hAnsi="Cambria Math"/>
                                <w:i/>
                                <w:sz w:val="24"/>
                              </w:rPr>
                            </m:ctrlPr>
                          </m:e>
                        </m:nary>
                        <m:ctrlPr>
                          <w:rPr>
                            <w:rFonts w:ascii="Cambria Math" w:hAnsi="Cambria Math"/>
                            <w:i/>
                            <w:sz w:val="24"/>
                          </w:rPr>
                        </m:ctrlPr>
                      </m:e>
                    </m:d>
                    <m:ctrlPr>
                      <w:rPr>
                        <w:rFonts w:ascii="Cambria Math" w:hAnsi="Cambria Math"/>
                        <w:sz w:val="24"/>
                      </w:rPr>
                    </m:ctrlPr>
                  </m:e>
                </m:func>
              </m:oMath>
            </m:oMathPara>
          </w:p>
          <w:p>
            <w:pPr>
              <w:adjustRightInd w:val="0"/>
              <w:snapToGrid w:val="0"/>
              <w:spacing w:line="360" w:lineRule="auto"/>
              <w:ind w:firstLine="480" w:firstLineChars="200"/>
              <w:rPr>
                <w:kern w:val="0"/>
                <w:sz w:val="24"/>
              </w:rPr>
            </w:pPr>
            <w:r>
              <w:rPr>
                <w:kern w:val="0"/>
                <w:sz w:val="24"/>
              </w:rPr>
              <w:t>式中：Leqg为噪声贡献值，dB；</w:t>
            </w:r>
          </w:p>
          <w:p>
            <w:pPr>
              <w:adjustRightInd w:val="0"/>
              <w:snapToGrid w:val="0"/>
              <w:spacing w:line="360" w:lineRule="auto"/>
              <w:ind w:firstLine="1200" w:firstLineChars="500"/>
              <w:rPr>
                <w:kern w:val="0"/>
                <w:sz w:val="24"/>
              </w:rPr>
            </w:pPr>
            <w:r>
              <w:rPr>
                <w:kern w:val="0"/>
                <w:sz w:val="24"/>
              </w:rPr>
              <w:t>T为预测计算的时间段；</w:t>
            </w:r>
          </w:p>
          <w:p>
            <w:pPr>
              <w:adjustRightInd w:val="0"/>
              <w:snapToGrid w:val="0"/>
              <w:spacing w:line="360" w:lineRule="auto"/>
              <w:ind w:firstLine="1200" w:firstLineChars="500"/>
              <w:rPr>
                <w:kern w:val="0"/>
                <w:sz w:val="24"/>
              </w:rPr>
            </w:pPr>
            <w:r>
              <w:rPr>
                <w:kern w:val="0"/>
                <w:sz w:val="24"/>
              </w:rPr>
              <w:t>t</w:t>
            </w:r>
            <w:r>
              <w:rPr>
                <w:kern w:val="0"/>
                <w:sz w:val="24"/>
                <w:vertAlign w:val="subscript"/>
              </w:rPr>
              <w:t>i</w:t>
            </w:r>
            <w:r>
              <w:rPr>
                <w:kern w:val="0"/>
                <w:sz w:val="24"/>
              </w:rPr>
              <w:t>为i声源在T时段内的运行时间，s；；</w:t>
            </w:r>
          </w:p>
          <w:p>
            <w:pPr>
              <w:adjustRightInd w:val="0"/>
              <w:snapToGrid w:val="0"/>
              <w:spacing w:line="360" w:lineRule="auto"/>
              <w:ind w:firstLine="1200" w:firstLineChars="500"/>
              <w:rPr>
                <w:kern w:val="0"/>
                <w:sz w:val="24"/>
              </w:rPr>
            </w:pPr>
            <w:r>
              <w:rPr>
                <w:kern w:val="0"/>
                <w:sz w:val="24"/>
              </w:rPr>
              <w:t>Lai为i声源在预测点产生的等效连续A声级，dB。</w:t>
            </w:r>
          </w:p>
          <w:p>
            <w:pPr>
              <w:adjustRightInd w:val="0"/>
              <w:snapToGrid w:val="0"/>
              <w:spacing w:line="360" w:lineRule="auto"/>
              <w:ind w:firstLine="480" w:firstLineChars="200"/>
              <w:rPr>
                <w:b/>
                <w:bCs/>
                <w:kern w:val="0"/>
                <w:sz w:val="24"/>
              </w:rPr>
            </w:pPr>
            <w:r>
              <w:rPr>
                <w:kern w:val="0"/>
                <w:sz w:val="24"/>
              </w:rPr>
              <w:t>采用上述噪声预测模式，对厂界噪声值进行预测分析，项目营运期厂界噪声预测见表4-7。</w:t>
            </w:r>
          </w:p>
          <w:p>
            <w:pPr>
              <w:adjustRightInd w:val="0"/>
              <w:snapToGrid w:val="0"/>
              <w:jc w:val="center"/>
              <w:rPr>
                <w:b/>
                <w:bCs/>
                <w:kern w:val="0"/>
                <w:sz w:val="24"/>
              </w:rPr>
            </w:pPr>
            <w:r>
              <w:rPr>
                <w:b/>
                <w:bCs/>
                <w:kern w:val="0"/>
                <w:sz w:val="24"/>
              </w:rPr>
              <w:t>表4-7项目营运期昼间噪声预测结果单位：dB（A）</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2371"/>
              <w:gridCol w:w="1467"/>
              <w:gridCol w:w="1375"/>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pct"/>
                  <w:vAlign w:val="center"/>
                </w:tcPr>
                <w:p>
                  <w:pPr>
                    <w:adjustRightInd w:val="0"/>
                    <w:snapToGrid w:val="0"/>
                    <w:jc w:val="center"/>
                    <w:rPr>
                      <w:b/>
                      <w:kern w:val="0"/>
                      <w:szCs w:val="21"/>
                    </w:rPr>
                  </w:pPr>
                  <w:r>
                    <w:rPr>
                      <w:b/>
                      <w:kern w:val="0"/>
                      <w:szCs w:val="21"/>
                    </w:rPr>
                    <w:t>序号</w:t>
                  </w:r>
                </w:p>
              </w:tc>
              <w:tc>
                <w:tcPr>
                  <w:tcW w:w="1494" w:type="pct"/>
                  <w:vAlign w:val="center"/>
                </w:tcPr>
                <w:p>
                  <w:pPr>
                    <w:adjustRightInd w:val="0"/>
                    <w:snapToGrid w:val="0"/>
                    <w:jc w:val="center"/>
                    <w:rPr>
                      <w:b/>
                      <w:kern w:val="0"/>
                      <w:szCs w:val="21"/>
                    </w:rPr>
                  </w:pPr>
                  <w:r>
                    <w:rPr>
                      <w:b/>
                      <w:kern w:val="0"/>
                      <w:szCs w:val="21"/>
                    </w:rPr>
                    <w:t>点位</w:t>
                  </w:r>
                </w:p>
              </w:tc>
              <w:tc>
                <w:tcPr>
                  <w:tcW w:w="924" w:type="pct"/>
                  <w:vAlign w:val="center"/>
                </w:tcPr>
                <w:p>
                  <w:pPr>
                    <w:adjustRightInd w:val="0"/>
                    <w:snapToGrid w:val="0"/>
                    <w:jc w:val="center"/>
                    <w:rPr>
                      <w:b/>
                      <w:kern w:val="0"/>
                      <w:szCs w:val="21"/>
                    </w:rPr>
                  </w:pPr>
                  <w:r>
                    <w:rPr>
                      <w:b/>
                      <w:kern w:val="0"/>
                      <w:szCs w:val="21"/>
                    </w:rPr>
                    <w:t>贡献值</w:t>
                  </w:r>
                </w:p>
              </w:tc>
              <w:tc>
                <w:tcPr>
                  <w:tcW w:w="866" w:type="pct"/>
                  <w:vAlign w:val="center"/>
                </w:tcPr>
                <w:p>
                  <w:pPr>
                    <w:adjustRightInd w:val="0"/>
                    <w:snapToGrid w:val="0"/>
                    <w:jc w:val="center"/>
                    <w:rPr>
                      <w:b/>
                      <w:kern w:val="0"/>
                      <w:szCs w:val="21"/>
                    </w:rPr>
                  </w:pPr>
                  <w:r>
                    <w:rPr>
                      <w:b/>
                      <w:kern w:val="0"/>
                      <w:szCs w:val="21"/>
                    </w:rPr>
                    <w:t>标准值</w:t>
                  </w:r>
                </w:p>
              </w:tc>
              <w:tc>
                <w:tcPr>
                  <w:tcW w:w="1012" w:type="pct"/>
                  <w:vAlign w:val="center"/>
                </w:tcPr>
                <w:p>
                  <w:pPr>
                    <w:adjustRightInd w:val="0"/>
                    <w:snapToGrid w:val="0"/>
                    <w:jc w:val="center"/>
                    <w:rPr>
                      <w:b/>
                      <w:kern w:val="0"/>
                      <w:szCs w:val="21"/>
                    </w:rPr>
                  </w:pPr>
                  <w:r>
                    <w:rPr>
                      <w:b/>
                      <w:kern w:val="0"/>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pct"/>
                  <w:vAlign w:val="center"/>
                </w:tcPr>
                <w:p>
                  <w:pPr>
                    <w:adjustRightInd w:val="0"/>
                    <w:snapToGrid w:val="0"/>
                    <w:jc w:val="center"/>
                    <w:rPr>
                      <w:szCs w:val="21"/>
                    </w:rPr>
                  </w:pPr>
                  <w:r>
                    <w:rPr>
                      <w:szCs w:val="21"/>
                    </w:rPr>
                    <w:t>1</w:t>
                  </w:r>
                </w:p>
              </w:tc>
              <w:tc>
                <w:tcPr>
                  <w:tcW w:w="1494" w:type="pct"/>
                  <w:vAlign w:val="center"/>
                </w:tcPr>
                <w:p>
                  <w:pPr>
                    <w:adjustRightInd w:val="0"/>
                    <w:snapToGrid w:val="0"/>
                    <w:jc w:val="center"/>
                    <w:rPr>
                      <w:szCs w:val="21"/>
                    </w:rPr>
                  </w:pPr>
                  <w:r>
                    <w:rPr>
                      <w:szCs w:val="21"/>
                    </w:rPr>
                    <w:t>东侧厂界</w:t>
                  </w:r>
                </w:p>
              </w:tc>
              <w:tc>
                <w:tcPr>
                  <w:tcW w:w="924" w:type="pct"/>
                  <w:vAlign w:val="center"/>
                </w:tcPr>
                <w:p>
                  <w:pPr>
                    <w:adjustRightInd w:val="0"/>
                    <w:snapToGrid w:val="0"/>
                    <w:jc w:val="center"/>
                    <w:rPr>
                      <w:kern w:val="0"/>
                      <w:szCs w:val="21"/>
                    </w:rPr>
                  </w:pPr>
                  <w:r>
                    <w:rPr>
                      <w:kern w:val="0"/>
                      <w:szCs w:val="21"/>
                    </w:rPr>
                    <w:t>35</w:t>
                  </w:r>
                </w:p>
              </w:tc>
              <w:tc>
                <w:tcPr>
                  <w:tcW w:w="866" w:type="pct"/>
                  <w:vMerge w:val="restart"/>
                  <w:vAlign w:val="center"/>
                </w:tcPr>
                <w:p>
                  <w:pPr>
                    <w:adjustRightInd w:val="0"/>
                    <w:snapToGrid w:val="0"/>
                    <w:jc w:val="center"/>
                    <w:rPr>
                      <w:kern w:val="0"/>
                      <w:szCs w:val="21"/>
                    </w:rPr>
                  </w:pPr>
                  <w:r>
                    <w:rPr>
                      <w:kern w:val="0"/>
                      <w:szCs w:val="21"/>
                    </w:rPr>
                    <w:t>60（昼间）50（夜间）</w:t>
                  </w:r>
                </w:p>
              </w:tc>
              <w:tc>
                <w:tcPr>
                  <w:tcW w:w="1012" w:type="pct"/>
                  <w:vAlign w:val="center"/>
                </w:tcPr>
                <w:p>
                  <w:pPr>
                    <w:adjustRightInd w:val="0"/>
                    <w:snapToGrid w:val="0"/>
                    <w:jc w:val="center"/>
                    <w:rPr>
                      <w:kern w:val="0"/>
                      <w:szCs w:val="21"/>
                    </w:rPr>
                  </w:pPr>
                  <w:r>
                    <w:rPr>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pct"/>
                  <w:vAlign w:val="center"/>
                </w:tcPr>
                <w:p>
                  <w:pPr>
                    <w:adjustRightInd w:val="0"/>
                    <w:snapToGrid w:val="0"/>
                    <w:jc w:val="center"/>
                    <w:rPr>
                      <w:szCs w:val="21"/>
                    </w:rPr>
                  </w:pPr>
                  <w:r>
                    <w:rPr>
                      <w:szCs w:val="21"/>
                    </w:rPr>
                    <w:t>2</w:t>
                  </w:r>
                </w:p>
              </w:tc>
              <w:tc>
                <w:tcPr>
                  <w:tcW w:w="1494" w:type="pct"/>
                  <w:vAlign w:val="center"/>
                </w:tcPr>
                <w:p>
                  <w:pPr>
                    <w:adjustRightInd w:val="0"/>
                    <w:snapToGrid w:val="0"/>
                    <w:jc w:val="center"/>
                    <w:rPr>
                      <w:szCs w:val="21"/>
                    </w:rPr>
                  </w:pPr>
                  <w:r>
                    <w:rPr>
                      <w:szCs w:val="21"/>
                    </w:rPr>
                    <w:t>南侧厂界</w:t>
                  </w:r>
                </w:p>
              </w:tc>
              <w:tc>
                <w:tcPr>
                  <w:tcW w:w="924" w:type="pct"/>
                  <w:vAlign w:val="center"/>
                </w:tcPr>
                <w:p>
                  <w:pPr>
                    <w:adjustRightInd w:val="0"/>
                    <w:snapToGrid w:val="0"/>
                    <w:jc w:val="center"/>
                    <w:rPr>
                      <w:kern w:val="0"/>
                      <w:szCs w:val="21"/>
                    </w:rPr>
                  </w:pPr>
                  <w:r>
                    <w:rPr>
                      <w:kern w:val="0"/>
                      <w:szCs w:val="21"/>
                    </w:rPr>
                    <w:t>27</w:t>
                  </w:r>
                </w:p>
              </w:tc>
              <w:tc>
                <w:tcPr>
                  <w:tcW w:w="866" w:type="pct"/>
                  <w:vMerge w:val="continue"/>
                  <w:vAlign w:val="center"/>
                </w:tcPr>
                <w:p>
                  <w:pPr>
                    <w:adjustRightInd w:val="0"/>
                    <w:snapToGrid w:val="0"/>
                    <w:jc w:val="center"/>
                    <w:rPr>
                      <w:kern w:val="0"/>
                      <w:szCs w:val="21"/>
                    </w:rPr>
                  </w:pPr>
                </w:p>
              </w:tc>
              <w:tc>
                <w:tcPr>
                  <w:tcW w:w="1012" w:type="pct"/>
                  <w:vAlign w:val="center"/>
                </w:tcPr>
                <w:p>
                  <w:pPr>
                    <w:adjustRightInd w:val="0"/>
                    <w:snapToGrid w:val="0"/>
                    <w:jc w:val="center"/>
                    <w:rPr>
                      <w:kern w:val="0"/>
                      <w:szCs w:val="21"/>
                    </w:rPr>
                  </w:pPr>
                  <w:r>
                    <w:rPr>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pct"/>
                  <w:vAlign w:val="center"/>
                </w:tcPr>
                <w:p>
                  <w:pPr>
                    <w:adjustRightInd w:val="0"/>
                    <w:snapToGrid w:val="0"/>
                    <w:jc w:val="center"/>
                    <w:rPr>
                      <w:szCs w:val="21"/>
                    </w:rPr>
                  </w:pPr>
                  <w:r>
                    <w:rPr>
                      <w:szCs w:val="21"/>
                    </w:rPr>
                    <w:t>3</w:t>
                  </w:r>
                </w:p>
              </w:tc>
              <w:tc>
                <w:tcPr>
                  <w:tcW w:w="1494" w:type="pct"/>
                  <w:vAlign w:val="center"/>
                </w:tcPr>
                <w:p>
                  <w:pPr>
                    <w:adjustRightInd w:val="0"/>
                    <w:snapToGrid w:val="0"/>
                    <w:jc w:val="center"/>
                    <w:rPr>
                      <w:szCs w:val="21"/>
                    </w:rPr>
                  </w:pPr>
                  <w:r>
                    <w:rPr>
                      <w:szCs w:val="21"/>
                    </w:rPr>
                    <w:t>西侧厂界</w:t>
                  </w:r>
                </w:p>
              </w:tc>
              <w:tc>
                <w:tcPr>
                  <w:tcW w:w="924" w:type="pct"/>
                  <w:vAlign w:val="center"/>
                </w:tcPr>
                <w:p>
                  <w:pPr>
                    <w:adjustRightInd w:val="0"/>
                    <w:snapToGrid w:val="0"/>
                    <w:jc w:val="center"/>
                    <w:rPr>
                      <w:kern w:val="0"/>
                      <w:szCs w:val="21"/>
                    </w:rPr>
                  </w:pPr>
                  <w:r>
                    <w:rPr>
                      <w:kern w:val="0"/>
                      <w:szCs w:val="21"/>
                    </w:rPr>
                    <w:t>47</w:t>
                  </w:r>
                </w:p>
              </w:tc>
              <w:tc>
                <w:tcPr>
                  <w:tcW w:w="866" w:type="pct"/>
                  <w:vMerge w:val="continue"/>
                  <w:vAlign w:val="center"/>
                </w:tcPr>
                <w:p>
                  <w:pPr>
                    <w:adjustRightInd w:val="0"/>
                    <w:snapToGrid w:val="0"/>
                    <w:jc w:val="center"/>
                    <w:rPr>
                      <w:kern w:val="0"/>
                      <w:szCs w:val="21"/>
                    </w:rPr>
                  </w:pPr>
                </w:p>
              </w:tc>
              <w:tc>
                <w:tcPr>
                  <w:tcW w:w="1012" w:type="pct"/>
                  <w:vAlign w:val="center"/>
                </w:tcPr>
                <w:p>
                  <w:pPr>
                    <w:adjustRightInd w:val="0"/>
                    <w:snapToGrid w:val="0"/>
                    <w:jc w:val="center"/>
                    <w:rPr>
                      <w:kern w:val="0"/>
                      <w:szCs w:val="21"/>
                    </w:rPr>
                  </w:pPr>
                  <w:r>
                    <w:rPr>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pct"/>
                  <w:vAlign w:val="center"/>
                </w:tcPr>
                <w:p>
                  <w:pPr>
                    <w:adjustRightInd w:val="0"/>
                    <w:snapToGrid w:val="0"/>
                    <w:jc w:val="center"/>
                    <w:rPr>
                      <w:szCs w:val="21"/>
                    </w:rPr>
                  </w:pPr>
                  <w:r>
                    <w:rPr>
                      <w:szCs w:val="21"/>
                    </w:rPr>
                    <w:t>4</w:t>
                  </w:r>
                </w:p>
              </w:tc>
              <w:tc>
                <w:tcPr>
                  <w:tcW w:w="1494" w:type="pct"/>
                  <w:vAlign w:val="center"/>
                </w:tcPr>
                <w:p>
                  <w:pPr>
                    <w:adjustRightInd w:val="0"/>
                    <w:snapToGrid w:val="0"/>
                    <w:jc w:val="center"/>
                    <w:rPr>
                      <w:szCs w:val="21"/>
                    </w:rPr>
                  </w:pPr>
                  <w:r>
                    <w:rPr>
                      <w:szCs w:val="21"/>
                    </w:rPr>
                    <w:t>北侧厂界</w:t>
                  </w:r>
                </w:p>
              </w:tc>
              <w:tc>
                <w:tcPr>
                  <w:tcW w:w="924" w:type="pct"/>
                  <w:vAlign w:val="center"/>
                </w:tcPr>
                <w:p>
                  <w:pPr>
                    <w:adjustRightInd w:val="0"/>
                    <w:snapToGrid w:val="0"/>
                    <w:jc w:val="center"/>
                    <w:rPr>
                      <w:kern w:val="0"/>
                      <w:szCs w:val="21"/>
                    </w:rPr>
                  </w:pPr>
                  <w:r>
                    <w:rPr>
                      <w:kern w:val="0"/>
                      <w:szCs w:val="21"/>
                    </w:rPr>
                    <w:t>49</w:t>
                  </w:r>
                </w:p>
              </w:tc>
              <w:tc>
                <w:tcPr>
                  <w:tcW w:w="866" w:type="pct"/>
                  <w:vMerge w:val="continue"/>
                  <w:vAlign w:val="center"/>
                </w:tcPr>
                <w:p>
                  <w:pPr>
                    <w:adjustRightInd w:val="0"/>
                    <w:snapToGrid w:val="0"/>
                    <w:jc w:val="center"/>
                    <w:rPr>
                      <w:kern w:val="0"/>
                      <w:szCs w:val="21"/>
                    </w:rPr>
                  </w:pPr>
                </w:p>
              </w:tc>
              <w:tc>
                <w:tcPr>
                  <w:tcW w:w="1012" w:type="pct"/>
                  <w:vAlign w:val="center"/>
                </w:tcPr>
                <w:p>
                  <w:pPr>
                    <w:adjustRightInd w:val="0"/>
                    <w:snapToGrid w:val="0"/>
                    <w:jc w:val="center"/>
                    <w:rPr>
                      <w:kern w:val="0"/>
                      <w:szCs w:val="21"/>
                    </w:rPr>
                  </w:pPr>
                  <w:r>
                    <w:rPr>
                      <w:kern w:val="0"/>
                      <w:szCs w:val="21"/>
                    </w:rPr>
                    <w:t>达标</w:t>
                  </w:r>
                </w:p>
              </w:tc>
            </w:tr>
          </w:tbl>
          <w:p>
            <w:pPr>
              <w:adjustRightInd w:val="0"/>
              <w:snapToGrid w:val="0"/>
              <w:spacing w:line="360" w:lineRule="auto"/>
              <w:ind w:firstLine="480" w:firstLineChars="200"/>
              <w:rPr>
                <w:bCs/>
                <w:sz w:val="24"/>
              </w:rPr>
            </w:pPr>
            <w:r>
              <w:rPr>
                <w:kern w:val="0"/>
                <w:sz w:val="24"/>
              </w:rPr>
              <w:t>由上表可知，运营期厂界噪声能满足《工业企业厂界噪声标准》（GB12348-2008）中的2类标准的要求。因此，项目营运期产生的噪声对周边环境影响轻微。</w:t>
            </w:r>
          </w:p>
          <w:p>
            <w:pPr>
              <w:adjustRightInd w:val="0"/>
              <w:snapToGrid w:val="0"/>
              <w:spacing w:line="360" w:lineRule="auto"/>
              <w:ind w:firstLine="480" w:firstLineChars="200"/>
              <w:outlineLvl w:val="1"/>
              <w:rPr>
                <w:kern w:val="0"/>
                <w:sz w:val="24"/>
              </w:rPr>
            </w:pPr>
            <w:r>
              <w:rPr>
                <w:kern w:val="0"/>
                <w:sz w:val="24"/>
              </w:rPr>
              <w:t>为减小项目噪声对厂界及区域环境的影响，建议采取以下防治措施：</w:t>
            </w:r>
          </w:p>
          <w:p>
            <w:pPr>
              <w:adjustRightInd w:val="0"/>
              <w:snapToGrid w:val="0"/>
              <w:spacing w:line="360" w:lineRule="auto"/>
              <w:ind w:firstLine="480" w:firstLineChars="200"/>
              <w:rPr>
                <w:sz w:val="24"/>
                <w:lang w:val="zh-CN"/>
              </w:rPr>
            </w:pPr>
            <w:r>
              <w:rPr>
                <w:rFonts w:hint="eastAsia" w:ascii="宋体" w:hAnsi="宋体" w:cs="宋体"/>
                <w:sz w:val="24"/>
                <w:lang w:val="zh-CN"/>
              </w:rPr>
              <w:t>①</w:t>
            </w:r>
            <w:r>
              <w:rPr>
                <w:sz w:val="24"/>
                <w:lang w:val="zh-CN"/>
              </w:rPr>
              <w:t>定期对所有机械、电气设备进行检修维护，防止设备不正常工作带来噪声增加。</w:t>
            </w:r>
          </w:p>
          <w:p>
            <w:pPr>
              <w:adjustRightInd w:val="0"/>
              <w:snapToGrid w:val="0"/>
              <w:spacing w:line="360" w:lineRule="auto"/>
              <w:ind w:firstLine="480" w:firstLineChars="200"/>
              <w:rPr>
                <w:sz w:val="24"/>
                <w:lang w:val="zh-CN"/>
              </w:rPr>
            </w:pPr>
            <w:r>
              <w:rPr>
                <w:rFonts w:hint="eastAsia" w:ascii="宋体" w:hAnsi="宋体" w:cs="宋体"/>
                <w:sz w:val="24"/>
                <w:lang w:val="zh-CN"/>
              </w:rPr>
              <w:t>②</w:t>
            </w:r>
            <w:r>
              <w:rPr>
                <w:sz w:val="24"/>
                <w:lang w:val="zh-CN"/>
              </w:rPr>
              <w:t>在厂区空地及厂界四周建绿化隔离带，绿化带可以控制噪声在声源和保护对象之间空间内的传播，起到吸声和隔声作用。</w:t>
            </w:r>
          </w:p>
          <w:p>
            <w:pPr>
              <w:adjustRightInd w:val="0"/>
              <w:snapToGrid w:val="0"/>
              <w:spacing w:line="360" w:lineRule="auto"/>
              <w:ind w:firstLine="480" w:firstLineChars="200"/>
              <w:rPr>
                <w:sz w:val="24"/>
                <w:lang w:val="zh-CN"/>
              </w:rPr>
            </w:pPr>
            <w:r>
              <w:rPr>
                <w:sz w:val="24"/>
                <w:lang w:val="zh-CN"/>
              </w:rPr>
              <w:t>综上所述，本项目运营期产噪设备均采取有效治理措施，对周围环境影响</w:t>
            </w:r>
            <w:r>
              <w:rPr>
                <w:kern w:val="0"/>
                <w:sz w:val="24"/>
              </w:rPr>
              <w:t>不大</w:t>
            </w:r>
            <w:r>
              <w:rPr>
                <w:sz w:val="24"/>
              </w:rPr>
              <w:t>。</w:t>
            </w:r>
          </w:p>
          <w:p>
            <w:pPr>
              <w:adjustRightInd w:val="0"/>
              <w:snapToGrid w:val="0"/>
              <w:spacing w:line="360" w:lineRule="auto"/>
              <w:ind w:firstLine="480" w:firstLineChars="200"/>
              <w:rPr>
                <w:bCs/>
                <w:sz w:val="24"/>
              </w:rPr>
            </w:pPr>
            <w:r>
              <w:rPr>
                <w:bCs/>
                <w:sz w:val="24"/>
              </w:rPr>
              <w:t>（3）监测要求</w:t>
            </w:r>
          </w:p>
          <w:p>
            <w:pPr>
              <w:pStyle w:val="47"/>
              <w:jc w:val="left"/>
              <w:rPr>
                <w:color w:val="auto"/>
                <w:szCs w:val="24"/>
              </w:rPr>
            </w:pPr>
            <w:r>
              <w:rPr>
                <w:color w:val="auto"/>
              </w:rPr>
              <w:t>本项目按照《排污单位自行监测技术指南总则》（HJ819-2017）中规定的要求进行自行监测，</w:t>
            </w:r>
            <w:r>
              <w:rPr>
                <w:color w:val="auto"/>
                <w:szCs w:val="24"/>
              </w:rPr>
              <w:t>本项目噪声监测要求如表4-8所示。</w:t>
            </w:r>
          </w:p>
          <w:p>
            <w:pPr>
              <w:pStyle w:val="45"/>
              <w:ind w:left="0" w:firstLine="0"/>
              <w:rPr>
                <w:color w:val="auto"/>
                <w:sz w:val="24"/>
                <w:szCs w:val="24"/>
              </w:rPr>
            </w:pPr>
            <w:r>
              <w:rPr>
                <w:color w:val="auto"/>
                <w:sz w:val="24"/>
                <w:szCs w:val="24"/>
              </w:rPr>
              <w:t>表4-8噪声监测内容及计划一览表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1256"/>
              <w:gridCol w:w="1256"/>
              <w:gridCol w:w="1143"/>
              <w:gridCol w:w="3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Align w:val="center"/>
                </w:tcPr>
                <w:p>
                  <w:pPr>
                    <w:adjustRightInd w:val="0"/>
                    <w:snapToGrid w:val="0"/>
                    <w:jc w:val="center"/>
                    <w:rPr>
                      <w:b/>
                    </w:rPr>
                  </w:pPr>
                  <w:r>
                    <w:rPr>
                      <w:b/>
                    </w:rPr>
                    <w:t>类型</w:t>
                  </w:r>
                </w:p>
              </w:tc>
              <w:tc>
                <w:tcPr>
                  <w:tcW w:w="791" w:type="pct"/>
                  <w:vAlign w:val="center"/>
                </w:tcPr>
                <w:p>
                  <w:pPr>
                    <w:adjustRightInd w:val="0"/>
                    <w:snapToGrid w:val="0"/>
                    <w:jc w:val="center"/>
                    <w:rPr>
                      <w:b/>
                    </w:rPr>
                  </w:pPr>
                  <w:r>
                    <w:rPr>
                      <w:b/>
                    </w:rPr>
                    <w:t>监测点位</w:t>
                  </w:r>
                </w:p>
              </w:tc>
              <w:tc>
                <w:tcPr>
                  <w:tcW w:w="791" w:type="pct"/>
                  <w:vAlign w:val="center"/>
                </w:tcPr>
                <w:p>
                  <w:pPr>
                    <w:adjustRightInd w:val="0"/>
                    <w:snapToGrid w:val="0"/>
                    <w:jc w:val="center"/>
                    <w:rPr>
                      <w:b/>
                    </w:rPr>
                  </w:pPr>
                  <w:r>
                    <w:rPr>
                      <w:b/>
                    </w:rPr>
                    <w:t>监测因子</w:t>
                  </w:r>
                </w:p>
              </w:tc>
              <w:tc>
                <w:tcPr>
                  <w:tcW w:w="720" w:type="pct"/>
                  <w:vAlign w:val="center"/>
                </w:tcPr>
                <w:p>
                  <w:pPr>
                    <w:adjustRightInd w:val="0"/>
                    <w:snapToGrid w:val="0"/>
                    <w:jc w:val="center"/>
                    <w:rPr>
                      <w:b/>
                    </w:rPr>
                  </w:pPr>
                  <w:r>
                    <w:rPr>
                      <w:b/>
                    </w:rPr>
                    <w:t>监测频次</w:t>
                  </w:r>
                </w:p>
              </w:tc>
              <w:tc>
                <w:tcPr>
                  <w:tcW w:w="2019" w:type="pct"/>
                  <w:vAlign w:val="center"/>
                </w:tcPr>
                <w:p>
                  <w:pPr>
                    <w:adjustRightInd w:val="0"/>
                    <w:snapToGrid w:val="0"/>
                    <w:jc w:val="center"/>
                    <w:rPr>
                      <w:b/>
                    </w:rPr>
                  </w:pPr>
                  <w:r>
                    <w:rPr>
                      <w:b/>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Align w:val="center"/>
                </w:tcPr>
                <w:p>
                  <w:pPr>
                    <w:adjustRightInd w:val="0"/>
                    <w:snapToGrid w:val="0"/>
                    <w:jc w:val="center"/>
                  </w:pPr>
                  <w:r>
                    <w:t>厂界</w:t>
                  </w:r>
                </w:p>
              </w:tc>
              <w:tc>
                <w:tcPr>
                  <w:tcW w:w="791" w:type="pct"/>
                  <w:vAlign w:val="center"/>
                </w:tcPr>
                <w:p>
                  <w:pPr>
                    <w:adjustRightInd w:val="0"/>
                    <w:snapToGrid w:val="0"/>
                    <w:jc w:val="center"/>
                  </w:pPr>
                  <w:r>
                    <w:t>厂界四周</w:t>
                  </w:r>
                </w:p>
              </w:tc>
              <w:tc>
                <w:tcPr>
                  <w:tcW w:w="791" w:type="pct"/>
                  <w:vAlign w:val="center"/>
                </w:tcPr>
                <w:p>
                  <w:pPr>
                    <w:adjustRightInd w:val="0"/>
                    <w:snapToGrid w:val="0"/>
                    <w:jc w:val="center"/>
                  </w:pPr>
                  <w:r>
                    <w:t>Leq(A)</w:t>
                  </w:r>
                </w:p>
              </w:tc>
              <w:tc>
                <w:tcPr>
                  <w:tcW w:w="720" w:type="pct"/>
                  <w:vAlign w:val="center"/>
                </w:tcPr>
                <w:p>
                  <w:pPr>
                    <w:adjustRightInd w:val="0"/>
                    <w:snapToGrid w:val="0"/>
                    <w:jc w:val="center"/>
                  </w:pPr>
                  <w:r>
                    <w:t>1次/季度</w:t>
                  </w:r>
                </w:p>
              </w:tc>
              <w:tc>
                <w:tcPr>
                  <w:tcW w:w="2019" w:type="pct"/>
                  <w:vAlign w:val="center"/>
                </w:tcPr>
                <w:p>
                  <w:pPr>
                    <w:adjustRightInd w:val="0"/>
                    <w:snapToGrid w:val="0"/>
                    <w:jc w:val="center"/>
                  </w:pPr>
                  <w:r>
                    <w:t>《工业企业厂界环境噪声排放标准》（GB12348-2008）中2类标准</w:t>
                  </w:r>
                </w:p>
              </w:tc>
            </w:tr>
          </w:tbl>
          <w:p>
            <w:pPr>
              <w:adjustRightInd w:val="0"/>
              <w:snapToGrid w:val="0"/>
              <w:spacing w:line="360" w:lineRule="auto"/>
              <w:ind w:firstLine="482" w:firstLineChars="200"/>
              <w:rPr>
                <w:b/>
                <w:bCs/>
                <w:sz w:val="24"/>
              </w:rPr>
            </w:pPr>
            <w:r>
              <w:rPr>
                <w:b/>
                <w:bCs/>
                <w:sz w:val="24"/>
              </w:rPr>
              <w:t>4、固体废物</w:t>
            </w:r>
          </w:p>
          <w:p>
            <w:pPr>
              <w:adjustRightInd w:val="0"/>
              <w:snapToGrid w:val="0"/>
              <w:spacing w:line="360" w:lineRule="auto"/>
              <w:ind w:firstLine="480" w:firstLineChars="200"/>
              <w:rPr>
                <w:bCs/>
                <w:sz w:val="24"/>
              </w:rPr>
            </w:pPr>
            <w:r>
              <w:rPr>
                <w:bCs/>
                <w:sz w:val="24"/>
              </w:rPr>
              <w:t>（1）固体废物产生及处置情况</w:t>
            </w:r>
          </w:p>
          <w:p>
            <w:pPr>
              <w:adjustRightInd w:val="0"/>
              <w:snapToGrid w:val="0"/>
              <w:spacing w:line="360" w:lineRule="auto"/>
              <w:ind w:firstLine="480" w:firstLineChars="200"/>
              <w:rPr>
                <w:bCs/>
                <w:sz w:val="24"/>
              </w:rPr>
            </w:pPr>
            <w:r>
              <w:rPr>
                <w:bCs/>
                <w:sz w:val="24"/>
              </w:rPr>
              <w:t>本项目产生固体废物为包括生活垃圾、餐厨垃圾、遗物焚烧炉和祭祀炉焚烧灰渣、除尘器灰渣、污泥、废活性炭、解剖废物。</w:t>
            </w:r>
          </w:p>
          <w:p>
            <w:pPr>
              <w:adjustRightInd w:val="0"/>
              <w:snapToGrid w:val="0"/>
              <w:spacing w:line="360" w:lineRule="auto"/>
              <w:ind w:firstLine="480" w:firstLineChars="200"/>
              <w:rPr>
                <w:bCs/>
                <w:sz w:val="24"/>
              </w:rPr>
            </w:pPr>
            <w:r>
              <w:rPr>
                <w:bCs/>
                <w:sz w:val="24"/>
              </w:rPr>
              <w:fldChar w:fldCharType="begin"/>
            </w:r>
            <w:r>
              <w:rPr>
                <w:bCs/>
                <w:sz w:val="24"/>
              </w:rPr>
              <w:instrText xml:space="preserve"> = 1 \* GB3 </w:instrText>
            </w:r>
            <w:r>
              <w:rPr>
                <w:bCs/>
                <w:sz w:val="24"/>
              </w:rPr>
              <w:fldChar w:fldCharType="separate"/>
            </w:r>
            <w:r>
              <w:rPr>
                <w:rFonts w:hint="eastAsia" w:ascii="宋体" w:hAnsi="宋体" w:cs="宋体"/>
                <w:bCs/>
                <w:sz w:val="24"/>
              </w:rPr>
              <w:t>①</w:t>
            </w:r>
            <w:r>
              <w:rPr>
                <w:bCs/>
                <w:sz w:val="24"/>
              </w:rPr>
              <w:fldChar w:fldCharType="end"/>
            </w:r>
            <w:r>
              <w:rPr>
                <w:bCs/>
                <w:sz w:val="24"/>
              </w:rPr>
              <w:t>生活垃圾</w:t>
            </w:r>
          </w:p>
          <w:p>
            <w:pPr>
              <w:adjustRightInd w:val="0"/>
              <w:snapToGrid w:val="0"/>
              <w:spacing w:line="360" w:lineRule="auto"/>
              <w:ind w:firstLine="480" w:firstLineChars="200"/>
              <w:rPr>
                <w:bCs/>
                <w:sz w:val="24"/>
              </w:rPr>
            </w:pPr>
            <w:r>
              <w:rPr>
                <w:bCs/>
                <w:sz w:val="24"/>
              </w:rPr>
              <w:t>本项目劳动定员为50人，按照0.5kg/人·d计算，治丧人员每天250人，按照0.1kg/人·d计算，，则生活垃圾产生量为18.25t/a，交由环卫部门统一收集处理。</w:t>
            </w:r>
          </w:p>
          <w:p>
            <w:pPr>
              <w:adjustRightInd w:val="0"/>
              <w:snapToGrid w:val="0"/>
              <w:spacing w:line="360" w:lineRule="auto"/>
              <w:ind w:firstLine="480" w:firstLineChars="200"/>
              <w:rPr>
                <w:bCs/>
                <w:sz w:val="24"/>
              </w:rPr>
            </w:pPr>
            <w:r>
              <w:rPr>
                <w:bCs/>
                <w:sz w:val="24"/>
              </w:rPr>
              <w:fldChar w:fldCharType="begin"/>
            </w:r>
            <w:r>
              <w:rPr>
                <w:bCs/>
                <w:sz w:val="24"/>
              </w:rPr>
              <w:instrText xml:space="preserve"> = 2 \* GB3 </w:instrText>
            </w:r>
            <w:r>
              <w:rPr>
                <w:bCs/>
                <w:sz w:val="24"/>
              </w:rPr>
              <w:fldChar w:fldCharType="separate"/>
            </w:r>
            <w:r>
              <w:rPr>
                <w:rFonts w:hint="eastAsia" w:ascii="宋体" w:hAnsi="宋体" w:cs="宋体"/>
                <w:bCs/>
                <w:sz w:val="24"/>
              </w:rPr>
              <w:t>②</w:t>
            </w:r>
            <w:r>
              <w:rPr>
                <w:bCs/>
                <w:sz w:val="24"/>
              </w:rPr>
              <w:fldChar w:fldCharType="end"/>
            </w:r>
            <w:r>
              <w:rPr>
                <w:bCs/>
                <w:sz w:val="24"/>
              </w:rPr>
              <w:t>餐厨垃圾（包含隔油池浮油）</w:t>
            </w:r>
          </w:p>
          <w:p>
            <w:pPr>
              <w:adjustRightInd w:val="0"/>
              <w:snapToGrid w:val="0"/>
              <w:spacing w:line="360" w:lineRule="auto"/>
              <w:ind w:firstLine="480" w:firstLineChars="200"/>
              <w:rPr>
                <w:bCs/>
                <w:sz w:val="24"/>
              </w:rPr>
            </w:pPr>
            <w:r>
              <w:rPr>
                <w:bCs/>
                <w:sz w:val="24"/>
              </w:rPr>
              <w:t>本评价取食堂人均餐厨垃圾（包含隔油池浮油）产生量为0.10kg/人·d，食堂为员工和治丧人员提供用餐服务，员工为50人，治丧用餐人数以100人/d计，则食堂餐厨垃圾（包含隔油池浮油）产生量约为5.48t/a。</w:t>
            </w:r>
          </w:p>
          <w:p>
            <w:pPr>
              <w:adjustRightInd w:val="0"/>
              <w:snapToGrid w:val="0"/>
              <w:spacing w:line="360" w:lineRule="auto"/>
              <w:ind w:firstLine="480" w:firstLineChars="200"/>
              <w:rPr>
                <w:bCs/>
                <w:sz w:val="24"/>
              </w:rPr>
            </w:pPr>
            <w:r>
              <w:rPr>
                <w:bCs/>
                <w:sz w:val="24"/>
              </w:rPr>
              <w:t>本项目产生的餐厨垃圾经收集后交由有相关资质单位清运处置。</w:t>
            </w:r>
          </w:p>
          <w:p>
            <w:pPr>
              <w:adjustRightInd w:val="0"/>
              <w:snapToGrid w:val="0"/>
              <w:spacing w:line="360" w:lineRule="auto"/>
              <w:ind w:firstLine="480" w:firstLineChars="200"/>
              <w:rPr>
                <w:bCs/>
                <w:sz w:val="24"/>
              </w:rPr>
            </w:pPr>
            <w:r>
              <w:rPr>
                <w:bCs/>
                <w:sz w:val="24"/>
              </w:rPr>
              <w:fldChar w:fldCharType="begin"/>
            </w:r>
            <w:r>
              <w:rPr>
                <w:bCs/>
                <w:sz w:val="24"/>
              </w:rPr>
              <w:instrText xml:space="preserve"> = 3 \* GB3 </w:instrText>
            </w:r>
            <w:r>
              <w:rPr>
                <w:bCs/>
                <w:sz w:val="24"/>
              </w:rPr>
              <w:fldChar w:fldCharType="separate"/>
            </w:r>
            <w:r>
              <w:rPr>
                <w:rFonts w:hint="eastAsia" w:ascii="宋体" w:hAnsi="宋体" w:cs="宋体"/>
                <w:bCs/>
                <w:sz w:val="24"/>
              </w:rPr>
              <w:t>③</w:t>
            </w:r>
            <w:r>
              <w:rPr>
                <w:bCs/>
                <w:sz w:val="24"/>
              </w:rPr>
              <w:fldChar w:fldCharType="end"/>
            </w:r>
            <w:r>
              <w:rPr>
                <w:rFonts w:hint="eastAsia"/>
                <w:bCs/>
                <w:sz w:val="24"/>
              </w:rPr>
              <w:t>遗物</w:t>
            </w:r>
            <w:r>
              <w:rPr>
                <w:bCs/>
                <w:sz w:val="24"/>
              </w:rPr>
              <w:t>焚烧炉和祭祀炉焚烧灰渣</w:t>
            </w:r>
          </w:p>
          <w:p>
            <w:pPr>
              <w:adjustRightInd w:val="0"/>
              <w:snapToGrid w:val="0"/>
              <w:spacing w:line="360" w:lineRule="auto"/>
              <w:ind w:firstLine="480" w:firstLineChars="200"/>
              <w:rPr>
                <w:bCs/>
                <w:sz w:val="24"/>
              </w:rPr>
            </w:pPr>
            <w:r>
              <w:rPr>
                <w:bCs/>
                <w:sz w:val="24"/>
              </w:rPr>
              <w:t>根据经验统计，平均每具遗体遗物及祭品焚烧量约20kg，灰渣产生量0.5kg。本项目年焚尸量10000具，年产生遗物及祭品焚烧灰渣5t/a，集中收集后由环卫部门统一清运。</w:t>
            </w:r>
          </w:p>
          <w:p>
            <w:pPr>
              <w:adjustRightInd w:val="0"/>
              <w:snapToGrid w:val="0"/>
              <w:spacing w:line="360" w:lineRule="auto"/>
              <w:ind w:firstLine="480" w:firstLineChars="200"/>
              <w:rPr>
                <w:bCs/>
                <w:sz w:val="24"/>
              </w:rPr>
            </w:pPr>
            <w:r>
              <w:rPr>
                <w:bCs/>
                <w:sz w:val="24"/>
              </w:rPr>
              <w:fldChar w:fldCharType="begin"/>
            </w:r>
            <w:r>
              <w:rPr>
                <w:bCs/>
                <w:sz w:val="24"/>
              </w:rPr>
              <w:instrText xml:space="preserve"> = 4 \* GB3 </w:instrText>
            </w:r>
            <w:r>
              <w:rPr>
                <w:bCs/>
                <w:sz w:val="24"/>
              </w:rPr>
              <w:fldChar w:fldCharType="separate"/>
            </w:r>
            <w:r>
              <w:rPr>
                <w:rFonts w:hint="eastAsia" w:ascii="宋体" w:hAnsi="宋体" w:cs="宋体"/>
                <w:bCs/>
                <w:sz w:val="24"/>
              </w:rPr>
              <w:t>④</w:t>
            </w:r>
            <w:r>
              <w:rPr>
                <w:bCs/>
                <w:sz w:val="24"/>
              </w:rPr>
              <w:fldChar w:fldCharType="end"/>
            </w:r>
            <w:r>
              <w:rPr>
                <w:bCs/>
                <w:sz w:val="24"/>
              </w:rPr>
              <w:t>污泥</w:t>
            </w:r>
          </w:p>
          <w:p>
            <w:pPr>
              <w:adjustRightInd w:val="0"/>
              <w:snapToGrid w:val="0"/>
              <w:spacing w:line="360" w:lineRule="auto"/>
              <w:ind w:firstLine="480" w:firstLineChars="200"/>
              <w:rPr>
                <w:bCs/>
                <w:sz w:val="24"/>
              </w:rPr>
            </w:pPr>
            <w:r>
              <w:rPr>
                <w:bCs/>
                <w:sz w:val="24"/>
              </w:rPr>
              <w:t>据《集中式污染治理设施产物系数手册》（2010年修订）中采用一级处理（含一级强化处理）核算公式：</w:t>
            </w:r>
          </w:p>
          <w:p>
            <w:pPr>
              <w:adjustRightInd w:val="0"/>
              <w:snapToGrid w:val="0"/>
              <w:spacing w:line="360" w:lineRule="auto"/>
              <w:jc w:val="center"/>
              <w:rPr>
                <w:bCs/>
                <w:sz w:val="24"/>
              </w:rPr>
            </w:pPr>
            <w:r>
              <w:rPr>
                <w:bCs/>
                <w:sz w:val="24"/>
              </w:rPr>
              <w:t>S=k</w:t>
            </w:r>
            <w:r>
              <w:rPr>
                <w:bCs/>
                <w:sz w:val="24"/>
                <w:vertAlign w:val="subscript"/>
              </w:rPr>
              <w:t>1</w:t>
            </w:r>
            <w:r>
              <w:rPr>
                <w:bCs/>
                <w:sz w:val="24"/>
              </w:rPr>
              <w:t>Q+k</w:t>
            </w:r>
            <w:r>
              <w:rPr>
                <w:bCs/>
                <w:sz w:val="24"/>
                <w:vertAlign w:val="subscript"/>
              </w:rPr>
              <w:t>3</w:t>
            </w:r>
            <w:r>
              <w:rPr>
                <w:bCs/>
                <w:sz w:val="24"/>
              </w:rPr>
              <w:t>C</w:t>
            </w:r>
          </w:p>
          <w:p>
            <w:pPr>
              <w:adjustRightInd w:val="0"/>
              <w:snapToGrid w:val="0"/>
              <w:spacing w:line="360" w:lineRule="auto"/>
              <w:ind w:firstLine="480" w:firstLineChars="200"/>
              <w:rPr>
                <w:bCs/>
                <w:sz w:val="24"/>
              </w:rPr>
            </w:pPr>
            <w:r>
              <w:rPr>
                <w:bCs/>
                <w:sz w:val="24"/>
              </w:rPr>
              <w:t>S—污水处理厂含水率80%的污泥产生量，t/a；</w:t>
            </w:r>
          </w:p>
          <w:p>
            <w:pPr>
              <w:adjustRightInd w:val="0"/>
              <w:snapToGrid w:val="0"/>
              <w:spacing w:line="360" w:lineRule="auto"/>
              <w:ind w:firstLine="480" w:firstLineChars="200"/>
              <w:rPr>
                <w:bCs/>
                <w:sz w:val="24"/>
              </w:rPr>
            </w:pPr>
            <w:r>
              <w:rPr>
                <w:bCs/>
                <w:sz w:val="24"/>
              </w:rPr>
              <w:t>k1—城镇污水处理厂物理污泥产生系数，吨/万吨—污水处理量，k1=5.38</w:t>
            </w:r>
          </w:p>
          <w:p>
            <w:pPr>
              <w:adjustRightInd w:val="0"/>
              <w:snapToGrid w:val="0"/>
              <w:spacing w:line="360" w:lineRule="auto"/>
              <w:ind w:firstLine="480" w:firstLineChars="200"/>
              <w:rPr>
                <w:bCs/>
                <w:sz w:val="24"/>
              </w:rPr>
            </w:pPr>
            <w:r>
              <w:rPr>
                <w:bCs/>
                <w:sz w:val="24"/>
              </w:rPr>
              <w:t>k</w:t>
            </w:r>
            <w:r>
              <w:rPr>
                <w:bCs/>
                <w:sz w:val="24"/>
                <w:vertAlign w:val="subscript"/>
              </w:rPr>
              <w:t>3</w:t>
            </w:r>
            <w:r>
              <w:rPr>
                <w:bCs/>
                <w:sz w:val="24"/>
              </w:rPr>
              <w:t>—城镇污水处理厂或工业废水集中处理设施的化学污泥产生系数，吨/吨絮凝剂使用量，k3=4.53</w:t>
            </w:r>
          </w:p>
          <w:p>
            <w:pPr>
              <w:adjustRightInd w:val="0"/>
              <w:snapToGrid w:val="0"/>
              <w:spacing w:line="360" w:lineRule="auto"/>
              <w:ind w:firstLine="480" w:firstLineChars="200"/>
              <w:rPr>
                <w:bCs/>
                <w:sz w:val="24"/>
              </w:rPr>
            </w:pPr>
            <w:r>
              <w:rPr>
                <w:bCs/>
                <w:sz w:val="24"/>
              </w:rPr>
              <w:t>Q—污水处理厂的实际污（废）水处理量，万吨/a，0.08万吨/a；</w:t>
            </w:r>
          </w:p>
          <w:p>
            <w:pPr>
              <w:adjustRightInd w:val="0"/>
              <w:snapToGrid w:val="0"/>
              <w:spacing w:line="360" w:lineRule="auto"/>
              <w:ind w:firstLine="480" w:firstLineChars="200"/>
              <w:rPr>
                <w:bCs/>
                <w:sz w:val="24"/>
              </w:rPr>
            </w:pPr>
            <w:r>
              <w:rPr>
                <w:bCs/>
                <w:sz w:val="24"/>
              </w:rPr>
              <w:t>C—</w:t>
            </w:r>
            <w:r>
              <w:rPr>
                <w:sz w:val="24"/>
              </w:rPr>
              <w:t>污水处理厂的无机絮凝剂使用总量，吨/年，2.95t/a。有机絮凝剂由于用量较少，对总的污泥产生量影响不大，忽略不计。</w:t>
            </w:r>
          </w:p>
          <w:p>
            <w:pPr>
              <w:adjustRightInd w:val="0"/>
              <w:snapToGrid w:val="0"/>
              <w:spacing w:line="360" w:lineRule="auto"/>
              <w:ind w:firstLine="480" w:firstLineChars="200"/>
              <w:rPr>
                <w:bCs/>
                <w:sz w:val="24"/>
              </w:rPr>
            </w:pPr>
            <w:r>
              <w:rPr>
                <w:bCs/>
                <w:sz w:val="24"/>
              </w:rPr>
              <w:t>经计算，本项目80%含水率污泥产生量为2.95t/a。</w:t>
            </w:r>
            <w:r>
              <w:rPr>
                <w:rFonts w:hint="eastAsia"/>
                <w:bCs/>
                <w:sz w:val="24"/>
              </w:rPr>
              <w:t>消毒后委托有资质</w:t>
            </w:r>
            <w:r>
              <w:rPr>
                <w:bCs/>
                <w:sz w:val="24"/>
              </w:rPr>
              <w:t>单位处置。</w:t>
            </w:r>
          </w:p>
          <w:p>
            <w:pPr>
              <w:adjustRightInd w:val="0"/>
              <w:snapToGrid w:val="0"/>
              <w:spacing w:line="360" w:lineRule="auto"/>
              <w:ind w:firstLine="480" w:firstLineChars="200"/>
              <w:rPr>
                <w:bCs/>
                <w:sz w:val="24"/>
              </w:rPr>
            </w:pPr>
            <w:r>
              <w:rPr>
                <w:bCs/>
                <w:sz w:val="24"/>
              </w:rPr>
              <w:fldChar w:fldCharType="begin"/>
            </w:r>
            <w:r>
              <w:rPr>
                <w:bCs/>
                <w:sz w:val="24"/>
              </w:rPr>
              <w:instrText xml:space="preserve"> = 5 \* GB3 </w:instrText>
            </w:r>
            <w:r>
              <w:rPr>
                <w:bCs/>
                <w:sz w:val="24"/>
              </w:rPr>
              <w:fldChar w:fldCharType="separate"/>
            </w:r>
            <w:r>
              <w:rPr>
                <w:rFonts w:hint="eastAsia" w:ascii="宋体" w:hAnsi="宋体" w:cs="宋体"/>
                <w:bCs/>
                <w:sz w:val="24"/>
              </w:rPr>
              <w:t>⑤</w:t>
            </w:r>
            <w:r>
              <w:rPr>
                <w:bCs/>
                <w:sz w:val="24"/>
              </w:rPr>
              <w:fldChar w:fldCharType="end"/>
            </w:r>
            <w:r>
              <w:rPr>
                <w:bCs/>
                <w:sz w:val="24"/>
              </w:rPr>
              <w:t>布袋除尘器灰渣</w:t>
            </w:r>
          </w:p>
          <w:p>
            <w:pPr>
              <w:adjustRightInd w:val="0"/>
              <w:snapToGrid w:val="0"/>
              <w:spacing w:line="360" w:lineRule="auto"/>
              <w:ind w:firstLine="480" w:firstLineChars="200"/>
              <w:rPr>
                <w:bCs/>
                <w:sz w:val="24"/>
              </w:rPr>
            </w:pPr>
            <w:r>
              <w:rPr>
                <w:bCs/>
                <w:sz w:val="24"/>
              </w:rPr>
              <w:t>项目布袋除尘器灰渣来源于火化炉、焚烧炉、祭祀炉，主要为燃烧飞灰，成分含钙、镁等氧化物，根据烟尘产生量和排放量计算，产生量为6.46t/a，为危险废物HW18 772-002-18，暂存于危废暂存间，定期交由有资质单位处理。</w:t>
            </w:r>
          </w:p>
          <w:p>
            <w:pPr>
              <w:adjustRightInd w:val="0"/>
              <w:snapToGrid w:val="0"/>
              <w:spacing w:line="360" w:lineRule="auto"/>
              <w:ind w:firstLine="480" w:firstLineChars="200"/>
              <w:rPr>
                <w:bCs/>
                <w:sz w:val="24"/>
              </w:rPr>
            </w:pPr>
            <w:r>
              <w:rPr>
                <w:bCs/>
                <w:sz w:val="24"/>
              </w:rPr>
              <w:fldChar w:fldCharType="begin"/>
            </w:r>
            <w:r>
              <w:rPr>
                <w:bCs/>
                <w:sz w:val="24"/>
              </w:rPr>
              <w:instrText xml:space="preserve"> = 6 \* GB3 </w:instrText>
            </w:r>
            <w:r>
              <w:rPr>
                <w:bCs/>
                <w:sz w:val="24"/>
              </w:rPr>
              <w:fldChar w:fldCharType="separate"/>
            </w:r>
            <w:r>
              <w:rPr>
                <w:rFonts w:hint="eastAsia" w:ascii="宋体" w:hAnsi="宋体" w:cs="宋体"/>
                <w:bCs/>
                <w:sz w:val="24"/>
              </w:rPr>
              <w:t>⑥</w:t>
            </w:r>
            <w:r>
              <w:rPr>
                <w:bCs/>
                <w:sz w:val="24"/>
              </w:rPr>
              <w:fldChar w:fldCharType="end"/>
            </w:r>
            <w:r>
              <w:rPr>
                <w:bCs/>
                <w:sz w:val="24"/>
              </w:rPr>
              <w:t>废活性炭</w:t>
            </w:r>
          </w:p>
          <w:p>
            <w:pPr>
              <w:adjustRightInd w:val="0"/>
              <w:snapToGrid w:val="0"/>
              <w:spacing w:line="360" w:lineRule="auto"/>
              <w:ind w:firstLine="480" w:firstLineChars="200"/>
              <w:rPr>
                <w:bCs/>
                <w:sz w:val="24"/>
              </w:rPr>
            </w:pPr>
            <w:r>
              <w:rPr>
                <w:bCs/>
                <w:sz w:val="24"/>
              </w:rPr>
              <w:t>本项目在处理火化遗体产生的少量汞及二噁英时用活性炭对其进行吸附处理，根据废气章节，汞及二噁英的产生量极少，活性炭装置吸附汞、二噁英量约0.0009t/a，根据《活性炭吸附手册》，本项目按0.3kg/kg（活性炭）计，则理论新鲜活性炭用量为3t/a，废活性炭产生量为3.0009t/a。对照《国家危险废物管理名录》（2021版），废活性炭属于危险废物，废物类别为HW18 772-005-18，委托资质单位处置。</w:t>
            </w:r>
          </w:p>
          <w:p>
            <w:pPr>
              <w:adjustRightInd w:val="0"/>
              <w:snapToGrid w:val="0"/>
              <w:spacing w:line="360" w:lineRule="auto"/>
              <w:ind w:firstLine="480" w:firstLineChars="200"/>
              <w:rPr>
                <w:bCs/>
                <w:sz w:val="24"/>
              </w:rPr>
            </w:pPr>
            <w:r>
              <w:rPr>
                <w:bCs/>
                <w:sz w:val="24"/>
              </w:rPr>
              <w:fldChar w:fldCharType="begin"/>
            </w:r>
            <w:r>
              <w:rPr>
                <w:bCs/>
                <w:sz w:val="24"/>
              </w:rPr>
              <w:instrText xml:space="preserve"> = 7 \* GB3 </w:instrText>
            </w:r>
            <w:r>
              <w:rPr>
                <w:bCs/>
                <w:sz w:val="24"/>
              </w:rPr>
              <w:fldChar w:fldCharType="separate"/>
            </w:r>
            <w:r>
              <w:rPr>
                <w:rFonts w:hint="eastAsia" w:ascii="宋体" w:hAnsi="宋体" w:cs="宋体"/>
                <w:bCs/>
                <w:sz w:val="24"/>
              </w:rPr>
              <w:t>⑦</w:t>
            </w:r>
            <w:r>
              <w:rPr>
                <w:bCs/>
                <w:sz w:val="24"/>
              </w:rPr>
              <w:fldChar w:fldCharType="end"/>
            </w:r>
            <w:r>
              <w:rPr>
                <w:bCs/>
                <w:sz w:val="24"/>
              </w:rPr>
              <w:t>解剖废物</w:t>
            </w:r>
          </w:p>
          <w:p>
            <w:pPr>
              <w:adjustRightInd w:val="0"/>
              <w:snapToGrid w:val="0"/>
              <w:spacing w:line="360" w:lineRule="auto"/>
              <w:ind w:firstLine="480" w:firstLineChars="200"/>
              <w:rPr>
                <w:bCs/>
                <w:sz w:val="24"/>
              </w:rPr>
            </w:pPr>
            <w:r>
              <w:rPr>
                <w:bCs/>
                <w:sz w:val="24"/>
              </w:rPr>
              <w:t>主要是法检解剖室对非正常死亡遗体或无名、无主遗体进行解剖产生的，涉及到感染性废物、病理性废物、化学性废物，按0.2kg/例计算，按1000例/年计，则预计年产生量为0.2t/a。根据《国家危险废物名录》（2021 版），解剖废物属于危险废物，危废类别HW01，代码为841-00（1、3、4）-01，交由有资质的单位处置。</w:t>
            </w:r>
          </w:p>
          <w:p>
            <w:pPr>
              <w:adjustRightInd w:val="0"/>
              <w:snapToGrid w:val="0"/>
              <w:spacing w:line="360" w:lineRule="auto"/>
              <w:ind w:firstLine="480" w:firstLineChars="200"/>
              <w:rPr>
                <w:bCs/>
                <w:sz w:val="24"/>
              </w:rPr>
            </w:pPr>
            <w:r>
              <w:rPr>
                <w:bCs/>
                <w:sz w:val="24"/>
              </w:rPr>
              <w:t>（2）固废产生与处置情况</w:t>
            </w:r>
          </w:p>
          <w:p>
            <w:pPr>
              <w:adjustRightInd w:val="0"/>
              <w:snapToGrid w:val="0"/>
              <w:spacing w:line="360" w:lineRule="auto"/>
              <w:ind w:firstLine="480" w:firstLineChars="200"/>
              <w:rPr>
                <w:sz w:val="24"/>
              </w:rPr>
            </w:pPr>
            <w:r>
              <w:rPr>
                <w:sz w:val="24"/>
              </w:rPr>
              <w:t>项目固废产生与处置情况见表4-9。</w:t>
            </w:r>
          </w:p>
          <w:p>
            <w:pPr>
              <w:jc w:val="center"/>
              <w:rPr>
                <w:sz w:val="24"/>
              </w:rPr>
            </w:pPr>
            <w:r>
              <w:rPr>
                <w:b/>
                <w:bCs/>
                <w:sz w:val="24"/>
              </w:rPr>
              <w:t>表4-9固废产生与处置情况汇总表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3"/>
              <w:gridCol w:w="1354"/>
              <w:gridCol w:w="1617"/>
              <w:gridCol w:w="994"/>
              <w:gridCol w:w="994"/>
              <w:gridCol w:w="2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0" w:type="pct"/>
                  <w:vAlign w:val="center"/>
                </w:tcPr>
                <w:p>
                  <w:pPr>
                    <w:jc w:val="center"/>
                    <w:rPr>
                      <w:b/>
                      <w:bCs/>
                      <w:szCs w:val="21"/>
                    </w:rPr>
                  </w:pPr>
                  <w:r>
                    <w:rPr>
                      <w:b/>
                      <w:bCs/>
                      <w:szCs w:val="21"/>
                    </w:rPr>
                    <w:t>序号</w:t>
                  </w:r>
                </w:p>
              </w:tc>
              <w:tc>
                <w:tcPr>
                  <w:tcW w:w="853" w:type="pct"/>
                  <w:vAlign w:val="center"/>
                </w:tcPr>
                <w:p>
                  <w:pPr>
                    <w:jc w:val="center"/>
                    <w:rPr>
                      <w:b/>
                      <w:bCs/>
                      <w:szCs w:val="21"/>
                    </w:rPr>
                  </w:pPr>
                  <w:r>
                    <w:rPr>
                      <w:b/>
                      <w:bCs/>
                      <w:szCs w:val="21"/>
                    </w:rPr>
                    <w:t>固体废物名称</w:t>
                  </w:r>
                </w:p>
              </w:tc>
              <w:tc>
                <w:tcPr>
                  <w:tcW w:w="1019" w:type="pct"/>
                  <w:vAlign w:val="center"/>
                </w:tcPr>
                <w:p>
                  <w:pPr>
                    <w:jc w:val="center"/>
                    <w:rPr>
                      <w:b/>
                      <w:bCs/>
                      <w:szCs w:val="21"/>
                    </w:rPr>
                  </w:pPr>
                  <w:r>
                    <w:rPr>
                      <w:b/>
                      <w:bCs/>
                      <w:szCs w:val="21"/>
                    </w:rPr>
                    <w:t>预计年产生量（t/a）</w:t>
                  </w:r>
                </w:p>
              </w:tc>
              <w:tc>
                <w:tcPr>
                  <w:tcW w:w="626" w:type="pct"/>
                  <w:vAlign w:val="center"/>
                </w:tcPr>
                <w:p>
                  <w:pPr>
                    <w:jc w:val="center"/>
                    <w:rPr>
                      <w:b/>
                      <w:bCs/>
                      <w:szCs w:val="21"/>
                    </w:rPr>
                  </w:pPr>
                  <w:r>
                    <w:rPr>
                      <w:b/>
                      <w:bCs/>
                      <w:szCs w:val="21"/>
                    </w:rPr>
                    <w:t>固废性质</w:t>
                  </w:r>
                </w:p>
              </w:tc>
              <w:tc>
                <w:tcPr>
                  <w:tcW w:w="626" w:type="pct"/>
                  <w:vAlign w:val="center"/>
                </w:tcPr>
                <w:p>
                  <w:pPr>
                    <w:jc w:val="center"/>
                    <w:rPr>
                      <w:b/>
                      <w:bCs/>
                      <w:szCs w:val="21"/>
                    </w:rPr>
                  </w:pPr>
                  <w:r>
                    <w:rPr>
                      <w:b/>
                      <w:bCs/>
                      <w:szCs w:val="21"/>
                    </w:rPr>
                    <w:t>危废代码</w:t>
                  </w:r>
                </w:p>
              </w:tc>
              <w:tc>
                <w:tcPr>
                  <w:tcW w:w="1546" w:type="pct"/>
                  <w:vAlign w:val="center"/>
                </w:tcPr>
                <w:p>
                  <w:pPr>
                    <w:jc w:val="center"/>
                    <w:rPr>
                      <w:b/>
                      <w:bCs/>
                      <w:szCs w:val="21"/>
                    </w:rPr>
                  </w:pPr>
                  <w:r>
                    <w:rPr>
                      <w:b/>
                      <w:bCs/>
                      <w:szCs w:val="21"/>
                    </w:rPr>
                    <w:t>拟采取的处理处置方式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0" w:type="pct"/>
                  <w:vAlign w:val="center"/>
                </w:tcPr>
                <w:p>
                  <w:pPr>
                    <w:jc w:val="center"/>
                    <w:rPr>
                      <w:bCs/>
                      <w:szCs w:val="21"/>
                    </w:rPr>
                  </w:pPr>
                  <w:r>
                    <w:rPr>
                      <w:bCs/>
                      <w:szCs w:val="21"/>
                    </w:rPr>
                    <w:t>1</w:t>
                  </w:r>
                </w:p>
              </w:tc>
              <w:tc>
                <w:tcPr>
                  <w:tcW w:w="853" w:type="pct"/>
                  <w:vAlign w:val="center"/>
                </w:tcPr>
                <w:p>
                  <w:pPr>
                    <w:jc w:val="center"/>
                    <w:rPr>
                      <w:szCs w:val="21"/>
                    </w:rPr>
                  </w:pPr>
                  <w:r>
                    <w:rPr>
                      <w:szCs w:val="21"/>
                    </w:rPr>
                    <w:t>生活垃圾</w:t>
                  </w:r>
                </w:p>
              </w:tc>
              <w:tc>
                <w:tcPr>
                  <w:tcW w:w="1019" w:type="pct"/>
                  <w:vAlign w:val="center"/>
                </w:tcPr>
                <w:p>
                  <w:pPr>
                    <w:jc w:val="center"/>
                    <w:rPr>
                      <w:szCs w:val="21"/>
                    </w:rPr>
                  </w:pPr>
                  <w:r>
                    <w:rPr>
                      <w:rFonts w:eastAsia="等线"/>
                      <w:szCs w:val="21"/>
                    </w:rPr>
                    <w:t>18.25</w:t>
                  </w:r>
                </w:p>
              </w:tc>
              <w:tc>
                <w:tcPr>
                  <w:tcW w:w="626" w:type="pct"/>
                  <w:vMerge w:val="restart"/>
                  <w:vAlign w:val="center"/>
                </w:tcPr>
                <w:p>
                  <w:pPr>
                    <w:jc w:val="center"/>
                    <w:rPr>
                      <w:szCs w:val="21"/>
                    </w:rPr>
                  </w:pPr>
                  <w:r>
                    <w:rPr>
                      <w:szCs w:val="21"/>
                    </w:rPr>
                    <w:t>生活垃圾</w:t>
                  </w:r>
                </w:p>
              </w:tc>
              <w:tc>
                <w:tcPr>
                  <w:tcW w:w="626" w:type="pct"/>
                  <w:vAlign w:val="center"/>
                </w:tcPr>
                <w:p>
                  <w:pPr>
                    <w:jc w:val="center"/>
                    <w:rPr>
                      <w:szCs w:val="21"/>
                    </w:rPr>
                  </w:pPr>
                  <w:r>
                    <w:rPr>
                      <w:szCs w:val="21"/>
                    </w:rPr>
                    <w:t>/</w:t>
                  </w:r>
                </w:p>
              </w:tc>
              <w:tc>
                <w:tcPr>
                  <w:tcW w:w="1546" w:type="pct"/>
                  <w:vAlign w:val="center"/>
                </w:tcPr>
                <w:p>
                  <w:pPr>
                    <w:jc w:val="center"/>
                    <w:rPr>
                      <w:szCs w:val="21"/>
                    </w:rPr>
                  </w:pPr>
                  <w:r>
                    <w:rPr>
                      <w:szCs w:val="21"/>
                    </w:rPr>
                    <w:t>环卫部门统一收集处理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0" w:type="pct"/>
                  <w:vAlign w:val="center"/>
                </w:tcPr>
                <w:p>
                  <w:pPr>
                    <w:jc w:val="center"/>
                    <w:rPr>
                      <w:bCs/>
                      <w:szCs w:val="21"/>
                    </w:rPr>
                  </w:pPr>
                  <w:r>
                    <w:rPr>
                      <w:bCs/>
                      <w:szCs w:val="21"/>
                    </w:rPr>
                    <w:t>2</w:t>
                  </w:r>
                </w:p>
              </w:tc>
              <w:tc>
                <w:tcPr>
                  <w:tcW w:w="853" w:type="pct"/>
                  <w:vAlign w:val="center"/>
                </w:tcPr>
                <w:p>
                  <w:pPr>
                    <w:jc w:val="center"/>
                    <w:rPr>
                      <w:szCs w:val="21"/>
                    </w:rPr>
                  </w:pPr>
                  <w:r>
                    <w:rPr>
                      <w:szCs w:val="21"/>
                    </w:rPr>
                    <w:t>餐厨垃圾</w:t>
                  </w:r>
                </w:p>
              </w:tc>
              <w:tc>
                <w:tcPr>
                  <w:tcW w:w="1019" w:type="pct"/>
                  <w:vAlign w:val="center"/>
                </w:tcPr>
                <w:p>
                  <w:pPr>
                    <w:jc w:val="center"/>
                    <w:rPr>
                      <w:szCs w:val="21"/>
                    </w:rPr>
                  </w:pPr>
                  <w:r>
                    <w:rPr>
                      <w:rFonts w:eastAsia="等线"/>
                      <w:szCs w:val="21"/>
                    </w:rPr>
                    <w:t>5.48</w:t>
                  </w:r>
                </w:p>
              </w:tc>
              <w:tc>
                <w:tcPr>
                  <w:tcW w:w="626" w:type="pct"/>
                  <w:vMerge w:val="continue"/>
                  <w:vAlign w:val="center"/>
                </w:tcPr>
                <w:p>
                  <w:pPr>
                    <w:jc w:val="center"/>
                    <w:rPr>
                      <w:szCs w:val="21"/>
                    </w:rPr>
                  </w:pPr>
                </w:p>
              </w:tc>
              <w:tc>
                <w:tcPr>
                  <w:tcW w:w="626" w:type="pct"/>
                  <w:vAlign w:val="center"/>
                </w:tcPr>
                <w:p>
                  <w:pPr>
                    <w:jc w:val="center"/>
                    <w:rPr>
                      <w:szCs w:val="21"/>
                    </w:rPr>
                  </w:pPr>
                  <w:r>
                    <w:rPr>
                      <w:szCs w:val="21"/>
                    </w:rPr>
                    <w:t>/</w:t>
                  </w:r>
                </w:p>
              </w:tc>
              <w:tc>
                <w:tcPr>
                  <w:tcW w:w="1546" w:type="pct"/>
                  <w:vAlign w:val="center"/>
                </w:tcPr>
                <w:p>
                  <w:pPr>
                    <w:jc w:val="center"/>
                    <w:rPr>
                      <w:szCs w:val="21"/>
                    </w:rPr>
                  </w:pPr>
                  <w:r>
                    <w:rPr>
                      <w:szCs w:val="21"/>
                    </w:rPr>
                    <w:t>交由有相关资质单位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0" w:type="pct"/>
                  <w:vAlign w:val="center"/>
                </w:tcPr>
                <w:p>
                  <w:pPr>
                    <w:jc w:val="center"/>
                    <w:rPr>
                      <w:szCs w:val="21"/>
                    </w:rPr>
                  </w:pPr>
                  <w:r>
                    <w:rPr>
                      <w:szCs w:val="21"/>
                    </w:rPr>
                    <w:t>3</w:t>
                  </w:r>
                </w:p>
              </w:tc>
              <w:tc>
                <w:tcPr>
                  <w:tcW w:w="853" w:type="pct"/>
                  <w:vAlign w:val="center"/>
                </w:tcPr>
                <w:p>
                  <w:pPr>
                    <w:jc w:val="center"/>
                    <w:rPr>
                      <w:szCs w:val="21"/>
                    </w:rPr>
                  </w:pPr>
                  <w:r>
                    <w:rPr>
                      <w:szCs w:val="21"/>
                    </w:rPr>
                    <w:t>遗物焚烧炉和祭祀炉焚烧灰渣</w:t>
                  </w:r>
                </w:p>
              </w:tc>
              <w:tc>
                <w:tcPr>
                  <w:tcW w:w="1019" w:type="pct"/>
                  <w:vAlign w:val="center"/>
                </w:tcPr>
                <w:p>
                  <w:pPr>
                    <w:jc w:val="center"/>
                    <w:rPr>
                      <w:szCs w:val="21"/>
                    </w:rPr>
                  </w:pPr>
                  <w:r>
                    <w:rPr>
                      <w:rFonts w:eastAsia="等线"/>
                      <w:szCs w:val="21"/>
                    </w:rPr>
                    <w:t>5</w:t>
                  </w:r>
                </w:p>
              </w:tc>
              <w:tc>
                <w:tcPr>
                  <w:tcW w:w="626" w:type="pct"/>
                  <w:vAlign w:val="center"/>
                </w:tcPr>
                <w:p>
                  <w:pPr>
                    <w:jc w:val="center"/>
                    <w:rPr>
                      <w:szCs w:val="21"/>
                    </w:rPr>
                  </w:pPr>
                  <w:r>
                    <w:rPr>
                      <w:szCs w:val="21"/>
                    </w:rPr>
                    <w:t>一般工业固体废物</w:t>
                  </w:r>
                </w:p>
              </w:tc>
              <w:tc>
                <w:tcPr>
                  <w:tcW w:w="626" w:type="pct"/>
                  <w:vAlign w:val="center"/>
                </w:tcPr>
                <w:p>
                  <w:pPr>
                    <w:jc w:val="center"/>
                    <w:rPr>
                      <w:szCs w:val="21"/>
                    </w:rPr>
                  </w:pPr>
                  <w:r>
                    <w:rPr>
                      <w:szCs w:val="21"/>
                    </w:rPr>
                    <w:t>/</w:t>
                  </w:r>
                </w:p>
              </w:tc>
              <w:tc>
                <w:tcPr>
                  <w:tcW w:w="1546" w:type="pct"/>
                  <w:vAlign w:val="center"/>
                </w:tcPr>
                <w:p>
                  <w:pPr>
                    <w:jc w:val="center"/>
                    <w:rPr>
                      <w:szCs w:val="21"/>
                    </w:rPr>
                  </w:pPr>
                  <w:r>
                    <w:rPr>
                      <w:szCs w:val="21"/>
                    </w:rPr>
                    <w:t>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0" w:type="pct"/>
                  <w:vAlign w:val="center"/>
                </w:tcPr>
                <w:p>
                  <w:pPr>
                    <w:jc w:val="center"/>
                    <w:rPr>
                      <w:szCs w:val="21"/>
                    </w:rPr>
                  </w:pPr>
                  <w:r>
                    <w:rPr>
                      <w:szCs w:val="21"/>
                    </w:rPr>
                    <w:t>4</w:t>
                  </w:r>
                </w:p>
              </w:tc>
              <w:tc>
                <w:tcPr>
                  <w:tcW w:w="853" w:type="pct"/>
                  <w:vAlign w:val="center"/>
                </w:tcPr>
                <w:p>
                  <w:pPr>
                    <w:jc w:val="center"/>
                    <w:rPr>
                      <w:szCs w:val="21"/>
                    </w:rPr>
                  </w:pPr>
                  <w:r>
                    <w:rPr>
                      <w:kern w:val="0"/>
                      <w:szCs w:val="21"/>
                    </w:rPr>
                    <w:t>污泥</w:t>
                  </w:r>
                </w:p>
              </w:tc>
              <w:tc>
                <w:tcPr>
                  <w:tcW w:w="1019" w:type="pct"/>
                  <w:vAlign w:val="center"/>
                </w:tcPr>
                <w:p>
                  <w:pPr>
                    <w:jc w:val="center"/>
                    <w:rPr>
                      <w:szCs w:val="21"/>
                    </w:rPr>
                  </w:pPr>
                  <w:r>
                    <w:rPr>
                      <w:rFonts w:eastAsia="等线"/>
                      <w:szCs w:val="21"/>
                    </w:rPr>
                    <w:t>13.79</w:t>
                  </w:r>
                </w:p>
              </w:tc>
              <w:tc>
                <w:tcPr>
                  <w:tcW w:w="626" w:type="pct"/>
                  <w:vMerge w:val="restart"/>
                  <w:vAlign w:val="center"/>
                </w:tcPr>
                <w:p>
                  <w:pPr>
                    <w:jc w:val="center"/>
                    <w:rPr>
                      <w:szCs w:val="21"/>
                    </w:rPr>
                  </w:pPr>
                  <w:r>
                    <w:rPr>
                      <w:szCs w:val="21"/>
                    </w:rPr>
                    <w:t>危险废物</w:t>
                  </w:r>
                </w:p>
              </w:tc>
              <w:tc>
                <w:tcPr>
                  <w:tcW w:w="626" w:type="pct"/>
                  <w:vAlign w:val="center"/>
                </w:tcPr>
                <w:p>
                  <w:pPr>
                    <w:jc w:val="center"/>
                    <w:rPr>
                      <w:szCs w:val="21"/>
                    </w:rPr>
                  </w:pPr>
                  <w:r>
                    <w:rPr>
                      <w:szCs w:val="21"/>
                    </w:rPr>
                    <w:t>/</w:t>
                  </w:r>
                </w:p>
              </w:tc>
              <w:tc>
                <w:tcPr>
                  <w:tcW w:w="1546" w:type="pct"/>
                  <w:vAlign w:val="center"/>
                </w:tcPr>
                <w:p>
                  <w:pPr>
                    <w:jc w:val="center"/>
                    <w:rPr>
                      <w:szCs w:val="21"/>
                    </w:rPr>
                  </w:pPr>
                  <w:r>
                    <w:rPr>
                      <w:rFonts w:hint="eastAsia"/>
                      <w:bCs/>
                      <w:szCs w:val="21"/>
                    </w:rPr>
                    <w:t>消毒</w:t>
                  </w:r>
                  <w:r>
                    <w:rPr>
                      <w:bCs/>
                      <w:szCs w:val="21"/>
                    </w:rPr>
                    <w:t>后</w:t>
                  </w:r>
                  <w:r>
                    <w:rPr>
                      <w:rFonts w:hint="eastAsia"/>
                      <w:bCs/>
                      <w:szCs w:val="21"/>
                    </w:rPr>
                    <w:t>委托有资质</w:t>
                  </w:r>
                  <w:r>
                    <w:rPr>
                      <w:bCs/>
                      <w:szCs w:val="21"/>
                    </w:rPr>
                    <w:t>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0" w:type="pct"/>
                  <w:vAlign w:val="center"/>
                </w:tcPr>
                <w:p>
                  <w:pPr>
                    <w:jc w:val="center"/>
                    <w:rPr>
                      <w:szCs w:val="21"/>
                    </w:rPr>
                  </w:pPr>
                  <w:r>
                    <w:rPr>
                      <w:szCs w:val="21"/>
                    </w:rPr>
                    <w:t>5</w:t>
                  </w:r>
                </w:p>
              </w:tc>
              <w:tc>
                <w:tcPr>
                  <w:tcW w:w="853" w:type="pct"/>
                  <w:vAlign w:val="center"/>
                </w:tcPr>
                <w:p>
                  <w:pPr>
                    <w:jc w:val="center"/>
                    <w:rPr>
                      <w:kern w:val="0"/>
                      <w:szCs w:val="21"/>
                    </w:rPr>
                  </w:pPr>
                  <w:r>
                    <w:rPr>
                      <w:kern w:val="0"/>
                      <w:szCs w:val="21"/>
                    </w:rPr>
                    <w:t>除尘器灰渣</w:t>
                  </w:r>
                </w:p>
              </w:tc>
              <w:tc>
                <w:tcPr>
                  <w:tcW w:w="1019" w:type="pct"/>
                  <w:vAlign w:val="center"/>
                </w:tcPr>
                <w:p>
                  <w:pPr>
                    <w:jc w:val="center"/>
                    <w:rPr>
                      <w:szCs w:val="21"/>
                    </w:rPr>
                  </w:pPr>
                  <w:r>
                    <w:rPr>
                      <w:rFonts w:eastAsia="等线"/>
                      <w:szCs w:val="21"/>
                    </w:rPr>
                    <w:t>6.46</w:t>
                  </w:r>
                </w:p>
              </w:tc>
              <w:tc>
                <w:tcPr>
                  <w:tcW w:w="626" w:type="pct"/>
                  <w:vMerge w:val="continue"/>
                  <w:vAlign w:val="center"/>
                </w:tcPr>
                <w:p>
                  <w:pPr>
                    <w:jc w:val="center"/>
                    <w:rPr>
                      <w:szCs w:val="21"/>
                    </w:rPr>
                  </w:pPr>
                </w:p>
              </w:tc>
              <w:tc>
                <w:tcPr>
                  <w:tcW w:w="626" w:type="pct"/>
                  <w:vAlign w:val="center"/>
                </w:tcPr>
                <w:p>
                  <w:pPr>
                    <w:jc w:val="center"/>
                    <w:rPr>
                      <w:szCs w:val="21"/>
                    </w:rPr>
                  </w:pPr>
                  <w:r>
                    <w:rPr>
                      <w:bCs/>
                      <w:szCs w:val="21"/>
                    </w:rPr>
                    <w:t>HW18 772-002-18</w:t>
                  </w:r>
                </w:p>
              </w:tc>
              <w:tc>
                <w:tcPr>
                  <w:tcW w:w="1546" w:type="pct"/>
                  <w:vMerge w:val="restart"/>
                  <w:vAlign w:val="center"/>
                </w:tcPr>
                <w:p>
                  <w:pPr>
                    <w:jc w:val="center"/>
                    <w:rPr>
                      <w:szCs w:val="21"/>
                    </w:rPr>
                  </w:pPr>
                  <w:r>
                    <w:rPr>
                      <w:szCs w:val="21"/>
                    </w:rPr>
                    <w:t>暂存危废暂存间后有资质单位处理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0" w:type="pct"/>
                  <w:vAlign w:val="center"/>
                </w:tcPr>
                <w:p>
                  <w:pPr>
                    <w:jc w:val="center"/>
                    <w:rPr>
                      <w:szCs w:val="21"/>
                    </w:rPr>
                  </w:pPr>
                  <w:r>
                    <w:rPr>
                      <w:szCs w:val="21"/>
                    </w:rPr>
                    <w:t>6</w:t>
                  </w:r>
                </w:p>
              </w:tc>
              <w:tc>
                <w:tcPr>
                  <w:tcW w:w="853" w:type="pct"/>
                  <w:vAlign w:val="center"/>
                </w:tcPr>
                <w:p>
                  <w:pPr>
                    <w:jc w:val="center"/>
                    <w:rPr>
                      <w:kern w:val="0"/>
                      <w:szCs w:val="21"/>
                    </w:rPr>
                  </w:pPr>
                  <w:r>
                    <w:rPr>
                      <w:kern w:val="0"/>
                      <w:szCs w:val="21"/>
                    </w:rPr>
                    <w:t>废活性炭</w:t>
                  </w:r>
                </w:p>
              </w:tc>
              <w:tc>
                <w:tcPr>
                  <w:tcW w:w="1019" w:type="pct"/>
                  <w:vAlign w:val="center"/>
                </w:tcPr>
                <w:p>
                  <w:pPr>
                    <w:jc w:val="center"/>
                    <w:rPr>
                      <w:szCs w:val="21"/>
                    </w:rPr>
                  </w:pPr>
                  <w:r>
                    <w:rPr>
                      <w:rFonts w:eastAsia="等线"/>
                      <w:szCs w:val="21"/>
                    </w:rPr>
                    <w:t>3</w:t>
                  </w:r>
                </w:p>
              </w:tc>
              <w:tc>
                <w:tcPr>
                  <w:tcW w:w="626" w:type="pct"/>
                  <w:vMerge w:val="continue"/>
                  <w:vAlign w:val="center"/>
                </w:tcPr>
                <w:p>
                  <w:pPr>
                    <w:jc w:val="center"/>
                    <w:rPr>
                      <w:szCs w:val="21"/>
                    </w:rPr>
                  </w:pPr>
                </w:p>
              </w:tc>
              <w:tc>
                <w:tcPr>
                  <w:tcW w:w="626" w:type="pct"/>
                  <w:vAlign w:val="center"/>
                </w:tcPr>
                <w:p>
                  <w:pPr>
                    <w:jc w:val="center"/>
                    <w:rPr>
                      <w:szCs w:val="21"/>
                    </w:rPr>
                  </w:pPr>
                  <w:r>
                    <w:rPr>
                      <w:bCs/>
                      <w:szCs w:val="21"/>
                    </w:rPr>
                    <w:t>HW18 772-005-18</w:t>
                  </w:r>
                </w:p>
              </w:tc>
              <w:tc>
                <w:tcPr>
                  <w:tcW w:w="1546"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0" w:type="pct"/>
                  <w:vAlign w:val="center"/>
                </w:tcPr>
                <w:p>
                  <w:pPr>
                    <w:jc w:val="center"/>
                    <w:rPr>
                      <w:szCs w:val="21"/>
                    </w:rPr>
                  </w:pPr>
                  <w:r>
                    <w:rPr>
                      <w:szCs w:val="21"/>
                    </w:rPr>
                    <w:t>7</w:t>
                  </w:r>
                </w:p>
              </w:tc>
              <w:tc>
                <w:tcPr>
                  <w:tcW w:w="853" w:type="pct"/>
                  <w:vAlign w:val="center"/>
                </w:tcPr>
                <w:p>
                  <w:pPr>
                    <w:jc w:val="center"/>
                    <w:rPr>
                      <w:kern w:val="0"/>
                      <w:szCs w:val="21"/>
                    </w:rPr>
                  </w:pPr>
                  <w:r>
                    <w:rPr>
                      <w:kern w:val="0"/>
                      <w:szCs w:val="21"/>
                    </w:rPr>
                    <w:t>解剖废物</w:t>
                  </w:r>
                </w:p>
              </w:tc>
              <w:tc>
                <w:tcPr>
                  <w:tcW w:w="1019" w:type="pct"/>
                  <w:vAlign w:val="center"/>
                </w:tcPr>
                <w:p>
                  <w:pPr>
                    <w:jc w:val="center"/>
                    <w:rPr>
                      <w:szCs w:val="21"/>
                    </w:rPr>
                  </w:pPr>
                  <w:r>
                    <w:rPr>
                      <w:rFonts w:eastAsia="等线"/>
                      <w:szCs w:val="21"/>
                    </w:rPr>
                    <w:t>0.2</w:t>
                  </w:r>
                </w:p>
              </w:tc>
              <w:tc>
                <w:tcPr>
                  <w:tcW w:w="626" w:type="pct"/>
                  <w:vMerge w:val="continue"/>
                  <w:vAlign w:val="center"/>
                </w:tcPr>
                <w:p>
                  <w:pPr>
                    <w:jc w:val="center"/>
                    <w:rPr>
                      <w:szCs w:val="21"/>
                    </w:rPr>
                  </w:pPr>
                </w:p>
              </w:tc>
              <w:tc>
                <w:tcPr>
                  <w:tcW w:w="626" w:type="pct"/>
                  <w:vAlign w:val="center"/>
                </w:tcPr>
                <w:p>
                  <w:pPr>
                    <w:jc w:val="center"/>
                    <w:rPr>
                      <w:szCs w:val="21"/>
                    </w:rPr>
                  </w:pPr>
                  <w:r>
                    <w:rPr>
                      <w:bCs/>
                      <w:szCs w:val="21"/>
                    </w:rPr>
                    <w:t>HW01 841-00（1、3、4）-01</w:t>
                  </w:r>
                </w:p>
              </w:tc>
              <w:tc>
                <w:tcPr>
                  <w:tcW w:w="1546" w:type="pct"/>
                  <w:vMerge w:val="continue"/>
                  <w:vAlign w:val="center"/>
                </w:tcPr>
                <w:p>
                  <w:pPr>
                    <w:jc w:val="center"/>
                    <w:rPr>
                      <w:szCs w:val="21"/>
                    </w:rPr>
                  </w:pPr>
                </w:p>
              </w:tc>
            </w:tr>
          </w:tbl>
          <w:p>
            <w:pPr>
              <w:adjustRightInd w:val="0"/>
              <w:snapToGrid w:val="0"/>
              <w:spacing w:line="360" w:lineRule="auto"/>
              <w:ind w:firstLine="480" w:firstLineChars="200"/>
              <w:rPr>
                <w:bCs/>
                <w:sz w:val="24"/>
              </w:rPr>
            </w:pPr>
            <w:r>
              <w:rPr>
                <w:bCs/>
                <w:sz w:val="24"/>
              </w:rPr>
              <w:t>（4）固体废物环境管理要求</w:t>
            </w:r>
          </w:p>
          <w:p>
            <w:pPr>
              <w:topLinePunct/>
              <w:autoSpaceDE w:val="0"/>
              <w:autoSpaceDN w:val="0"/>
              <w:adjustRightInd w:val="0"/>
              <w:snapToGrid w:val="0"/>
              <w:spacing w:line="360" w:lineRule="auto"/>
              <w:ind w:firstLine="480" w:firstLineChars="200"/>
              <w:rPr>
                <w:sz w:val="24"/>
              </w:rPr>
            </w:pPr>
            <w:r>
              <w:rPr>
                <w:sz w:val="24"/>
              </w:rPr>
              <w:t>该项目建成投入使用后，应设环保管理人员，对各项环保设施的运行情况进行管理检查，主要固体废物环境管理内容应包括：</w:t>
            </w:r>
          </w:p>
          <w:p>
            <w:pPr>
              <w:topLinePunct/>
              <w:autoSpaceDE w:val="0"/>
              <w:autoSpaceDN w:val="0"/>
              <w:adjustRightInd w:val="0"/>
              <w:snapToGrid w:val="0"/>
              <w:spacing w:line="360" w:lineRule="auto"/>
              <w:ind w:firstLine="480" w:firstLineChars="200"/>
              <w:jc w:val="left"/>
              <w:rPr>
                <w:sz w:val="24"/>
              </w:rPr>
            </w:pPr>
            <w:r>
              <w:rPr>
                <w:rFonts w:hint="eastAsia" w:ascii="宋体" w:hAnsi="宋体" w:cs="宋体"/>
                <w:sz w:val="24"/>
              </w:rPr>
              <w:t>①</w:t>
            </w:r>
            <w:r>
              <w:rPr>
                <w:sz w:val="24"/>
              </w:rPr>
              <w:t>及时对生产过程产生固废进行处理，确保固废合理处置。</w:t>
            </w:r>
          </w:p>
          <w:p>
            <w:pPr>
              <w:topLinePunct/>
              <w:autoSpaceDE w:val="0"/>
              <w:autoSpaceDN w:val="0"/>
              <w:adjustRightInd w:val="0"/>
              <w:snapToGrid w:val="0"/>
              <w:spacing w:line="360" w:lineRule="auto"/>
              <w:ind w:firstLine="480" w:firstLineChars="200"/>
              <w:rPr>
                <w:sz w:val="24"/>
              </w:rPr>
            </w:pPr>
            <w:r>
              <w:rPr>
                <w:rFonts w:hint="eastAsia" w:ascii="宋体" w:hAnsi="宋体" w:cs="宋体"/>
                <w:sz w:val="24"/>
              </w:rPr>
              <w:t>②</w:t>
            </w:r>
            <w:r>
              <w:rPr>
                <w:sz w:val="24"/>
              </w:rPr>
              <w:t>设置安全环保管理人员，定期对固体废物贮存设施进行定期检查。确保固体废物贮存设施正常运行。</w:t>
            </w:r>
          </w:p>
          <w:p>
            <w:pPr>
              <w:topLinePunct/>
              <w:autoSpaceDE w:val="0"/>
              <w:autoSpaceDN w:val="0"/>
              <w:adjustRightInd w:val="0"/>
              <w:snapToGrid w:val="0"/>
              <w:spacing w:line="360" w:lineRule="auto"/>
              <w:ind w:firstLine="480" w:firstLineChars="200"/>
              <w:rPr>
                <w:sz w:val="24"/>
              </w:rPr>
            </w:pPr>
            <w:r>
              <w:rPr>
                <w:rFonts w:hint="eastAsia" w:ascii="宋体" w:hAnsi="宋体" w:cs="宋体"/>
                <w:sz w:val="24"/>
              </w:rPr>
              <w:t>③</w:t>
            </w:r>
            <w:r>
              <w:rPr>
                <w:sz w:val="24"/>
              </w:rPr>
              <w:t>加强监督管理，禁止将一般工业固体废物、危险废物混入生活垃圾；</w:t>
            </w:r>
          </w:p>
          <w:p>
            <w:pPr>
              <w:topLinePunct/>
              <w:adjustRightInd w:val="0"/>
              <w:snapToGrid w:val="0"/>
              <w:spacing w:line="360" w:lineRule="auto"/>
              <w:ind w:firstLine="480" w:firstLineChars="200"/>
              <w:rPr>
                <w:sz w:val="24"/>
              </w:rPr>
            </w:pPr>
            <w:r>
              <w:rPr>
                <w:rFonts w:hint="eastAsia" w:ascii="宋体" w:hAnsi="宋体" w:cs="宋体"/>
                <w:sz w:val="24"/>
              </w:rPr>
              <w:t>④</w:t>
            </w:r>
            <w:r>
              <w:rPr>
                <w:sz w:val="24"/>
              </w:rPr>
              <w:t>危险废物管理要求：</w:t>
            </w:r>
          </w:p>
          <w:p>
            <w:pPr>
              <w:topLinePunct/>
              <w:adjustRightInd w:val="0"/>
              <w:snapToGrid w:val="0"/>
              <w:spacing w:line="360" w:lineRule="auto"/>
              <w:ind w:firstLine="480" w:firstLineChars="200"/>
              <w:rPr>
                <w:bCs/>
                <w:sz w:val="24"/>
              </w:rPr>
            </w:pPr>
            <w:r>
              <w:rPr>
                <w:sz w:val="24"/>
              </w:rPr>
              <w:t>本项目危险废物贮存库应符合《</w:t>
            </w:r>
            <w:r>
              <w:rPr>
                <w:bCs/>
                <w:sz w:val="24"/>
              </w:rPr>
              <w:t>危险废物贮存污染控制标准》（GB18597-2023），按照《危险废物转移管理办法》的相关要求，要求建设单位同时建立危险废物转移联单制度，保证危险废物得到安全合理处置。按照《危险废物识别标志设置技术规范》（HJ1276-2022）要求设置危险废物标志。</w:t>
            </w:r>
          </w:p>
          <w:p>
            <w:pPr>
              <w:topLinePunct/>
              <w:jc w:val="center"/>
              <w:rPr>
                <w:b/>
                <w:bCs/>
                <w:sz w:val="24"/>
              </w:rPr>
            </w:pPr>
            <w:r>
              <w:rPr>
                <w:b/>
                <w:bCs/>
                <w:sz w:val="24"/>
              </w:rPr>
              <w:t>表4-10危废暂存措施标准</w:t>
            </w:r>
          </w:p>
          <w:tbl>
            <w:tblPr>
              <w:tblStyle w:val="17"/>
              <w:tblW w:w="49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4"/>
              <w:gridCol w:w="6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29" w:type="pct"/>
                  <w:vAlign w:val="center"/>
                </w:tcPr>
                <w:p>
                  <w:pPr>
                    <w:topLinePunct/>
                    <w:jc w:val="center"/>
                    <w:rPr>
                      <w:b/>
                      <w:szCs w:val="21"/>
                    </w:rPr>
                  </w:pPr>
                  <w:r>
                    <w:rPr>
                      <w:b/>
                      <w:szCs w:val="21"/>
                    </w:rPr>
                    <w:t>项目</w:t>
                  </w:r>
                </w:p>
              </w:tc>
              <w:tc>
                <w:tcPr>
                  <w:tcW w:w="4371" w:type="pct"/>
                  <w:vAlign w:val="center"/>
                </w:tcPr>
                <w:p>
                  <w:pPr>
                    <w:topLinePunct/>
                    <w:jc w:val="center"/>
                    <w:rPr>
                      <w:b/>
                      <w:szCs w:val="21"/>
                    </w:rPr>
                  </w:pPr>
                  <w:r>
                    <w:rPr>
                      <w:b/>
                      <w:bCs/>
                      <w:szCs w:val="16"/>
                    </w:rPr>
                    <w:t>GB18597-2023</w:t>
                  </w:r>
                  <w:r>
                    <w:rPr>
                      <w:b/>
                      <w:bCs/>
                      <w:szCs w:val="21"/>
                    </w:rPr>
                    <w:t>主要</w:t>
                  </w:r>
                  <w:r>
                    <w:rPr>
                      <w:b/>
                      <w:szCs w:val="21"/>
                    </w:rPr>
                    <w:t>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9" w:type="pct"/>
                  <w:vAlign w:val="center"/>
                </w:tcPr>
                <w:p>
                  <w:pPr>
                    <w:topLinePunct/>
                    <w:jc w:val="center"/>
                    <w:rPr>
                      <w:bCs/>
                      <w:szCs w:val="21"/>
                    </w:rPr>
                  </w:pPr>
                  <w:r>
                    <w:rPr>
                      <w:bCs/>
                      <w:szCs w:val="21"/>
                    </w:rPr>
                    <w:t>总体要求</w:t>
                  </w:r>
                </w:p>
              </w:tc>
              <w:tc>
                <w:tcPr>
                  <w:tcW w:w="4371" w:type="pct"/>
                  <w:vAlign w:val="center"/>
                </w:tcPr>
                <w:p>
                  <w:pPr>
                    <w:topLinePunct/>
                    <w:jc w:val="left"/>
                    <w:rPr>
                      <w:bCs/>
                      <w:szCs w:val="21"/>
                    </w:rPr>
                  </w:pPr>
                  <w:r>
                    <w:rPr>
                      <w:bCs/>
                      <w:szCs w:val="21"/>
                    </w:rPr>
                    <w:t>4.6贮存设施或场所、容器和包装物应按HJ1276要求设置危险废物贮存设施或场所标志、危险废物贮存分区标志和危险废物标签等危险废物识别标志。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9" w:type="pct"/>
                  <w:vAlign w:val="center"/>
                </w:tcPr>
                <w:p>
                  <w:pPr>
                    <w:widowControl/>
                    <w:topLinePunct/>
                    <w:jc w:val="center"/>
                    <w:rPr>
                      <w:bCs/>
                      <w:szCs w:val="21"/>
                    </w:rPr>
                  </w:pPr>
                  <w:r>
                    <w:rPr>
                      <w:bCs/>
                      <w:szCs w:val="21"/>
                    </w:rPr>
                    <w:t>贮存设施污染控制要求</w:t>
                  </w:r>
                </w:p>
              </w:tc>
              <w:tc>
                <w:tcPr>
                  <w:tcW w:w="4371" w:type="pct"/>
                  <w:vAlign w:val="center"/>
                </w:tcPr>
                <w:p>
                  <w:pPr>
                    <w:topLinePunct/>
                    <w:jc w:val="left"/>
                    <w:rPr>
                      <w:bCs/>
                      <w:szCs w:val="21"/>
                    </w:rPr>
                  </w:pPr>
                  <w:r>
                    <w:rPr>
                      <w:bCs/>
                      <w:szCs w:val="21"/>
                    </w:rPr>
                    <w:t>6.1.1贮存设施应根据危险废物的形态、物理化学性质、包装形式和污染物迁移途径，采取必要的防风、防晒、防雨、防漏、防渗、防腐以及其他环境污染防治措施，不应露天堆放危险废物。</w:t>
                  </w:r>
                </w:p>
                <w:p>
                  <w:pPr>
                    <w:topLinePunct/>
                    <w:jc w:val="left"/>
                    <w:rPr>
                      <w:bCs/>
                      <w:szCs w:val="21"/>
                    </w:rPr>
                  </w:pPr>
                  <w:r>
                    <w:rPr>
                      <w:bCs/>
                      <w:szCs w:val="21"/>
                    </w:rPr>
                    <w:t>6.1.2贮存设施应根据危险废物的类别、数量、形态、物理化学性质和污染防治等要求设置必要的贮存分区，避免不相容的危险废物接触、混合。</w:t>
                  </w:r>
                </w:p>
                <w:p>
                  <w:pPr>
                    <w:topLinePunct/>
                    <w:jc w:val="left"/>
                    <w:rPr>
                      <w:bCs/>
                      <w:szCs w:val="21"/>
                    </w:rPr>
                  </w:pPr>
                  <w:r>
                    <w:rPr>
                      <w:bCs/>
                      <w:szCs w:val="21"/>
                    </w:rPr>
                    <w:t>6.1.3贮存设施或贮存分区内地面、墙面裙脚、堵截泄漏的围堰、接触危险废物的隔板和墙体等应采用坚固的材料建造，表面无裂缝。</w:t>
                  </w:r>
                </w:p>
                <w:p>
                  <w:pPr>
                    <w:topLinePunct/>
                    <w:jc w:val="left"/>
                    <w:rPr>
                      <w:bCs/>
                      <w:szCs w:val="21"/>
                    </w:rPr>
                  </w:pPr>
                  <w:r>
                    <w:rPr>
                      <w:bCs/>
                      <w:szCs w:val="21"/>
                    </w:rPr>
                    <w:t>6.1.4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bCs/>
                      <w:szCs w:val="21"/>
                      <w:vertAlign w:val="superscript"/>
                    </w:rPr>
                    <w:t>-7</w:t>
                  </w:r>
                  <w:r>
                    <w:rPr>
                      <w:bCs/>
                      <w:szCs w:val="21"/>
                    </w:rPr>
                    <w:t>cm/s），或至少2mm厚高密度聚乙烯膜等人工防渗材料（渗透系数不大于10-10cm/s），或其他防渗性能等效的材料。</w:t>
                  </w:r>
                </w:p>
                <w:p>
                  <w:pPr>
                    <w:topLinePunct/>
                    <w:jc w:val="left"/>
                    <w:rPr>
                      <w:bCs/>
                      <w:szCs w:val="21"/>
                    </w:rPr>
                  </w:pPr>
                  <w:r>
                    <w:rPr>
                      <w:bCs/>
                      <w:szCs w:val="21"/>
                    </w:rPr>
                    <w:t>6.1.6贮存设施应采取技术和管理措施防止无关人员进入。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9" w:type="pct"/>
                  <w:vMerge w:val="restart"/>
                  <w:vAlign w:val="center"/>
                </w:tcPr>
                <w:p>
                  <w:pPr>
                    <w:topLinePunct/>
                    <w:jc w:val="center"/>
                    <w:rPr>
                      <w:bCs/>
                      <w:szCs w:val="21"/>
                    </w:rPr>
                  </w:pPr>
                  <w:r>
                    <w:rPr>
                      <w:bCs/>
                      <w:szCs w:val="21"/>
                    </w:rPr>
                    <w:t>贮存库</w:t>
                  </w:r>
                </w:p>
              </w:tc>
              <w:tc>
                <w:tcPr>
                  <w:tcW w:w="4371" w:type="pct"/>
                  <w:vAlign w:val="center"/>
                </w:tcPr>
                <w:p>
                  <w:pPr>
                    <w:topLinePunct/>
                    <w:jc w:val="left"/>
                    <w:rPr>
                      <w:bCs/>
                      <w:szCs w:val="21"/>
                    </w:rPr>
                  </w:pPr>
                  <w:r>
                    <w:rPr>
                      <w:bCs/>
                      <w:szCs w:val="21"/>
                    </w:rPr>
                    <w:t>6.2.1贮存库内不同贮存分区之间应采取隔离措施。隔离措施可根据危险废物特性采用过道、隔板或隔墙等方式。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9" w:type="pct"/>
                  <w:vMerge w:val="continue"/>
                  <w:vAlign w:val="center"/>
                </w:tcPr>
                <w:p>
                  <w:pPr>
                    <w:topLinePunct/>
                    <w:jc w:val="center"/>
                    <w:rPr>
                      <w:bCs/>
                      <w:szCs w:val="21"/>
                    </w:rPr>
                  </w:pPr>
                </w:p>
              </w:tc>
              <w:tc>
                <w:tcPr>
                  <w:tcW w:w="4371" w:type="pct"/>
                  <w:vAlign w:val="center"/>
                </w:tcPr>
                <w:p>
                  <w:pPr>
                    <w:topLinePunct/>
                    <w:jc w:val="left"/>
                    <w:rPr>
                      <w:bCs/>
                      <w:szCs w:val="21"/>
                    </w:rPr>
                  </w:pPr>
                  <w:r>
                    <w:rPr>
                      <w:bCs/>
                      <w:szCs w:val="21"/>
                    </w:rPr>
                    <w:t>6.2.2在贮存库内或通过贮存分区方式贮存液态危险废物的，应具有液体泄漏堵截设施，堵截设施最小容积不应低于对应贮存区域最大液态废物容器容积或液态废物总储量1/10（二者取较大者）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9" w:type="pct"/>
                  <w:vMerge w:val="continue"/>
                  <w:vAlign w:val="center"/>
                </w:tcPr>
                <w:p>
                  <w:pPr>
                    <w:topLinePunct/>
                    <w:jc w:val="center"/>
                    <w:rPr>
                      <w:bCs/>
                      <w:szCs w:val="21"/>
                    </w:rPr>
                  </w:pPr>
                </w:p>
              </w:tc>
              <w:tc>
                <w:tcPr>
                  <w:tcW w:w="4371" w:type="pct"/>
                  <w:vAlign w:val="center"/>
                </w:tcPr>
                <w:p>
                  <w:pPr>
                    <w:topLinePunct/>
                    <w:jc w:val="left"/>
                    <w:rPr>
                      <w:bCs/>
                      <w:szCs w:val="21"/>
                    </w:rPr>
                  </w:pPr>
                  <w:r>
                    <w:rPr>
                      <w:bCs/>
                      <w:szCs w:val="21"/>
                    </w:rPr>
                    <w:t>6.2.3贮存易产生粉尘、VOCs、酸雾、有毒有害大气污染物和刺激性气味气体的危险废物贮存库，应设置气体收集装置和气体净化设施；气体净化设施的排气筒高度应符合GB16297要求。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9" w:type="pct"/>
                  <w:vAlign w:val="center"/>
                </w:tcPr>
                <w:p>
                  <w:pPr>
                    <w:topLinePunct/>
                    <w:jc w:val="center"/>
                    <w:rPr>
                      <w:bCs/>
                      <w:szCs w:val="21"/>
                    </w:rPr>
                  </w:pPr>
                  <w:r>
                    <w:rPr>
                      <w:bCs/>
                      <w:szCs w:val="21"/>
                    </w:rPr>
                    <w:t>容器和包装物污染控制要求</w:t>
                  </w:r>
                </w:p>
              </w:tc>
              <w:tc>
                <w:tcPr>
                  <w:tcW w:w="4371" w:type="pct"/>
                  <w:vAlign w:val="center"/>
                </w:tcPr>
                <w:p>
                  <w:pPr>
                    <w:topLinePunct/>
                    <w:jc w:val="left"/>
                    <w:rPr>
                      <w:bCs/>
                      <w:szCs w:val="21"/>
                    </w:rPr>
                  </w:pPr>
                  <w:r>
                    <w:rPr>
                      <w:bCs/>
                      <w:szCs w:val="21"/>
                    </w:rPr>
                    <w:t>7.1容器和包装物材质、内衬应与盛装的危险废物相容。</w:t>
                  </w:r>
                </w:p>
                <w:p>
                  <w:pPr>
                    <w:topLinePunct/>
                    <w:jc w:val="left"/>
                    <w:rPr>
                      <w:bCs/>
                      <w:szCs w:val="21"/>
                    </w:rPr>
                  </w:pPr>
                  <w:r>
                    <w:rPr>
                      <w:bCs/>
                      <w:szCs w:val="21"/>
                    </w:rPr>
                    <w:t>7.2针对不同类别、形态、物理化学性质的危险废物，其容器和包装物应满足相应的防渗、防漏、防腐和强度等要求。</w:t>
                  </w:r>
                </w:p>
                <w:p>
                  <w:pPr>
                    <w:topLinePunct/>
                    <w:jc w:val="left"/>
                    <w:rPr>
                      <w:bCs/>
                      <w:szCs w:val="21"/>
                    </w:rPr>
                  </w:pPr>
                  <w:r>
                    <w:rPr>
                      <w:bCs/>
                      <w:szCs w:val="21"/>
                    </w:rPr>
                    <w:t>7.3硬质容器和包装物及其支护结构堆叠码放时不应有明显变形，无破损泄漏。</w:t>
                  </w:r>
                </w:p>
                <w:p>
                  <w:pPr>
                    <w:topLinePunct/>
                    <w:jc w:val="left"/>
                    <w:rPr>
                      <w:bCs/>
                      <w:szCs w:val="21"/>
                    </w:rPr>
                  </w:pPr>
                  <w:r>
                    <w:rPr>
                      <w:bCs/>
                      <w:szCs w:val="21"/>
                    </w:rPr>
                    <w:t>7.5使用容器盛装液态、半固态危险废物时，，以适应因温度变化等可能引发的收缩和膨胀，防止其导致容器渗漏或永久变形。</w:t>
                  </w:r>
                </w:p>
                <w:p>
                  <w:pPr>
                    <w:topLinePunct/>
                    <w:jc w:val="left"/>
                    <w:rPr>
                      <w:bCs/>
                      <w:szCs w:val="21"/>
                    </w:rPr>
                  </w:pPr>
                  <w:r>
                    <w:rPr>
                      <w:bCs/>
                      <w:szCs w:val="21"/>
                    </w:rPr>
                    <w:t>7.6容器和包装物外表面应保持清洁。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9" w:type="pct"/>
                  <w:vAlign w:val="center"/>
                </w:tcPr>
                <w:p>
                  <w:pPr>
                    <w:topLinePunct/>
                    <w:jc w:val="center"/>
                    <w:rPr>
                      <w:bCs/>
                      <w:szCs w:val="21"/>
                    </w:rPr>
                  </w:pPr>
                  <w:r>
                    <w:rPr>
                      <w:bCs/>
                      <w:szCs w:val="21"/>
                    </w:rPr>
                    <w:t>贮存过程污染控制要求</w:t>
                  </w:r>
                </w:p>
              </w:tc>
              <w:tc>
                <w:tcPr>
                  <w:tcW w:w="4371" w:type="pct"/>
                  <w:vAlign w:val="center"/>
                </w:tcPr>
                <w:p>
                  <w:pPr>
                    <w:topLinePunct/>
                    <w:jc w:val="left"/>
                    <w:rPr>
                      <w:bCs/>
                      <w:szCs w:val="21"/>
                    </w:rPr>
                  </w:pPr>
                  <w:r>
                    <w:rPr>
                      <w:bCs/>
                      <w:szCs w:val="21"/>
                    </w:rPr>
                    <w:t>8.1一般规定</w:t>
                  </w:r>
                </w:p>
                <w:p>
                  <w:pPr>
                    <w:topLinePunct/>
                    <w:jc w:val="left"/>
                    <w:rPr>
                      <w:bCs/>
                      <w:szCs w:val="21"/>
                    </w:rPr>
                  </w:pPr>
                  <w:r>
                    <w:rPr>
                      <w:bCs/>
                      <w:szCs w:val="21"/>
                    </w:rPr>
                    <w:t>8.1.1在常温常压下不易水解、不易挥发的固态危险废物可分类堆放贮存，其他固态危险废物应装入容器或包装物内贮存。</w:t>
                  </w:r>
                </w:p>
                <w:p>
                  <w:pPr>
                    <w:topLinePunct/>
                    <w:jc w:val="left"/>
                    <w:rPr>
                      <w:bCs/>
                      <w:szCs w:val="21"/>
                    </w:rPr>
                  </w:pPr>
                  <w:r>
                    <w:rPr>
                      <w:bCs/>
                      <w:szCs w:val="21"/>
                    </w:rPr>
                    <w:t>8.1.2液态危险废物应装入容器内贮存，或直接采用贮存池、贮存罐区贮存。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9" w:type="pct"/>
                  <w:vAlign w:val="center"/>
                </w:tcPr>
                <w:p>
                  <w:pPr>
                    <w:topLinePunct/>
                    <w:jc w:val="center"/>
                    <w:rPr>
                      <w:bCs/>
                      <w:szCs w:val="21"/>
                    </w:rPr>
                  </w:pPr>
                  <w:r>
                    <w:rPr>
                      <w:bCs/>
                      <w:szCs w:val="21"/>
                    </w:rPr>
                    <w:t>贮存设施运行环境管理要求</w:t>
                  </w:r>
                </w:p>
              </w:tc>
              <w:tc>
                <w:tcPr>
                  <w:tcW w:w="4371" w:type="pct"/>
                  <w:vAlign w:val="center"/>
                </w:tcPr>
                <w:p>
                  <w:pPr>
                    <w:topLinePunct/>
                    <w:jc w:val="left"/>
                    <w:rPr>
                      <w:bCs/>
                      <w:szCs w:val="21"/>
                    </w:rPr>
                  </w:pPr>
                  <w:r>
                    <w:rPr>
                      <w:bCs/>
                      <w:szCs w:val="21"/>
                    </w:rPr>
                    <w:t>8.2.1危险废物存入贮存设施前应对危险废物类别和特性与危险废物标签等危险废物识别标志的一致</w:t>
                  </w:r>
                </w:p>
                <w:p>
                  <w:pPr>
                    <w:topLinePunct/>
                    <w:jc w:val="left"/>
                    <w:rPr>
                      <w:bCs/>
                      <w:szCs w:val="21"/>
                    </w:rPr>
                  </w:pPr>
                  <w:r>
                    <w:rPr>
                      <w:bCs/>
                      <w:szCs w:val="21"/>
                    </w:rPr>
                    <w:t>性进行核验，不一致的或类别、特性不明的不应存入。</w:t>
                  </w:r>
                </w:p>
                <w:p>
                  <w:pPr>
                    <w:topLinePunct/>
                    <w:jc w:val="left"/>
                    <w:rPr>
                      <w:bCs/>
                      <w:szCs w:val="21"/>
                    </w:rPr>
                  </w:pPr>
                  <w:r>
                    <w:rPr>
                      <w:bCs/>
                      <w:szCs w:val="21"/>
                    </w:rPr>
                    <w:t>8.2.2应定期检查危险废物的贮存状况，及时清理贮存设施地面，更换破损泄漏的危险废物贮存容器和包装物，保证堆存危险废物的防雨、防风、防扬尘等设施功能完好。</w:t>
                  </w:r>
                </w:p>
                <w:p>
                  <w:pPr>
                    <w:topLinePunct/>
                    <w:jc w:val="left"/>
                    <w:rPr>
                      <w:bCs/>
                      <w:szCs w:val="21"/>
                    </w:rPr>
                  </w:pPr>
                  <w:r>
                    <w:rPr>
                      <w:bCs/>
                      <w:szCs w:val="21"/>
                    </w:rPr>
                    <w:t>8.2.4贮存设施运行期间，应按国家有关标准和规定建立危险废物管理台账并保存。</w:t>
                  </w:r>
                </w:p>
                <w:p>
                  <w:pPr>
                    <w:topLinePunct/>
                    <w:jc w:val="left"/>
                    <w:rPr>
                      <w:bCs/>
                      <w:szCs w:val="21"/>
                    </w:rPr>
                  </w:pPr>
                  <w:r>
                    <w:rPr>
                      <w:bCs/>
                      <w:szCs w:val="21"/>
                    </w:rPr>
                    <w:t>8.2.5贮存设施所有者或运营者应建立贮存设施环境管理制度、管理人员岗位职责制度、设施运行操作制度、人员岗位培训制度等。</w:t>
                  </w:r>
                </w:p>
                <w:p>
                  <w:pPr>
                    <w:topLinePunct/>
                    <w:jc w:val="left"/>
                    <w:rPr>
                      <w:bCs/>
                      <w:szCs w:val="21"/>
                    </w:rPr>
                  </w:pPr>
                  <w:r>
                    <w:rPr>
                      <w:bCs/>
                      <w:szCs w:val="21"/>
                    </w:rPr>
                    <w:t>8.2.6贮存设施所有者或运营者应依据国家土壤和地下水污染防治的有关规定，结合贮存设施特点建立土壤和地下水污染隐患排查制度，并定期开展隐患排查；发现隐患应及时采取措施消除隐患，并建立档案。</w:t>
                  </w:r>
                </w:p>
                <w:p>
                  <w:pPr>
                    <w:topLinePunct/>
                    <w:jc w:val="left"/>
                    <w:rPr>
                      <w:bCs/>
                      <w:szCs w:val="21"/>
                    </w:rPr>
                  </w:pPr>
                  <w:r>
                    <w:rPr>
                      <w:bCs/>
                      <w:szCs w:val="21"/>
                    </w:rPr>
                    <w:t>8.2.7贮存设施所有者或运营者应建立贮存设施全部档案，包括设计、施工、验收、运行、监测和环境应急等，应按国家有关档案管理的法律法规进行整理和归档。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9" w:type="pct"/>
                  <w:vAlign w:val="center"/>
                </w:tcPr>
                <w:p>
                  <w:pPr>
                    <w:topLinePunct/>
                    <w:jc w:val="center"/>
                    <w:rPr>
                      <w:bCs/>
                      <w:szCs w:val="21"/>
                    </w:rPr>
                  </w:pPr>
                  <w:r>
                    <w:rPr>
                      <w:bCs/>
                      <w:szCs w:val="21"/>
                    </w:rPr>
                    <w:t>环境应急要求</w:t>
                  </w:r>
                </w:p>
              </w:tc>
              <w:tc>
                <w:tcPr>
                  <w:tcW w:w="4371" w:type="pct"/>
                  <w:vAlign w:val="center"/>
                </w:tcPr>
                <w:p>
                  <w:pPr>
                    <w:topLinePunct/>
                    <w:jc w:val="left"/>
                    <w:rPr>
                      <w:bCs/>
                      <w:szCs w:val="21"/>
                    </w:rPr>
                  </w:pPr>
                  <w:r>
                    <w:rPr>
                      <w:bCs/>
                      <w:szCs w:val="21"/>
                    </w:rPr>
                    <w:t>11.1贮存设施所有者或运营者应按照国家有关规定编制突发环境事件应急预案，定期开展必要的培训和环境应急演练，并做好培训、演练记录。</w:t>
                  </w:r>
                </w:p>
                <w:p>
                  <w:pPr>
                    <w:topLinePunct/>
                    <w:jc w:val="left"/>
                    <w:rPr>
                      <w:bCs/>
                      <w:szCs w:val="21"/>
                    </w:rPr>
                  </w:pPr>
                  <w:r>
                    <w:rPr>
                      <w:bCs/>
                      <w:szCs w:val="21"/>
                    </w:rPr>
                    <w:t>11.2贮存设施所有者或运营者应配备满足其突发环境事件应急要求的应急人员、装备和物资，并应设置应急照明系统。</w:t>
                  </w:r>
                </w:p>
              </w:tc>
            </w:tr>
          </w:tbl>
          <w:p>
            <w:pPr>
              <w:autoSpaceDE w:val="0"/>
              <w:autoSpaceDN w:val="0"/>
              <w:adjustRightInd w:val="0"/>
              <w:snapToGrid w:val="0"/>
              <w:spacing w:line="360" w:lineRule="auto"/>
              <w:ind w:firstLine="482" w:firstLineChars="200"/>
              <w:rPr>
                <w:b/>
                <w:sz w:val="24"/>
              </w:rPr>
            </w:pPr>
            <w:r>
              <w:rPr>
                <w:b/>
                <w:sz w:val="24"/>
              </w:rPr>
              <w:t>5、地下水、土壤</w:t>
            </w:r>
          </w:p>
          <w:p>
            <w:pPr>
              <w:autoSpaceDE w:val="0"/>
              <w:autoSpaceDN w:val="0"/>
              <w:adjustRightInd w:val="0"/>
              <w:snapToGrid w:val="0"/>
              <w:spacing w:line="360" w:lineRule="auto"/>
              <w:ind w:firstLine="480" w:firstLineChars="200"/>
              <w:rPr>
                <w:sz w:val="24"/>
              </w:rPr>
            </w:pPr>
            <w:r>
              <w:rPr>
                <w:sz w:val="24"/>
              </w:rPr>
              <w:t>（1）污染源、污染物类型和污染途径</w:t>
            </w:r>
          </w:p>
          <w:p>
            <w:pPr>
              <w:autoSpaceDE w:val="0"/>
              <w:autoSpaceDN w:val="0"/>
              <w:adjustRightInd w:val="0"/>
              <w:snapToGrid w:val="0"/>
              <w:spacing w:line="360" w:lineRule="auto"/>
              <w:ind w:firstLine="480" w:firstLineChars="200"/>
              <w:rPr>
                <w:sz w:val="24"/>
              </w:rPr>
            </w:pPr>
            <w:r>
              <w:rPr>
                <w:sz w:val="24"/>
              </w:rPr>
              <w:t>项目为殡仪馆项目，可能发生的污染事故包括生产废水泄漏、柴油桶泄漏、危废间危废撒落等，可能通过垂直下渗污染土壤和地下水</w:t>
            </w:r>
          </w:p>
          <w:p>
            <w:pPr>
              <w:autoSpaceDE w:val="0"/>
              <w:autoSpaceDN w:val="0"/>
              <w:adjustRightInd w:val="0"/>
              <w:snapToGrid w:val="0"/>
              <w:spacing w:line="360" w:lineRule="auto"/>
              <w:ind w:firstLine="480" w:firstLineChars="200"/>
              <w:rPr>
                <w:sz w:val="24"/>
              </w:rPr>
            </w:pPr>
            <w:r>
              <w:rPr>
                <w:sz w:val="24"/>
              </w:rPr>
              <w:t>（2）防控措施</w:t>
            </w:r>
          </w:p>
          <w:p>
            <w:pPr>
              <w:spacing w:line="360" w:lineRule="auto"/>
              <w:ind w:firstLine="480" w:firstLineChars="200"/>
              <w:rPr>
                <w:sz w:val="24"/>
              </w:rPr>
            </w:pPr>
            <w:r>
              <w:rPr>
                <w:sz w:val="24"/>
              </w:rPr>
              <w:t>为防止泄漏时造成土壤和地下水污染，采取分区防渗措施防止污染物进入土壤和地下水。</w:t>
            </w:r>
          </w:p>
          <w:p>
            <w:pPr>
              <w:autoSpaceDE w:val="0"/>
              <w:autoSpaceDN w:val="0"/>
              <w:spacing w:line="360" w:lineRule="auto"/>
              <w:ind w:firstLine="480" w:firstLineChars="200"/>
              <w:jc w:val="left"/>
              <w:rPr>
                <w:sz w:val="24"/>
              </w:rPr>
            </w:pPr>
            <w:r>
              <w:rPr>
                <w:sz w:val="24"/>
              </w:rPr>
              <w:t>根据项目厂区包气带的防污性能、污染控制难易程度及污染物的类型，将厂区划防渗区。按照《环境影响评价技术导则地下水环境》（HJ 610-2016）表7地下水污染防渗分区参照表，对本次评价项目可能会影响地下水的区域进行防渗处理，防渗分区见下表。</w:t>
            </w:r>
          </w:p>
          <w:p>
            <w:pPr>
              <w:pStyle w:val="65"/>
              <w:spacing w:before="24" w:after="24"/>
              <w:jc w:val="center"/>
              <w:rPr>
                <w:rFonts w:ascii="Times New Roman" w:hAnsi="Times New Roman" w:cs="Times New Roman"/>
                <w:b/>
                <w:sz w:val="24"/>
              </w:rPr>
            </w:pPr>
          </w:p>
          <w:p>
            <w:pPr>
              <w:pStyle w:val="65"/>
              <w:spacing w:before="24" w:after="24"/>
              <w:jc w:val="center"/>
              <w:rPr>
                <w:rFonts w:ascii="Times New Roman" w:hAnsi="Times New Roman" w:cs="Times New Roman"/>
                <w:b/>
                <w:sz w:val="24"/>
              </w:rPr>
            </w:pPr>
            <w:r>
              <w:rPr>
                <w:rFonts w:ascii="Times New Roman" w:hAnsi="Times New Roman" w:cs="Times New Roman"/>
                <w:b/>
                <w:sz w:val="24"/>
              </w:rPr>
              <w:t>表</w:t>
            </w:r>
            <w:r>
              <w:rPr>
                <w:rFonts w:ascii="Times New Roman" w:hAnsi="Times New Roman" w:eastAsia="Times New Roman" w:cs="Times New Roman"/>
                <w:b/>
                <w:sz w:val="24"/>
              </w:rPr>
              <w:t>4-</w:t>
            </w:r>
            <w:r>
              <w:rPr>
                <w:rFonts w:ascii="Times New Roman" w:hAnsi="Times New Roman" w:cs="Times New Roman"/>
                <w:b/>
                <w:sz w:val="24"/>
              </w:rPr>
              <w:t>11污染物防渗分区参照表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2657"/>
              <w:gridCol w:w="3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Align w:val="center"/>
                </w:tcPr>
                <w:p>
                  <w:pPr>
                    <w:pStyle w:val="65"/>
                    <w:spacing w:before="24" w:after="24"/>
                    <w:jc w:val="center"/>
                    <w:rPr>
                      <w:rFonts w:ascii="Times New Roman" w:hAnsi="Times New Roman" w:cs="Times New Roman"/>
                      <w:b/>
                      <w:bCs/>
                      <w:szCs w:val="21"/>
                    </w:rPr>
                  </w:pPr>
                  <w:r>
                    <w:rPr>
                      <w:rFonts w:ascii="Times New Roman" w:hAnsi="Times New Roman" w:cs="Times New Roman"/>
                      <w:b/>
                      <w:bCs/>
                      <w:szCs w:val="21"/>
                    </w:rPr>
                    <w:t>分区防渗</w:t>
                  </w:r>
                </w:p>
              </w:tc>
              <w:tc>
                <w:tcPr>
                  <w:tcW w:w="2657" w:type="dxa"/>
                  <w:vAlign w:val="center"/>
                </w:tcPr>
                <w:p>
                  <w:pPr>
                    <w:pStyle w:val="65"/>
                    <w:spacing w:before="24" w:after="24"/>
                    <w:jc w:val="center"/>
                    <w:rPr>
                      <w:rFonts w:ascii="Times New Roman" w:hAnsi="Times New Roman" w:cs="Times New Roman"/>
                      <w:b/>
                      <w:bCs/>
                      <w:szCs w:val="21"/>
                    </w:rPr>
                  </w:pPr>
                  <w:r>
                    <w:rPr>
                      <w:rFonts w:ascii="Times New Roman" w:hAnsi="Times New Roman" w:cs="Times New Roman"/>
                      <w:b/>
                      <w:bCs/>
                      <w:szCs w:val="21"/>
                    </w:rPr>
                    <w:t>污染物类型</w:t>
                  </w:r>
                </w:p>
              </w:tc>
              <w:tc>
                <w:tcPr>
                  <w:tcW w:w="3628" w:type="dxa"/>
                  <w:vAlign w:val="center"/>
                </w:tcPr>
                <w:p>
                  <w:pPr>
                    <w:pStyle w:val="65"/>
                    <w:spacing w:before="24" w:after="24"/>
                    <w:jc w:val="center"/>
                    <w:rPr>
                      <w:rFonts w:ascii="Times New Roman" w:hAnsi="Times New Roman" w:cs="Times New Roman"/>
                      <w:b/>
                      <w:bCs/>
                      <w:szCs w:val="21"/>
                    </w:rPr>
                  </w:pPr>
                  <w:r>
                    <w:rPr>
                      <w:rFonts w:ascii="Times New Roman" w:hAnsi="Times New Roman" w:cs="Times New Roman"/>
                      <w:b/>
                      <w:bCs/>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Align w:val="center"/>
                </w:tcPr>
                <w:p>
                  <w:pPr>
                    <w:pStyle w:val="65"/>
                    <w:spacing w:before="24" w:after="24"/>
                    <w:jc w:val="center"/>
                    <w:rPr>
                      <w:rFonts w:ascii="Times New Roman" w:hAnsi="Times New Roman" w:cs="Times New Roman"/>
                      <w:b/>
                      <w:bCs/>
                      <w:szCs w:val="21"/>
                    </w:rPr>
                  </w:pPr>
                  <w:r>
                    <w:rPr>
                      <w:rFonts w:ascii="Times New Roman" w:hAnsi="Times New Roman" w:cs="Times New Roman"/>
                    </w:rPr>
                    <w:t>重点防渗区</w:t>
                  </w:r>
                </w:p>
              </w:tc>
              <w:tc>
                <w:tcPr>
                  <w:tcW w:w="2657" w:type="dxa"/>
                  <w:vAlign w:val="center"/>
                </w:tcPr>
                <w:p>
                  <w:pPr>
                    <w:pStyle w:val="65"/>
                    <w:spacing w:before="24" w:after="24"/>
                    <w:jc w:val="center"/>
                    <w:rPr>
                      <w:rFonts w:ascii="Times New Roman" w:hAnsi="Times New Roman" w:cs="Times New Roman"/>
                      <w:b/>
                      <w:bCs/>
                      <w:szCs w:val="21"/>
                    </w:rPr>
                  </w:pPr>
                  <w:r>
                    <w:rPr>
                      <w:rFonts w:ascii="Times New Roman" w:hAnsi="Times New Roman" w:cs="Times New Roman"/>
                      <w:szCs w:val="21"/>
                    </w:rPr>
                    <w:t>危废暂存间、柴油桶存入处</w:t>
                  </w:r>
                </w:p>
              </w:tc>
              <w:tc>
                <w:tcPr>
                  <w:tcW w:w="3628" w:type="dxa"/>
                  <w:vAlign w:val="center"/>
                </w:tcPr>
                <w:p>
                  <w:pPr>
                    <w:pStyle w:val="65"/>
                    <w:spacing w:before="24" w:after="24"/>
                    <w:jc w:val="center"/>
                    <w:rPr>
                      <w:rFonts w:ascii="Times New Roman" w:hAnsi="Times New Roman" w:cs="Times New Roman"/>
                      <w:b/>
                      <w:bCs/>
                      <w:szCs w:val="21"/>
                    </w:rPr>
                  </w:pPr>
                  <w:r>
                    <w:rPr>
                      <w:rFonts w:ascii="Times New Roman" w:hAnsi="Times New Roman" w:cs="Times New Roman"/>
                    </w:rPr>
                    <w:t>等效粘土防渗层</w:t>
                  </w:r>
                  <w:r>
                    <w:rPr>
                      <w:rFonts w:ascii="Times New Roman" w:hAnsi="Times New Roman" w:eastAsia="Times New Roman" w:cs="Times New Roman"/>
                    </w:rPr>
                    <w:t>Mb≥6m</w:t>
                  </w:r>
                  <w:r>
                    <w:rPr>
                      <w:rFonts w:ascii="Times New Roman" w:hAnsi="Times New Roman" w:cs="Times New Roman"/>
                    </w:rPr>
                    <w:t>，</w:t>
                  </w:r>
                  <w:r>
                    <w:rPr>
                      <w:rFonts w:ascii="Times New Roman" w:hAnsi="Times New Roman" w:eastAsia="Times New Roman" w:cs="Times New Roman"/>
                    </w:rPr>
                    <w:t>K≤1×10</w:t>
                  </w:r>
                  <w:r>
                    <w:rPr>
                      <w:rFonts w:ascii="Times New Roman" w:hAnsi="Times New Roman" w:cs="Times New Roman"/>
                      <w:vertAlign w:val="superscript"/>
                    </w:rPr>
                    <w:t>-7</w:t>
                  </w:r>
                  <w:r>
                    <w:rPr>
                      <w:rFonts w:ascii="Times New Roman" w:hAnsi="Times New Roman" w:eastAsia="Times New Roman" w:cs="Times New Roman"/>
                    </w:rPr>
                    <w:t>cm/s</w:t>
                  </w:r>
                  <w:r>
                    <w:rPr>
                      <w:rFonts w:ascii="Times New Roman" w:hAnsi="Times New Roman" w:cs="Times New Roman"/>
                    </w:rPr>
                    <w:t>；或参照</w:t>
                  </w:r>
                  <w:r>
                    <w:rPr>
                      <w:rFonts w:ascii="Times New Roman" w:hAnsi="Times New Roman" w:eastAsia="Times New Roman" w:cs="Times New Roman"/>
                    </w:rPr>
                    <w:t>GB18598</w:t>
                  </w:r>
                  <w:r>
                    <w:rPr>
                      <w:rFonts w:ascii="Times New Roman" w:hAnsi="Times New Roman" w:cs="Times New Roman"/>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589" w:type="dxa"/>
                  <w:vAlign w:val="center"/>
                </w:tcPr>
                <w:p>
                  <w:pPr>
                    <w:pStyle w:val="65"/>
                    <w:spacing w:before="24" w:after="24"/>
                    <w:jc w:val="center"/>
                    <w:rPr>
                      <w:rFonts w:ascii="Times New Roman" w:hAnsi="Times New Roman" w:cs="Times New Roman"/>
                    </w:rPr>
                  </w:pPr>
                  <w:r>
                    <w:rPr>
                      <w:rFonts w:ascii="Times New Roman" w:hAnsi="Times New Roman" w:cs="Times New Roman"/>
                    </w:rPr>
                    <w:t>一般防渗区</w:t>
                  </w:r>
                </w:p>
              </w:tc>
              <w:tc>
                <w:tcPr>
                  <w:tcW w:w="2657" w:type="dxa"/>
                  <w:vAlign w:val="center"/>
                </w:tcPr>
                <w:p>
                  <w:pPr>
                    <w:pStyle w:val="65"/>
                    <w:spacing w:before="24" w:after="24"/>
                    <w:rPr>
                      <w:rFonts w:ascii="Times New Roman" w:hAnsi="Times New Roman" w:cs="Times New Roman"/>
                      <w:szCs w:val="21"/>
                    </w:rPr>
                  </w:pPr>
                  <w:r>
                    <w:rPr>
                      <w:rFonts w:ascii="Times New Roman" w:hAnsi="Times New Roman" w:cs="Times New Roman"/>
                      <w:szCs w:val="21"/>
                    </w:rPr>
                    <w:t>解剖室、火化间、生产废水处理系统区</w:t>
                  </w:r>
                </w:p>
              </w:tc>
              <w:tc>
                <w:tcPr>
                  <w:tcW w:w="3628" w:type="dxa"/>
                  <w:vAlign w:val="center"/>
                </w:tcPr>
                <w:p>
                  <w:pPr>
                    <w:pStyle w:val="65"/>
                    <w:spacing w:before="24" w:after="24"/>
                    <w:jc w:val="center"/>
                    <w:rPr>
                      <w:rFonts w:ascii="Times New Roman" w:hAnsi="Times New Roman" w:cs="Times New Roman"/>
                      <w:sz w:val="24"/>
                      <w:szCs w:val="32"/>
                    </w:rPr>
                  </w:pPr>
                  <w:r>
                    <w:rPr>
                      <w:rFonts w:ascii="Times New Roman" w:hAnsi="Times New Roman" w:cs="Times New Roman"/>
                    </w:rPr>
                    <w:t>等效粘土防渗层</w:t>
                  </w:r>
                  <w:r>
                    <w:rPr>
                      <w:rFonts w:ascii="Times New Roman" w:hAnsi="Times New Roman" w:eastAsia="Times New Roman" w:cs="Times New Roman"/>
                    </w:rPr>
                    <w:t>Mb≥1.5m</w:t>
                  </w:r>
                  <w:r>
                    <w:rPr>
                      <w:rFonts w:ascii="Times New Roman" w:hAnsi="Times New Roman" w:cs="Times New Roman"/>
                    </w:rPr>
                    <w:t>，</w:t>
                  </w:r>
                  <w:r>
                    <w:rPr>
                      <w:rFonts w:ascii="Times New Roman" w:hAnsi="Times New Roman" w:eastAsia="Times New Roman" w:cs="Times New Roman"/>
                    </w:rPr>
                    <w:t>K≤1×10</w:t>
                  </w:r>
                  <w:r>
                    <w:rPr>
                      <w:rFonts w:ascii="Times New Roman" w:hAnsi="Times New Roman" w:cs="Times New Roman"/>
                      <w:vertAlign w:val="superscript"/>
                    </w:rPr>
                    <w:t>-7</w:t>
                  </w:r>
                  <w:r>
                    <w:rPr>
                      <w:rFonts w:ascii="Times New Roman" w:hAnsi="Times New Roman" w:eastAsia="Times New Roman" w:cs="Times New Roman"/>
                    </w:rPr>
                    <w:t>cm/s</w:t>
                  </w:r>
                  <w:r>
                    <w:rPr>
                      <w:rFonts w:ascii="Times New Roman" w:hAnsi="Times New Roman" w:cs="Times New Roman"/>
                    </w:rPr>
                    <w:t>；或参照</w:t>
                  </w:r>
                  <w:r>
                    <w:rPr>
                      <w:rFonts w:ascii="Times New Roman" w:hAnsi="Times New Roman" w:eastAsia="Times New Roman" w:cs="Times New Roman"/>
                    </w:rPr>
                    <w:t>GB16889</w:t>
                  </w:r>
                  <w:r>
                    <w:rPr>
                      <w:rFonts w:ascii="Times New Roman" w:hAnsi="Times New Roman" w:cs="Times New Roman"/>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Align w:val="center"/>
                </w:tcPr>
                <w:p>
                  <w:pPr>
                    <w:pStyle w:val="65"/>
                    <w:spacing w:before="24" w:after="24"/>
                    <w:jc w:val="center"/>
                    <w:rPr>
                      <w:rFonts w:ascii="Times New Roman" w:hAnsi="Times New Roman" w:cs="Times New Roman"/>
                    </w:rPr>
                  </w:pPr>
                  <w:r>
                    <w:rPr>
                      <w:rFonts w:ascii="Times New Roman" w:hAnsi="Times New Roman" w:cs="Times New Roman"/>
                    </w:rPr>
                    <w:t>简单防渗区</w:t>
                  </w:r>
                </w:p>
              </w:tc>
              <w:tc>
                <w:tcPr>
                  <w:tcW w:w="2657" w:type="dxa"/>
                  <w:vAlign w:val="center"/>
                </w:tcPr>
                <w:p>
                  <w:pPr>
                    <w:pStyle w:val="65"/>
                    <w:spacing w:before="24" w:after="24"/>
                    <w:jc w:val="center"/>
                    <w:rPr>
                      <w:rFonts w:ascii="Times New Roman" w:hAnsi="Times New Roman" w:cs="Times New Roman"/>
                      <w:szCs w:val="21"/>
                    </w:rPr>
                  </w:pPr>
                  <w:r>
                    <w:rPr>
                      <w:rFonts w:ascii="Times New Roman" w:hAnsi="Times New Roman" w:cs="Times New Roman"/>
                      <w:szCs w:val="21"/>
                    </w:rPr>
                    <w:t>其他厂区地面</w:t>
                  </w:r>
                </w:p>
              </w:tc>
              <w:tc>
                <w:tcPr>
                  <w:tcW w:w="3628" w:type="dxa"/>
                  <w:vAlign w:val="center"/>
                </w:tcPr>
                <w:p>
                  <w:pPr>
                    <w:pStyle w:val="65"/>
                    <w:spacing w:before="24" w:after="24"/>
                    <w:jc w:val="center"/>
                    <w:rPr>
                      <w:rFonts w:ascii="Times New Roman" w:hAnsi="Times New Roman" w:cs="Times New Roman"/>
                    </w:rPr>
                  </w:pPr>
                  <w:r>
                    <w:rPr>
                      <w:rFonts w:ascii="Times New Roman" w:hAnsi="Times New Roman" w:cs="Times New Roman"/>
                    </w:rPr>
                    <w:t>一般地面硬化</w:t>
                  </w:r>
                </w:p>
              </w:tc>
            </w:tr>
          </w:tbl>
          <w:p>
            <w:pPr>
              <w:autoSpaceDE w:val="0"/>
              <w:autoSpaceDN w:val="0"/>
              <w:adjustRightInd w:val="0"/>
              <w:snapToGrid w:val="0"/>
              <w:spacing w:line="360" w:lineRule="auto"/>
              <w:ind w:firstLine="480" w:firstLineChars="200"/>
              <w:rPr>
                <w:sz w:val="24"/>
              </w:rPr>
            </w:pPr>
            <w:r>
              <w:rPr>
                <w:sz w:val="24"/>
              </w:rPr>
              <w:t>项目通过加强管理，按照评价要求采取相应的防渗措施后，可有效防止污染物渗漏对区域土壤、地下水环境的污染。</w:t>
            </w:r>
          </w:p>
          <w:p>
            <w:pPr>
              <w:autoSpaceDE w:val="0"/>
              <w:autoSpaceDN w:val="0"/>
              <w:adjustRightInd w:val="0"/>
              <w:snapToGrid w:val="0"/>
              <w:spacing w:line="360" w:lineRule="auto"/>
              <w:ind w:firstLine="482" w:firstLineChars="200"/>
              <w:jc w:val="left"/>
              <w:rPr>
                <w:b/>
                <w:sz w:val="24"/>
              </w:rPr>
            </w:pPr>
            <w:r>
              <w:rPr>
                <w:b/>
                <w:sz w:val="24"/>
              </w:rPr>
              <w:t>6、环境风险</w:t>
            </w:r>
          </w:p>
          <w:p>
            <w:pPr>
              <w:autoSpaceDE w:val="0"/>
              <w:autoSpaceDN w:val="0"/>
              <w:adjustRightInd w:val="0"/>
              <w:snapToGrid w:val="0"/>
              <w:spacing w:line="360" w:lineRule="auto"/>
              <w:ind w:firstLine="480" w:firstLineChars="200"/>
              <w:rPr>
                <w:sz w:val="24"/>
              </w:rPr>
            </w:pPr>
            <w:r>
              <w:rPr>
                <w:sz w:val="24"/>
              </w:rPr>
              <w:t>（1）危险物质和风险源分布情况</w:t>
            </w:r>
          </w:p>
          <w:p>
            <w:pPr>
              <w:autoSpaceDE w:val="0"/>
              <w:autoSpaceDN w:val="0"/>
              <w:adjustRightInd w:val="0"/>
              <w:snapToGrid w:val="0"/>
              <w:spacing w:line="360" w:lineRule="auto"/>
              <w:ind w:firstLine="480" w:firstLineChars="200"/>
              <w:rPr>
                <w:sz w:val="24"/>
              </w:rPr>
            </w:pPr>
            <w:r>
              <w:rPr>
                <w:sz w:val="24"/>
              </w:rPr>
              <w:t>项目危险物质数量及分布情况见下表。</w:t>
            </w:r>
          </w:p>
          <w:p>
            <w:pPr>
              <w:spacing w:line="360" w:lineRule="auto"/>
              <w:ind w:firstLine="480" w:firstLineChars="200"/>
              <w:rPr>
                <w:sz w:val="24"/>
              </w:rPr>
            </w:pPr>
            <w:r>
              <w:rPr>
                <w:sz w:val="24"/>
              </w:rPr>
              <w:t>根据《建设项目环境风险评价技术导则》(HJ169-2018) 附录B，本项目存在的风险物质为油类物质（柴油）、天然气。</w:t>
            </w:r>
          </w:p>
          <w:p>
            <w:pPr>
              <w:autoSpaceDE w:val="0"/>
              <w:autoSpaceDN w:val="0"/>
              <w:adjustRightInd w:val="0"/>
              <w:snapToGrid w:val="0"/>
              <w:spacing w:line="360" w:lineRule="auto"/>
              <w:ind w:firstLine="480" w:firstLineChars="200"/>
              <w:rPr>
                <w:sz w:val="24"/>
              </w:rPr>
            </w:pPr>
            <w:r>
              <w:rPr>
                <w:sz w:val="24"/>
              </w:rPr>
              <w:t>本项目拟设置1个金属高位储油箱，容积1m</w:t>
            </w:r>
            <w:r>
              <w:rPr>
                <w:sz w:val="24"/>
                <w:vertAlign w:val="superscript"/>
              </w:rPr>
              <w:t>3</w:t>
            </w:r>
            <w:r>
              <w:rPr>
                <w:sz w:val="24"/>
              </w:rPr>
              <w:t>，轻柴油密度取0.83t/m</w:t>
            </w:r>
            <w:r>
              <w:rPr>
                <w:sz w:val="24"/>
                <w:vertAlign w:val="superscript"/>
              </w:rPr>
              <w:t>3</w:t>
            </w:r>
            <w:r>
              <w:rPr>
                <w:sz w:val="24"/>
              </w:rPr>
              <w:t>，项目区轻柴油储存量为0.24×0.83=0.2t/a，根据《建设项目风险评价技术导则》（HJ169-2018）中附录B中“381油类物质（矿物油类，如石油、汽油、柴油等；生物柴油等）”临界量为2500t，；天然气使用市政管网直接接入，不在厂区暂存，仅有管线中存储少量。</w:t>
            </w:r>
          </w:p>
          <w:p>
            <w:pPr>
              <w:adjustRightInd w:val="0"/>
              <w:snapToGrid w:val="0"/>
              <w:jc w:val="center"/>
              <w:rPr>
                <w:b/>
                <w:sz w:val="24"/>
              </w:rPr>
            </w:pPr>
            <w:r>
              <w:rPr>
                <w:b/>
                <w:sz w:val="24"/>
              </w:rPr>
              <w:t>表4-12危险物质及数量分布</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446"/>
              <w:gridCol w:w="770"/>
              <w:gridCol w:w="1004"/>
              <w:gridCol w:w="640"/>
              <w:gridCol w:w="883"/>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01" w:type="pct"/>
                  <w:vAlign w:val="center"/>
                </w:tcPr>
                <w:p>
                  <w:pPr>
                    <w:adjustRightInd w:val="0"/>
                    <w:snapToGrid w:val="0"/>
                    <w:jc w:val="center"/>
                    <w:rPr>
                      <w:b/>
                      <w:szCs w:val="21"/>
                    </w:rPr>
                  </w:pPr>
                  <w:r>
                    <w:rPr>
                      <w:b/>
                      <w:szCs w:val="21"/>
                    </w:rPr>
                    <w:t>危险物质</w:t>
                  </w:r>
                </w:p>
              </w:tc>
              <w:tc>
                <w:tcPr>
                  <w:tcW w:w="944" w:type="pct"/>
                  <w:vAlign w:val="center"/>
                </w:tcPr>
                <w:p>
                  <w:pPr>
                    <w:adjustRightInd w:val="0"/>
                    <w:snapToGrid w:val="0"/>
                    <w:jc w:val="center"/>
                    <w:rPr>
                      <w:b/>
                      <w:szCs w:val="21"/>
                    </w:rPr>
                  </w:pPr>
                  <w:r>
                    <w:rPr>
                      <w:b/>
                      <w:szCs w:val="21"/>
                    </w:rPr>
                    <w:t>最大存储量t</w:t>
                  </w:r>
                </w:p>
              </w:tc>
              <w:tc>
                <w:tcPr>
                  <w:tcW w:w="518" w:type="pct"/>
                  <w:vAlign w:val="center"/>
                </w:tcPr>
                <w:p>
                  <w:pPr>
                    <w:adjustRightInd w:val="0"/>
                    <w:snapToGrid w:val="0"/>
                    <w:jc w:val="center"/>
                    <w:rPr>
                      <w:b/>
                      <w:szCs w:val="21"/>
                    </w:rPr>
                  </w:pPr>
                  <w:r>
                    <w:rPr>
                      <w:b/>
                      <w:szCs w:val="21"/>
                    </w:rPr>
                    <w:t>临界量t</w:t>
                  </w:r>
                </w:p>
              </w:tc>
              <w:tc>
                <w:tcPr>
                  <w:tcW w:w="436" w:type="pct"/>
                  <w:vAlign w:val="center"/>
                </w:tcPr>
                <w:p>
                  <w:pPr>
                    <w:adjustRightInd w:val="0"/>
                    <w:snapToGrid w:val="0"/>
                    <w:jc w:val="center"/>
                    <w:rPr>
                      <w:b/>
                      <w:szCs w:val="21"/>
                    </w:rPr>
                  </w:pPr>
                  <w:r>
                    <w:rPr>
                      <w:b/>
                      <w:szCs w:val="21"/>
                    </w:rPr>
                    <w:t>Q</w:t>
                  </w:r>
                </w:p>
              </w:tc>
              <w:tc>
                <w:tcPr>
                  <w:tcW w:w="436" w:type="pct"/>
                  <w:vAlign w:val="center"/>
                </w:tcPr>
                <w:p>
                  <w:pPr>
                    <w:adjustRightInd w:val="0"/>
                    <w:snapToGrid w:val="0"/>
                    <w:jc w:val="center"/>
                    <w:rPr>
                      <w:b/>
                      <w:szCs w:val="21"/>
                    </w:rPr>
                  </w:pPr>
                  <w:r>
                    <w:rPr>
                      <w:b/>
                      <w:szCs w:val="21"/>
                    </w:rPr>
                    <w:t>形态</w:t>
                  </w:r>
                </w:p>
              </w:tc>
              <w:tc>
                <w:tcPr>
                  <w:tcW w:w="589" w:type="pct"/>
                  <w:vAlign w:val="center"/>
                </w:tcPr>
                <w:p>
                  <w:pPr>
                    <w:adjustRightInd w:val="0"/>
                    <w:snapToGrid w:val="0"/>
                    <w:jc w:val="center"/>
                    <w:rPr>
                      <w:b/>
                      <w:szCs w:val="21"/>
                    </w:rPr>
                  </w:pPr>
                  <w:r>
                    <w:rPr>
                      <w:b/>
                      <w:szCs w:val="21"/>
                    </w:rPr>
                    <w:t>包装方式</w:t>
                  </w:r>
                </w:p>
              </w:tc>
              <w:tc>
                <w:tcPr>
                  <w:tcW w:w="876" w:type="pct"/>
                  <w:vAlign w:val="center"/>
                </w:tcPr>
                <w:p>
                  <w:pPr>
                    <w:adjustRightInd w:val="0"/>
                    <w:snapToGrid w:val="0"/>
                    <w:jc w:val="center"/>
                    <w:rPr>
                      <w:b/>
                      <w:szCs w:val="21"/>
                    </w:rPr>
                  </w:pPr>
                  <w:r>
                    <w:rPr>
                      <w:b/>
                      <w:szCs w:val="21"/>
                    </w:rPr>
                    <w:t>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01" w:type="pct"/>
                  <w:vAlign w:val="center"/>
                </w:tcPr>
                <w:p>
                  <w:pPr>
                    <w:adjustRightInd w:val="0"/>
                    <w:snapToGrid w:val="0"/>
                    <w:jc w:val="center"/>
                    <w:rPr>
                      <w:szCs w:val="21"/>
                    </w:rPr>
                  </w:pPr>
                  <w:r>
                    <w:rPr>
                      <w:szCs w:val="21"/>
                    </w:rPr>
                    <w:t>柴油</w:t>
                  </w:r>
                </w:p>
              </w:tc>
              <w:tc>
                <w:tcPr>
                  <w:tcW w:w="944" w:type="pct"/>
                  <w:vAlign w:val="center"/>
                </w:tcPr>
                <w:p>
                  <w:pPr>
                    <w:adjustRightInd w:val="0"/>
                    <w:snapToGrid w:val="0"/>
                    <w:jc w:val="center"/>
                    <w:rPr>
                      <w:szCs w:val="21"/>
                    </w:rPr>
                  </w:pPr>
                  <w:r>
                    <w:rPr>
                      <w:szCs w:val="21"/>
                    </w:rPr>
                    <w:t>0.83</w:t>
                  </w:r>
                </w:p>
              </w:tc>
              <w:tc>
                <w:tcPr>
                  <w:tcW w:w="518" w:type="pct"/>
                  <w:vAlign w:val="center"/>
                </w:tcPr>
                <w:p>
                  <w:pPr>
                    <w:adjustRightInd w:val="0"/>
                    <w:snapToGrid w:val="0"/>
                    <w:jc w:val="center"/>
                    <w:rPr>
                      <w:szCs w:val="21"/>
                    </w:rPr>
                  </w:pPr>
                  <w:r>
                    <w:rPr>
                      <w:szCs w:val="21"/>
                    </w:rPr>
                    <w:t>2500</w:t>
                  </w:r>
                </w:p>
              </w:tc>
              <w:tc>
                <w:tcPr>
                  <w:tcW w:w="436" w:type="pct"/>
                  <w:vAlign w:val="center"/>
                </w:tcPr>
                <w:p>
                  <w:pPr>
                    <w:adjustRightInd w:val="0"/>
                    <w:snapToGrid w:val="0"/>
                    <w:jc w:val="center"/>
                    <w:rPr>
                      <w:szCs w:val="21"/>
                    </w:rPr>
                  </w:pPr>
                  <w:r>
                    <w:rPr>
                      <w:szCs w:val="21"/>
                    </w:rPr>
                    <w:t>0.000332</w:t>
                  </w:r>
                </w:p>
              </w:tc>
              <w:tc>
                <w:tcPr>
                  <w:tcW w:w="436" w:type="pct"/>
                  <w:vAlign w:val="center"/>
                </w:tcPr>
                <w:p>
                  <w:pPr>
                    <w:adjustRightInd w:val="0"/>
                    <w:snapToGrid w:val="0"/>
                    <w:jc w:val="center"/>
                    <w:rPr>
                      <w:szCs w:val="21"/>
                    </w:rPr>
                  </w:pPr>
                  <w:r>
                    <w:rPr>
                      <w:szCs w:val="21"/>
                    </w:rPr>
                    <w:t>液态</w:t>
                  </w:r>
                </w:p>
              </w:tc>
              <w:tc>
                <w:tcPr>
                  <w:tcW w:w="589" w:type="pct"/>
                  <w:vAlign w:val="center"/>
                </w:tcPr>
                <w:p>
                  <w:pPr>
                    <w:adjustRightInd w:val="0"/>
                    <w:snapToGrid w:val="0"/>
                    <w:jc w:val="center"/>
                    <w:rPr>
                      <w:szCs w:val="21"/>
                    </w:rPr>
                  </w:pPr>
                  <w:r>
                    <w:rPr>
                      <w:szCs w:val="21"/>
                    </w:rPr>
                    <w:t>储油箱</w:t>
                  </w:r>
                </w:p>
              </w:tc>
              <w:tc>
                <w:tcPr>
                  <w:tcW w:w="876" w:type="pct"/>
                  <w:vAlign w:val="center"/>
                </w:tcPr>
                <w:p>
                  <w:pPr>
                    <w:adjustRightInd w:val="0"/>
                    <w:snapToGrid w:val="0"/>
                    <w:jc w:val="center"/>
                    <w:rPr>
                      <w:szCs w:val="21"/>
                    </w:rPr>
                  </w:pPr>
                  <w:r>
                    <w:rPr>
                      <w:szCs w:val="21"/>
                    </w:rPr>
                    <w:t>储油间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01" w:type="pct"/>
                  <w:vAlign w:val="center"/>
                </w:tcPr>
                <w:p>
                  <w:pPr>
                    <w:adjustRightInd w:val="0"/>
                    <w:snapToGrid w:val="0"/>
                    <w:jc w:val="center"/>
                    <w:rPr>
                      <w:szCs w:val="21"/>
                    </w:rPr>
                  </w:pPr>
                  <w:r>
                    <w:rPr>
                      <w:szCs w:val="21"/>
                    </w:rPr>
                    <w:t>天然气</w:t>
                  </w:r>
                </w:p>
              </w:tc>
              <w:tc>
                <w:tcPr>
                  <w:tcW w:w="944" w:type="pct"/>
                  <w:vAlign w:val="center"/>
                </w:tcPr>
                <w:p>
                  <w:pPr>
                    <w:adjustRightInd w:val="0"/>
                    <w:snapToGrid w:val="0"/>
                    <w:jc w:val="center"/>
                    <w:rPr>
                      <w:szCs w:val="21"/>
                    </w:rPr>
                  </w:pPr>
                  <w:r>
                    <w:rPr>
                      <w:szCs w:val="21"/>
                    </w:rPr>
                    <w:t>1.96</w:t>
                  </w:r>
                </w:p>
              </w:tc>
              <w:tc>
                <w:tcPr>
                  <w:tcW w:w="518" w:type="pct"/>
                  <w:vAlign w:val="center"/>
                </w:tcPr>
                <w:p>
                  <w:pPr>
                    <w:adjustRightInd w:val="0"/>
                    <w:snapToGrid w:val="0"/>
                    <w:jc w:val="center"/>
                    <w:rPr>
                      <w:szCs w:val="21"/>
                    </w:rPr>
                  </w:pPr>
                  <w:r>
                    <w:rPr>
                      <w:szCs w:val="21"/>
                    </w:rPr>
                    <w:t>10</w:t>
                  </w:r>
                </w:p>
              </w:tc>
              <w:tc>
                <w:tcPr>
                  <w:tcW w:w="436" w:type="pct"/>
                  <w:vAlign w:val="center"/>
                </w:tcPr>
                <w:p>
                  <w:pPr>
                    <w:adjustRightInd w:val="0"/>
                    <w:snapToGrid w:val="0"/>
                    <w:jc w:val="center"/>
                    <w:rPr>
                      <w:szCs w:val="21"/>
                    </w:rPr>
                  </w:pPr>
                  <w:r>
                    <w:rPr>
                      <w:szCs w:val="21"/>
                    </w:rPr>
                    <w:t>0.196</w:t>
                  </w:r>
                </w:p>
              </w:tc>
              <w:tc>
                <w:tcPr>
                  <w:tcW w:w="436" w:type="pct"/>
                  <w:vAlign w:val="center"/>
                </w:tcPr>
                <w:p>
                  <w:pPr>
                    <w:adjustRightInd w:val="0"/>
                    <w:snapToGrid w:val="0"/>
                    <w:jc w:val="center"/>
                    <w:rPr>
                      <w:szCs w:val="21"/>
                    </w:rPr>
                  </w:pPr>
                  <w:r>
                    <w:rPr>
                      <w:szCs w:val="21"/>
                    </w:rPr>
                    <w:t>气态</w:t>
                  </w:r>
                </w:p>
              </w:tc>
              <w:tc>
                <w:tcPr>
                  <w:tcW w:w="589" w:type="pct"/>
                  <w:vAlign w:val="center"/>
                </w:tcPr>
                <w:p>
                  <w:pPr>
                    <w:adjustRightInd w:val="0"/>
                    <w:snapToGrid w:val="0"/>
                    <w:jc w:val="center"/>
                    <w:rPr>
                      <w:szCs w:val="21"/>
                    </w:rPr>
                  </w:pPr>
                  <w:r>
                    <w:rPr>
                      <w:szCs w:val="21"/>
                    </w:rPr>
                    <w:t>管线</w:t>
                  </w:r>
                </w:p>
              </w:tc>
              <w:tc>
                <w:tcPr>
                  <w:tcW w:w="876" w:type="pct"/>
                  <w:vAlign w:val="center"/>
                </w:tcPr>
                <w:p>
                  <w:pPr>
                    <w:adjustRightInd w:val="0"/>
                    <w:snapToGrid w:val="0"/>
                    <w:jc w:val="center"/>
                    <w:rPr>
                      <w:szCs w:val="21"/>
                    </w:rPr>
                  </w:pPr>
                  <w:r>
                    <w:rPr>
                      <w:szCs w:val="21"/>
                    </w:rPr>
                    <w:t>天然气管线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663" w:type="pct"/>
                  <w:gridSpan w:val="3"/>
                  <w:vAlign w:val="center"/>
                </w:tcPr>
                <w:p>
                  <w:pPr>
                    <w:adjustRightInd w:val="0"/>
                    <w:snapToGrid w:val="0"/>
                    <w:jc w:val="center"/>
                    <w:rPr>
                      <w:szCs w:val="21"/>
                    </w:rPr>
                  </w:pPr>
                  <w:r>
                    <w:rPr>
                      <w:szCs w:val="21"/>
                    </w:rPr>
                    <w:t>合计</w:t>
                  </w:r>
                </w:p>
              </w:tc>
              <w:tc>
                <w:tcPr>
                  <w:tcW w:w="436" w:type="pct"/>
                  <w:vAlign w:val="center"/>
                </w:tcPr>
                <w:p>
                  <w:pPr>
                    <w:adjustRightInd w:val="0"/>
                    <w:snapToGrid w:val="0"/>
                    <w:jc w:val="center"/>
                    <w:rPr>
                      <w:szCs w:val="21"/>
                    </w:rPr>
                  </w:pPr>
                  <w:r>
                    <w:rPr>
                      <w:szCs w:val="21"/>
                    </w:rPr>
                    <w:t>0.196332</w:t>
                  </w:r>
                </w:p>
              </w:tc>
              <w:tc>
                <w:tcPr>
                  <w:tcW w:w="436" w:type="pct"/>
                  <w:vAlign w:val="center"/>
                </w:tcPr>
                <w:p>
                  <w:pPr>
                    <w:adjustRightInd w:val="0"/>
                    <w:snapToGrid w:val="0"/>
                    <w:jc w:val="center"/>
                    <w:rPr>
                      <w:szCs w:val="21"/>
                    </w:rPr>
                  </w:pPr>
                </w:p>
              </w:tc>
              <w:tc>
                <w:tcPr>
                  <w:tcW w:w="589" w:type="pct"/>
                  <w:vAlign w:val="bottom"/>
                </w:tcPr>
                <w:p>
                  <w:pPr>
                    <w:adjustRightInd w:val="0"/>
                    <w:snapToGrid w:val="0"/>
                    <w:jc w:val="center"/>
                    <w:rPr>
                      <w:szCs w:val="21"/>
                    </w:rPr>
                  </w:pPr>
                </w:p>
              </w:tc>
              <w:tc>
                <w:tcPr>
                  <w:tcW w:w="876" w:type="pct"/>
                  <w:vAlign w:val="center"/>
                </w:tcPr>
                <w:p>
                  <w:pPr>
                    <w:adjustRightInd w:val="0"/>
                    <w:snapToGrid w:val="0"/>
                    <w:jc w:val="center"/>
                    <w:rPr>
                      <w:szCs w:val="21"/>
                    </w:rPr>
                  </w:pPr>
                </w:p>
              </w:tc>
            </w:tr>
          </w:tbl>
          <w:p>
            <w:pPr>
              <w:autoSpaceDE w:val="0"/>
              <w:autoSpaceDN w:val="0"/>
              <w:adjustRightInd w:val="0"/>
              <w:snapToGrid w:val="0"/>
              <w:spacing w:line="360" w:lineRule="auto"/>
              <w:ind w:firstLine="480" w:firstLineChars="200"/>
              <w:rPr>
                <w:sz w:val="24"/>
              </w:rPr>
            </w:pPr>
            <w:r>
              <w:rPr>
                <w:sz w:val="24"/>
              </w:rPr>
              <w:t>由上表可知，Q＜1，该项目环境风险潜势为I，仅需进行简单分析。</w:t>
            </w:r>
          </w:p>
          <w:p>
            <w:pPr>
              <w:autoSpaceDE w:val="0"/>
              <w:autoSpaceDN w:val="0"/>
              <w:adjustRightInd w:val="0"/>
              <w:snapToGrid w:val="0"/>
              <w:spacing w:line="360" w:lineRule="auto"/>
              <w:ind w:firstLine="480" w:firstLineChars="200"/>
              <w:rPr>
                <w:sz w:val="24"/>
              </w:rPr>
            </w:pPr>
            <w:r>
              <w:rPr>
                <w:sz w:val="24"/>
              </w:rPr>
              <w:t>（2）可能影响的途径</w:t>
            </w:r>
          </w:p>
          <w:p>
            <w:pPr>
              <w:autoSpaceDE w:val="0"/>
              <w:autoSpaceDN w:val="0"/>
              <w:adjustRightInd w:val="0"/>
              <w:snapToGrid w:val="0"/>
              <w:spacing w:line="360" w:lineRule="auto"/>
              <w:ind w:firstLine="480" w:firstLineChars="200"/>
              <w:rPr>
                <w:sz w:val="24"/>
              </w:rPr>
            </w:pPr>
            <w:r>
              <w:rPr>
                <w:sz w:val="24"/>
                <w:szCs w:val="32"/>
              </w:rPr>
              <w:t>根据本项目的风险源分析，企业可能存在的风险事故主要为柴油泄漏及着火后的火灾爆炸事故，一旦发生事故，事故产生的废水、废气、废油、废液等将会对周围的地表水、环境空气、土壤等造成污染。</w:t>
            </w:r>
          </w:p>
          <w:p>
            <w:pPr>
              <w:autoSpaceDE w:val="0"/>
              <w:autoSpaceDN w:val="0"/>
              <w:adjustRightInd w:val="0"/>
              <w:snapToGrid w:val="0"/>
              <w:spacing w:line="360" w:lineRule="auto"/>
              <w:ind w:firstLine="480" w:firstLineChars="200"/>
              <w:rPr>
                <w:sz w:val="24"/>
              </w:rPr>
            </w:pPr>
            <w:r>
              <w:rPr>
                <w:sz w:val="24"/>
              </w:rPr>
              <w:t>（3）环境风险防范措施</w:t>
            </w:r>
          </w:p>
          <w:p>
            <w:pPr>
              <w:autoSpaceDE w:val="0"/>
              <w:autoSpaceDN w:val="0"/>
              <w:adjustRightInd w:val="0"/>
              <w:snapToGrid w:val="0"/>
              <w:spacing w:line="360" w:lineRule="auto"/>
              <w:ind w:firstLine="480" w:firstLineChars="200"/>
              <w:rPr>
                <w:sz w:val="24"/>
              </w:rPr>
            </w:pPr>
            <w:r>
              <w:rPr>
                <w:sz w:val="24"/>
              </w:rPr>
              <w:t>本项目风险防范措施如下：</w:t>
            </w:r>
          </w:p>
          <w:p>
            <w:pPr>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sz w:val="24"/>
              </w:rPr>
              <w:t>严格按《危险化学品安全管理条例》的要求，加强柴油使用的管理；严格规范操作规程；定期开展安全培训教育；对风险单元开展定期巡查制度。</w:t>
            </w:r>
          </w:p>
          <w:p>
            <w:pPr>
              <w:spacing w:line="360" w:lineRule="auto"/>
              <w:ind w:firstLine="480" w:firstLineChars="200"/>
              <w:rPr>
                <w:sz w:val="24"/>
              </w:rPr>
            </w:pP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sz w:val="24"/>
              </w:rPr>
              <w:t>库房设置摄像头等风险源监控设施。</w:t>
            </w:r>
          </w:p>
          <w:p>
            <w:pPr>
              <w:spacing w:line="360" w:lineRule="auto"/>
              <w:ind w:firstLine="480" w:firstLineChars="200"/>
              <w:rPr>
                <w:sz w:val="24"/>
              </w:rPr>
            </w:pPr>
            <w:r>
              <w:rPr>
                <w:sz w:val="24"/>
              </w:rPr>
              <w:fldChar w:fldCharType="begin"/>
            </w:r>
            <w:r>
              <w:rPr>
                <w:sz w:val="24"/>
              </w:rPr>
              <w:instrText xml:space="preserve"> = 3 \* GB3 </w:instrText>
            </w:r>
            <w:r>
              <w:rPr>
                <w:sz w:val="24"/>
              </w:rPr>
              <w:fldChar w:fldCharType="separate"/>
            </w:r>
            <w:r>
              <w:rPr>
                <w:rFonts w:hint="eastAsia" w:ascii="宋体" w:hAnsi="宋体" w:cs="宋体"/>
                <w:sz w:val="24"/>
              </w:rPr>
              <w:t>③</w:t>
            </w:r>
            <w:r>
              <w:rPr>
                <w:sz w:val="24"/>
              </w:rPr>
              <w:fldChar w:fldCharType="end"/>
            </w:r>
            <w:r>
              <w:rPr>
                <w:sz w:val="24"/>
              </w:rPr>
              <w:t>根据《建筑设计防火规范》（GB50016-2014）2018年版的要求设置消防器材。</w:t>
            </w:r>
          </w:p>
          <w:p>
            <w:pPr>
              <w:pStyle w:val="51"/>
              <w:spacing w:line="360" w:lineRule="auto"/>
              <w:ind w:firstLine="480" w:firstLineChars="200"/>
              <w:rPr>
                <w:rFonts w:ascii="Times New Roman" w:cs="Times New Roman"/>
                <w:color w:val="auto"/>
              </w:rPr>
            </w:pPr>
            <w:r>
              <w:rPr>
                <w:rFonts w:ascii="Times New Roman" w:cs="Times New Roman"/>
                <w:color w:val="auto"/>
              </w:rPr>
              <w:fldChar w:fldCharType="begin"/>
            </w:r>
            <w:r>
              <w:rPr>
                <w:rFonts w:ascii="Times New Roman" w:cs="Times New Roman"/>
                <w:color w:val="auto"/>
              </w:rPr>
              <w:instrText xml:space="preserve"> = 4 \* GB3 </w:instrText>
            </w:r>
            <w:r>
              <w:rPr>
                <w:rFonts w:ascii="Times New Roman" w:cs="Times New Roman"/>
                <w:color w:val="auto"/>
              </w:rPr>
              <w:fldChar w:fldCharType="separate"/>
            </w:r>
            <w:r>
              <w:rPr>
                <w:rFonts w:hint="eastAsia" w:hAnsi="宋体"/>
                <w:color w:val="auto"/>
              </w:rPr>
              <w:t>④</w:t>
            </w:r>
            <w:r>
              <w:rPr>
                <w:rFonts w:ascii="Times New Roman" w:cs="Times New Roman"/>
                <w:color w:val="auto"/>
              </w:rPr>
              <w:fldChar w:fldCharType="end"/>
            </w:r>
            <w:r>
              <w:rPr>
                <w:rFonts w:ascii="Times New Roman" w:cs="Times New Roman"/>
                <w:color w:val="auto"/>
              </w:rPr>
              <w:t>成立环境突发事件应急小组，编制环境突发事件应急预案，并定期进行演练。</w:t>
            </w:r>
          </w:p>
          <w:p>
            <w:pPr>
              <w:spacing w:line="360" w:lineRule="auto"/>
              <w:ind w:firstLine="480" w:firstLineChars="200"/>
              <w:rPr>
                <w:sz w:val="24"/>
              </w:rPr>
            </w:pPr>
            <w:r>
              <w:rPr>
                <w:sz w:val="24"/>
              </w:rPr>
              <w:fldChar w:fldCharType="begin"/>
            </w:r>
            <w:r>
              <w:rPr>
                <w:sz w:val="24"/>
              </w:rPr>
              <w:instrText xml:space="preserve"> = 5 \* GB3 </w:instrText>
            </w:r>
            <w:r>
              <w:rPr>
                <w:sz w:val="24"/>
              </w:rPr>
              <w:fldChar w:fldCharType="separate"/>
            </w:r>
            <w:r>
              <w:rPr>
                <w:rFonts w:hint="eastAsia" w:ascii="宋体" w:hAnsi="宋体" w:cs="宋体"/>
                <w:sz w:val="24"/>
              </w:rPr>
              <w:t>⑤</w:t>
            </w:r>
            <w:r>
              <w:rPr>
                <w:sz w:val="24"/>
              </w:rPr>
              <w:fldChar w:fldCharType="end"/>
            </w:r>
            <w:r>
              <w:rPr>
                <w:sz w:val="24"/>
              </w:rPr>
              <w:t>柴油桶发生泄漏后，及时进行柴油回收。</w:t>
            </w:r>
          </w:p>
          <w:p>
            <w:pPr>
              <w:autoSpaceDE w:val="0"/>
              <w:autoSpaceDN w:val="0"/>
              <w:adjustRightInd w:val="0"/>
              <w:snapToGrid w:val="0"/>
              <w:spacing w:line="360" w:lineRule="auto"/>
              <w:ind w:firstLine="480" w:firstLineChars="200"/>
              <w:rPr>
                <w:sz w:val="24"/>
              </w:rPr>
            </w:pPr>
            <w:r>
              <w:rPr>
                <w:sz w:val="24"/>
              </w:rPr>
              <w:fldChar w:fldCharType="begin"/>
            </w:r>
            <w:r>
              <w:rPr>
                <w:sz w:val="24"/>
              </w:rPr>
              <w:instrText xml:space="preserve"> = 6 \* GB3 </w:instrText>
            </w:r>
            <w:r>
              <w:rPr>
                <w:sz w:val="24"/>
              </w:rPr>
              <w:fldChar w:fldCharType="separate"/>
            </w:r>
            <w:r>
              <w:rPr>
                <w:rFonts w:hint="eastAsia" w:ascii="宋体" w:hAnsi="宋体" w:cs="宋体"/>
                <w:sz w:val="24"/>
              </w:rPr>
              <w:t>⑥</w:t>
            </w:r>
            <w:r>
              <w:rPr>
                <w:sz w:val="24"/>
              </w:rPr>
              <w:fldChar w:fldCharType="end"/>
            </w:r>
            <w:r>
              <w:rPr>
                <w:sz w:val="24"/>
              </w:rPr>
              <w:t>柴油桶泄漏发生火灾事故后，及时疏散工作人员，并进行灭火。</w:t>
            </w:r>
          </w:p>
          <w:p>
            <w:pPr>
              <w:autoSpaceDE w:val="0"/>
              <w:autoSpaceDN w:val="0"/>
              <w:adjustRightInd w:val="0"/>
              <w:snapToGrid w:val="0"/>
              <w:spacing w:line="360" w:lineRule="auto"/>
              <w:ind w:firstLine="482" w:firstLineChars="200"/>
              <w:rPr>
                <w:b/>
                <w:sz w:val="24"/>
              </w:rPr>
            </w:pPr>
            <w:r>
              <w:rPr>
                <w:b/>
                <w:sz w:val="24"/>
              </w:rPr>
              <w:t>8、环保投资</w:t>
            </w:r>
          </w:p>
          <w:p>
            <w:pPr>
              <w:spacing w:line="360" w:lineRule="auto"/>
              <w:ind w:firstLine="480" w:firstLineChars="200"/>
              <w:rPr>
                <w:b/>
                <w:bCs/>
                <w:sz w:val="24"/>
              </w:rPr>
            </w:pPr>
            <w:r>
              <w:rPr>
                <w:sz w:val="24"/>
              </w:rPr>
              <w:t>项目总投资8113.33万元，其中环保投资580万元，占总投资额的7.15%。</w:t>
            </w:r>
            <w:r>
              <w:rPr>
                <w:kern w:val="0"/>
                <w:sz w:val="24"/>
              </w:rPr>
              <w:t>主要用于废气治理设施、噪声防治、固体废物处理等。项目环保投资一览表见表4-13。</w:t>
            </w:r>
          </w:p>
          <w:p>
            <w:pPr>
              <w:jc w:val="center"/>
              <w:rPr>
                <w:b/>
                <w:bCs/>
                <w:sz w:val="24"/>
              </w:rPr>
            </w:pPr>
            <w:r>
              <w:rPr>
                <w:b/>
                <w:bCs/>
                <w:sz w:val="24"/>
              </w:rPr>
              <w:t>表4-13本项目环保措施及投资一览表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533"/>
              <w:gridCol w:w="429"/>
              <w:gridCol w:w="673"/>
              <w:gridCol w:w="1548"/>
              <w:gridCol w:w="3536"/>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rPr>
                      <w:b/>
                      <w:bCs/>
                      <w:kern w:val="0"/>
                    </w:rPr>
                  </w:pPr>
                  <w:r>
                    <w:rPr>
                      <w:b/>
                      <w:bCs/>
                      <w:kern w:val="0"/>
                    </w:rPr>
                    <w:t>编号</w:t>
                  </w:r>
                </w:p>
              </w:tc>
              <w:tc>
                <w:tcPr>
                  <w:tcW w:w="335" w:type="pct"/>
                  <w:vAlign w:val="center"/>
                </w:tcPr>
                <w:p>
                  <w:pPr>
                    <w:adjustRightInd w:val="0"/>
                    <w:snapToGrid w:val="0"/>
                    <w:jc w:val="center"/>
                    <w:rPr>
                      <w:b/>
                      <w:bCs/>
                      <w:kern w:val="0"/>
                    </w:rPr>
                  </w:pPr>
                  <w:r>
                    <w:rPr>
                      <w:b/>
                      <w:bCs/>
                      <w:kern w:val="0"/>
                    </w:rPr>
                    <w:t>阶段</w:t>
                  </w:r>
                </w:p>
              </w:tc>
              <w:tc>
                <w:tcPr>
                  <w:tcW w:w="694" w:type="pct"/>
                  <w:gridSpan w:val="2"/>
                  <w:vAlign w:val="center"/>
                </w:tcPr>
                <w:p>
                  <w:pPr>
                    <w:adjustRightInd w:val="0"/>
                    <w:snapToGrid w:val="0"/>
                    <w:jc w:val="center"/>
                    <w:rPr>
                      <w:b/>
                      <w:bCs/>
                      <w:kern w:val="0"/>
                    </w:rPr>
                  </w:pPr>
                  <w:r>
                    <w:rPr>
                      <w:b/>
                      <w:bCs/>
                      <w:kern w:val="0"/>
                    </w:rPr>
                    <w:t>项目名称</w:t>
                  </w:r>
                </w:p>
              </w:tc>
              <w:tc>
                <w:tcPr>
                  <w:tcW w:w="975" w:type="pct"/>
                  <w:vAlign w:val="center"/>
                </w:tcPr>
                <w:p>
                  <w:pPr>
                    <w:adjustRightInd w:val="0"/>
                    <w:snapToGrid w:val="0"/>
                    <w:jc w:val="center"/>
                    <w:rPr>
                      <w:b/>
                      <w:bCs/>
                      <w:kern w:val="0"/>
                    </w:rPr>
                  </w:pPr>
                  <w:r>
                    <w:rPr>
                      <w:b/>
                      <w:bCs/>
                      <w:kern w:val="0"/>
                    </w:rPr>
                    <w:t>污染源</w:t>
                  </w:r>
                </w:p>
              </w:tc>
              <w:tc>
                <w:tcPr>
                  <w:tcW w:w="2228" w:type="pct"/>
                  <w:vAlign w:val="center"/>
                </w:tcPr>
                <w:p>
                  <w:pPr>
                    <w:adjustRightInd w:val="0"/>
                    <w:snapToGrid w:val="0"/>
                    <w:jc w:val="center"/>
                    <w:rPr>
                      <w:b/>
                      <w:bCs/>
                      <w:kern w:val="0"/>
                    </w:rPr>
                  </w:pPr>
                  <w:r>
                    <w:rPr>
                      <w:b/>
                      <w:bCs/>
                      <w:kern w:val="0"/>
                    </w:rPr>
                    <w:t>环保设施</w:t>
                  </w:r>
                </w:p>
              </w:tc>
              <w:tc>
                <w:tcPr>
                  <w:tcW w:w="435" w:type="pct"/>
                  <w:tcMar>
                    <w:left w:w="0" w:type="dxa"/>
                    <w:right w:w="0" w:type="dxa"/>
                  </w:tcMar>
                  <w:vAlign w:val="center"/>
                </w:tcPr>
                <w:p>
                  <w:pPr>
                    <w:adjustRightInd w:val="0"/>
                    <w:snapToGrid w:val="0"/>
                    <w:jc w:val="center"/>
                    <w:rPr>
                      <w:b/>
                      <w:bCs/>
                      <w:kern w:val="0"/>
                    </w:rPr>
                  </w:pPr>
                  <w:r>
                    <w:rPr>
                      <w:b/>
                      <w:bCs/>
                      <w:kern w:val="0"/>
                    </w:rPr>
                    <w:t>投资</w:t>
                  </w:r>
                </w:p>
                <w:p>
                  <w:pPr>
                    <w:pStyle w:val="8"/>
                    <w:adjustRightInd w:val="0"/>
                    <w:snapToGrid w:val="0"/>
                    <w:jc w:val="center"/>
                    <w:rPr>
                      <w:rFonts w:ascii="Times New Roman" w:hAnsi="Times New Roman" w:cs="Times New Roman"/>
                      <w:b/>
                      <w:bCs/>
                      <w:kern w:val="0"/>
                    </w:rPr>
                  </w:pPr>
                  <w:r>
                    <w:rPr>
                      <w:rFonts w:ascii="Times New Roman" w:hAnsi="Times New Roman" w:cs="Times New Roman"/>
                      <w:b/>
                      <w:bCs/>
                      <w:kern w:val="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rPr>
                      <w:bCs/>
                      <w:kern w:val="0"/>
                    </w:rPr>
                  </w:pPr>
                  <w:r>
                    <w:rPr>
                      <w:bCs/>
                      <w:kern w:val="0"/>
                    </w:rPr>
                    <w:t>1</w:t>
                  </w:r>
                </w:p>
              </w:tc>
              <w:tc>
                <w:tcPr>
                  <w:tcW w:w="335" w:type="pct"/>
                  <w:vMerge w:val="restart"/>
                  <w:vAlign w:val="center"/>
                </w:tcPr>
                <w:p>
                  <w:pPr>
                    <w:adjustRightInd w:val="0"/>
                    <w:snapToGrid w:val="0"/>
                    <w:jc w:val="center"/>
                    <w:rPr>
                      <w:bCs/>
                      <w:kern w:val="0"/>
                    </w:rPr>
                  </w:pPr>
                  <w:r>
                    <w:rPr>
                      <w:bCs/>
                      <w:kern w:val="0"/>
                    </w:rPr>
                    <w:t>施工期</w:t>
                  </w:r>
                </w:p>
              </w:tc>
              <w:tc>
                <w:tcPr>
                  <w:tcW w:w="694" w:type="pct"/>
                  <w:gridSpan w:val="2"/>
                  <w:vAlign w:val="center"/>
                </w:tcPr>
                <w:p>
                  <w:pPr>
                    <w:adjustRightInd w:val="0"/>
                    <w:snapToGrid w:val="0"/>
                    <w:jc w:val="center"/>
                    <w:rPr>
                      <w:b/>
                      <w:bCs/>
                      <w:kern w:val="0"/>
                    </w:rPr>
                  </w:pPr>
                  <w:r>
                    <w:rPr>
                      <w:bCs/>
                      <w:kern w:val="0"/>
                      <w:szCs w:val="21"/>
                    </w:rPr>
                    <w:t>废气</w:t>
                  </w:r>
                </w:p>
              </w:tc>
              <w:tc>
                <w:tcPr>
                  <w:tcW w:w="975" w:type="pct"/>
                  <w:vAlign w:val="center"/>
                </w:tcPr>
                <w:p>
                  <w:pPr>
                    <w:adjustRightInd w:val="0"/>
                    <w:snapToGrid w:val="0"/>
                    <w:jc w:val="center"/>
                    <w:rPr>
                      <w:b/>
                      <w:bCs/>
                      <w:kern w:val="0"/>
                    </w:rPr>
                  </w:pPr>
                  <w:r>
                    <w:rPr>
                      <w:bCs/>
                      <w:kern w:val="0"/>
                      <w:szCs w:val="21"/>
                    </w:rPr>
                    <w:t>扬尘废气</w:t>
                  </w:r>
                </w:p>
              </w:tc>
              <w:tc>
                <w:tcPr>
                  <w:tcW w:w="2228" w:type="pct"/>
                  <w:vAlign w:val="center"/>
                </w:tcPr>
                <w:p>
                  <w:pPr>
                    <w:adjustRightInd w:val="0"/>
                    <w:snapToGrid w:val="0"/>
                    <w:jc w:val="center"/>
                    <w:rPr>
                      <w:b/>
                      <w:bCs/>
                      <w:kern w:val="0"/>
                    </w:rPr>
                  </w:pPr>
                  <w:r>
                    <w:rPr>
                      <w:bCs/>
                      <w:kern w:val="0"/>
                      <w:szCs w:val="21"/>
                    </w:rPr>
                    <w:t>洒水、覆盖抑尘；密闭运输；施工现场100%标准化围蔽；施工现场长期裸土应100%覆盖或绿化，工地砂土不用时应100%覆盖；车辆出入清洗车轮</w:t>
                  </w:r>
                </w:p>
              </w:tc>
              <w:tc>
                <w:tcPr>
                  <w:tcW w:w="435" w:type="pct"/>
                  <w:tcMar>
                    <w:left w:w="0" w:type="dxa"/>
                    <w:right w:w="0" w:type="dxa"/>
                  </w:tcMar>
                  <w:vAlign w:val="center"/>
                </w:tcPr>
                <w:p>
                  <w:pPr>
                    <w:adjustRightInd w:val="0"/>
                    <w:snapToGrid w:val="0"/>
                    <w:jc w:val="center"/>
                    <w:rPr>
                      <w:b/>
                      <w:bCs/>
                      <w:kern w:val="0"/>
                    </w:rPr>
                  </w:pPr>
                  <w:r>
                    <w:rPr>
                      <w:bCs/>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rPr>
                      <w:bCs/>
                      <w:kern w:val="0"/>
                    </w:rPr>
                  </w:pPr>
                  <w:r>
                    <w:rPr>
                      <w:bCs/>
                      <w:kern w:val="0"/>
                    </w:rPr>
                    <w:t>2</w:t>
                  </w:r>
                </w:p>
              </w:tc>
              <w:tc>
                <w:tcPr>
                  <w:tcW w:w="335" w:type="pct"/>
                  <w:vMerge w:val="continue"/>
                  <w:vAlign w:val="center"/>
                </w:tcPr>
                <w:p>
                  <w:pPr>
                    <w:adjustRightInd w:val="0"/>
                    <w:snapToGrid w:val="0"/>
                    <w:jc w:val="center"/>
                    <w:rPr>
                      <w:b/>
                      <w:bCs/>
                      <w:kern w:val="0"/>
                    </w:rPr>
                  </w:pPr>
                </w:p>
              </w:tc>
              <w:tc>
                <w:tcPr>
                  <w:tcW w:w="694" w:type="pct"/>
                  <w:gridSpan w:val="2"/>
                  <w:vAlign w:val="center"/>
                </w:tcPr>
                <w:p>
                  <w:pPr>
                    <w:adjustRightInd w:val="0"/>
                    <w:snapToGrid w:val="0"/>
                    <w:jc w:val="center"/>
                    <w:rPr>
                      <w:b/>
                      <w:bCs/>
                      <w:kern w:val="0"/>
                    </w:rPr>
                  </w:pPr>
                  <w:r>
                    <w:rPr>
                      <w:bCs/>
                      <w:kern w:val="0"/>
                      <w:szCs w:val="21"/>
                    </w:rPr>
                    <w:t>废水</w:t>
                  </w:r>
                </w:p>
              </w:tc>
              <w:tc>
                <w:tcPr>
                  <w:tcW w:w="975" w:type="pct"/>
                  <w:vAlign w:val="center"/>
                </w:tcPr>
                <w:p>
                  <w:pPr>
                    <w:adjustRightInd w:val="0"/>
                    <w:snapToGrid w:val="0"/>
                    <w:jc w:val="center"/>
                    <w:rPr>
                      <w:b/>
                      <w:bCs/>
                      <w:kern w:val="0"/>
                    </w:rPr>
                  </w:pPr>
                  <w:r>
                    <w:rPr>
                      <w:bCs/>
                      <w:kern w:val="0"/>
                      <w:szCs w:val="21"/>
                    </w:rPr>
                    <w:t>施工废水</w:t>
                  </w:r>
                </w:p>
              </w:tc>
              <w:tc>
                <w:tcPr>
                  <w:tcW w:w="2228" w:type="pct"/>
                  <w:vAlign w:val="center"/>
                </w:tcPr>
                <w:p>
                  <w:pPr>
                    <w:adjustRightInd w:val="0"/>
                    <w:snapToGrid w:val="0"/>
                    <w:jc w:val="center"/>
                    <w:rPr>
                      <w:b/>
                      <w:bCs/>
                      <w:kern w:val="0"/>
                    </w:rPr>
                  </w:pPr>
                  <w:r>
                    <w:rPr>
                      <w:bCs/>
                      <w:kern w:val="0"/>
                      <w:szCs w:val="21"/>
                    </w:rPr>
                    <w:t>临时沉淀池</w:t>
                  </w:r>
                </w:p>
              </w:tc>
              <w:tc>
                <w:tcPr>
                  <w:tcW w:w="435" w:type="pct"/>
                  <w:tcMar>
                    <w:left w:w="0" w:type="dxa"/>
                    <w:right w:w="0" w:type="dxa"/>
                  </w:tcMar>
                  <w:vAlign w:val="center"/>
                </w:tcPr>
                <w:p>
                  <w:pPr>
                    <w:adjustRightInd w:val="0"/>
                    <w:snapToGrid w:val="0"/>
                    <w:jc w:val="center"/>
                    <w:rPr>
                      <w:b/>
                      <w:bCs/>
                      <w:kern w:val="0"/>
                    </w:rPr>
                  </w:pPr>
                  <w:r>
                    <w:rPr>
                      <w:bCs/>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rPr>
                      <w:bCs/>
                      <w:kern w:val="0"/>
                    </w:rPr>
                  </w:pPr>
                  <w:r>
                    <w:rPr>
                      <w:bCs/>
                      <w:kern w:val="0"/>
                    </w:rPr>
                    <w:t>3</w:t>
                  </w:r>
                </w:p>
              </w:tc>
              <w:tc>
                <w:tcPr>
                  <w:tcW w:w="335" w:type="pct"/>
                  <w:vMerge w:val="continue"/>
                  <w:vAlign w:val="center"/>
                </w:tcPr>
                <w:p>
                  <w:pPr>
                    <w:adjustRightInd w:val="0"/>
                    <w:snapToGrid w:val="0"/>
                    <w:jc w:val="center"/>
                    <w:rPr>
                      <w:b/>
                      <w:bCs/>
                      <w:kern w:val="0"/>
                    </w:rPr>
                  </w:pPr>
                </w:p>
              </w:tc>
              <w:tc>
                <w:tcPr>
                  <w:tcW w:w="694" w:type="pct"/>
                  <w:gridSpan w:val="2"/>
                  <w:vAlign w:val="center"/>
                </w:tcPr>
                <w:p>
                  <w:pPr>
                    <w:adjustRightInd w:val="0"/>
                    <w:snapToGrid w:val="0"/>
                    <w:jc w:val="center"/>
                    <w:rPr>
                      <w:b/>
                      <w:bCs/>
                      <w:kern w:val="0"/>
                    </w:rPr>
                  </w:pPr>
                  <w:r>
                    <w:rPr>
                      <w:bCs/>
                      <w:kern w:val="0"/>
                      <w:szCs w:val="21"/>
                    </w:rPr>
                    <w:t>噪声</w:t>
                  </w:r>
                </w:p>
              </w:tc>
              <w:tc>
                <w:tcPr>
                  <w:tcW w:w="975" w:type="pct"/>
                  <w:vAlign w:val="center"/>
                </w:tcPr>
                <w:p>
                  <w:pPr>
                    <w:adjustRightInd w:val="0"/>
                    <w:snapToGrid w:val="0"/>
                    <w:jc w:val="center"/>
                    <w:rPr>
                      <w:b/>
                      <w:bCs/>
                      <w:kern w:val="0"/>
                    </w:rPr>
                  </w:pPr>
                  <w:r>
                    <w:rPr>
                      <w:bCs/>
                      <w:kern w:val="0"/>
                      <w:szCs w:val="21"/>
                    </w:rPr>
                    <w:t>机械噪声</w:t>
                  </w:r>
                </w:p>
              </w:tc>
              <w:tc>
                <w:tcPr>
                  <w:tcW w:w="2228" w:type="pct"/>
                  <w:vAlign w:val="center"/>
                </w:tcPr>
                <w:p>
                  <w:pPr>
                    <w:adjustRightInd w:val="0"/>
                    <w:snapToGrid w:val="0"/>
                    <w:jc w:val="center"/>
                    <w:rPr>
                      <w:b/>
                      <w:bCs/>
                      <w:kern w:val="0"/>
                    </w:rPr>
                  </w:pPr>
                  <w:r>
                    <w:rPr>
                      <w:bCs/>
                      <w:kern w:val="0"/>
                      <w:szCs w:val="21"/>
                    </w:rPr>
                    <w:t>控制声源、加强管理、施工申报、文明施工</w:t>
                  </w:r>
                </w:p>
              </w:tc>
              <w:tc>
                <w:tcPr>
                  <w:tcW w:w="435" w:type="pct"/>
                  <w:tcMar>
                    <w:left w:w="0" w:type="dxa"/>
                    <w:right w:w="0" w:type="dxa"/>
                  </w:tcMar>
                  <w:vAlign w:val="center"/>
                </w:tcPr>
                <w:p>
                  <w:pPr>
                    <w:adjustRightInd w:val="0"/>
                    <w:snapToGrid w:val="0"/>
                    <w:jc w:val="center"/>
                    <w:rPr>
                      <w:b/>
                      <w:bCs/>
                      <w:kern w:val="0"/>
                    </w:rPr>
                  </w:pPr>
                  <w:r>
                    <w:rPr>
                      <w:bCs/>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rPr>
                      <w:bCs/>
                      <w:kern w:val="0"/>
                    </w:rPr>
                  </w:pPr>
                  <w:r>
                    <w:rPr>
                      <w:bCs/>
                      <w:kern w:val="0"/>
                    </w:rPr>
                    <w:t>4</w:t>
                  </w:r>
                </w:p>
              </w:tc>
              <w:tc>
                <w:tcPr>
                  <w:tcW w:w="335" w:type="pct"/>
                  <w:vMerge w:val="continue"/>
                  <w:vAlign w:val="center"/>
                </w:tcPr>
                <w:p>
                  <w:pPr>
                    <w:adjustRightInd w:val="0"/>
                    <w:snapToGrid w:val="0"/>
                    <w:jc w:val="center"/>
                    <w:rPr>
                      <w:b/>
                      <w:bCs/>
                      <w:kern w:val="0"/>
                    </w:rPr>
                  </w:pPr>
                </w:p>
              </w:tc>
              <w:tc>
                <w:tcPr>
                  <w:tcW w:w="694" w:type="pct"/>
                  <w:gridSpan w:val="2"/>
                  <w:vAlign w:val="center"/>
                </w:tcPr>
                <w:p>
                  <w:pPr>
                    <w:adjustRightInd w:val="0"/>
                    <w:snapToGrid w:val="0"/>
                    <w:jc w:val="center"/>
                    <w:rPr>
                      <w:b/>
                      <w:bCs/>
                      <w:kern w:val="0"/>
                    </w:rPr>
                  </w:pPr>
                  <w:r>
                    <w:rPr>
                      <w:bCs/>
                      <w:kern w:val="0"/>
                      <w:szCs w:val="21"/>
                    </w:rPr>
                    <w:t>固废</w:t>
                  </w:r>
                </w:p>
              </w:tc>
              <w:tc>
                <w:tcPr>
                  <w:tcW w:w="975" w:type="pct"/>
                  <w:vAlign w:val="center"/>
                </w:tcPr>
                <w:p>
                  <w:pPr>
                    <w:adjustRightInd w:val="0"/>
                    <w:snapToGrid w:val="0"/>
                    <w:jc w:val="center"/>
                    <w:rPr>
                      <w:b/>
                      <w:bCs/>
                      <w:kern w:val="0"/>
                    </w:rPr>
                  </w:pPr>
                  <w:r>
                    <w:rPr>
                      <w:bCs/>
                      <w:kern w:val="0"/>
                      <w:szCs w:val="21"/>
                    </w:rPr>
                    <w:t>生活垃圾</w:t>
                  </w:r>
                </w:p>
              </w:tc>
              <w:tc>
                <w:tcPr>
                  <w:tcW w:w="2228" w:type="pct"/>
                  <w:vAlign w:val="center"/>
                </w:tcPr>
                <w:p>
                  <w:pPr>
                    <w:adjustRightInd w:val="0"/>
                    <w:snapToGrid w:val="0"/>
                    <w:jc w:val="center"/>
                    <w:rPr>
                      <w:b/>
                      <w:bCs/>
                      <w:kern w:val="0"/>
                    </w:rPr>
                  </w:pPr>
                  <w:r>
                    <w:rPr>
                      <w:bCs/>
                      <w:kern w:val="0"/>
                      <w:szCs w:val="21"/>
                    </w:rPr>
                    <w:t>设置垃圾收集桶</w:t>
                  </w:r>
                </w:p>
              </w:tc>
              <w:tc>
                <w:tcPr>
                  <w:tcW w:w="435" w:type="pct"/>
                  <w:tcMar>
                    <w:left w:w="0" w:type="dxa"/>
                    <w:right w:w="0" w:type="dxa"/>
                  </w:tcMar>
                  <w:vAlign w:val="center"/>
                </w:tcPr>
                <w:p>
                  <w:pPr>
                    <w:adjustRightInd w:val="0"/>
                    <w:snapToGrid w:val="0"/>
                    <w:jc w:val="center"/>
                    <w:rPr>
                      <w:b/>
                      <w:bCs/>
                      <w:kern w:val="0"/>
                    </w:rPr>
                  </w:pPr>
                  <w:r>
                    <w:rPr>
                      <w:bCs/>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restart"/>
                  <w:vAlign w:val="center"/>
                </w:tcPr>
                <w:p>
                  <w:pPr>
                    <w:adjustRightInd w:val="0"/>
                    <w:snapToGrid w:val="0"/>
                    <w:jc w:val="center"/>
                    <w:rPr>
                      <w:bCs/>
                      <w:kern w:val="0"/>
                    </w:rPr>
                  </w:pPr>
                  <w:r>
                    <w:rPr>
                      <w:bCs/>
                      <w:kern w:val="0"/>
                    </w:rPr>
                    <w:t>5</w:t>
                  </w:r>
                </w:p>
              </w:tc>
              <w:tc>
                <w:tcPr>
                  <w:tcW w:w="335" w:type="pct"/>
                  <w:vMerge w:val="restart"/>
                  <w:vAlign w:val="center"/>
                </w:tcPr>
                <w:p>
                  <w:pPr>
                    <w:adjustRightInd w:val="0"/>
                    <w:snapToGrid w:val="0"/>
                    <w:jc w:val="center"/>
                    <w:rPr>
                      <w:bCs/>
                      <w:kern w:val="0"/>
                    </w:rPr>
                  </w:pPr>
                  <w:r>
                    <w:rPr>
                      <w:bCs/>
                      <w:kern w:val="0"/>
                    </w:rPr>
                    <w:t>营运期</w:t>
                  </w:r>
                </w:p>
              </w:tc>
              <w:tc>
                <w:tcPr>
                  <w:tcW w:w="694" w:type="pct"/>
                  <w:gridSpan w:val="2"/>
                  <w:vMerge w:val="restart"/>
                  <w:vAlign w:val="center"/>
                </w:tcPr>
                <w:p>
                  <w:pPr>
                    <w:adjustRightInd w:val="0"/>
                    <w:snapToGrid w:val="0"/>
                    <w:jc w:val="center"/>
                    <w:rPr>
                      <w:bCs/>
                      <w:kern w:val="0"/>
                    </w:rPr>
                  </w:pPr>
                  <w:r>
                    <w:rPr>
                      <w:bCs/>
                      <w:kern w:val="0"/>
                    </w:rPr>
                    <w:t>废气</w:t>
                  </w:r>
                </w:p>
              </w:tc>
              <w:tc>
                <w:tcPr>
                  <w:tcW w:w="975" w:type="pct"/>
                  <w:vAlign w:val="center"/>
                </w:tcPr>
                <w:p>
                  <w:pPr>
                    <w:adjustRightInd w:val="0"/>
                    <w:snapToGrid w:val="0"/>
                    <w:jc w:val="center"/>
                    <w:rPr>
                      <w:bCs/>
                      <w:szCs w:val="21"/>
                    </w:rPr>
                  </w:pPr>
                  <w:r>
                    <w:rPr>
                      <w:bCs/>
                      <w:szCs w:val="21"/>
                    </w:rPr>
                    <w:t>油烟</w:t>
                  </w:r>
                </w:p>
              </w:tc>
              <w:tc>
                <w:tcPr>
                  <w:tcW w:w="2228" w:type="pct"/>
                  <w:vAlign w:val="center"/>
                </w:tcPr>
                <w:p>
                  <w:pPr>
                    <w:pStyle w:val="52"/>
                    <w:tabs>
                      <w:tab w:val="left" w:pos="8607"/>
                    </w:tabs>
                    <w:adjustRightInd w:val="0"/>
                    <w:snapToGrid w:val="0"/>
                    <w:spacing w:after="0"/>
                    <w:ind w:left="0" w:leftChars="0" w:firstLine="0" w:firstLineChars="0"/>
                    <w:jc w:val="center"/>
                    <w:rPr>
                      <w:bCs/>
                      <w:szCs w:val="21"/>
                    </w:rPr>
                  </w:pPr>
                  <w:r>
                    <w:rPr>
                      <w:bCs/>
                      <w:szCs w:val="21"/>
                    </w:rPr>
                    <w:t>油烟净化器</w:t>
                  </w:r>
                </w:p>
              </w:tc>
              <w:tc>
                <w:tcPr>
                  <w:tcW w:w="435" w:type="pct"/>
                  <w:vAlign w:val="center"/>
                </w:tcPr>
                <w:p>
                  <w:pPr>
                    <w:widowControl/>
                    <w:adjustRightInd w:val="0"/>
                    <w:snapToGrid w:val="0"/>
                    <w:jc w:val="center"/>
                    <w:textAlignment w:val="center"/>
                    <w:rPr>
                      <w:bCs/>
                      <w:kern w:val="0"/>
                    </w:rPr>
                  </w:pPr>
                  <w:r>
                    <w:rPr>
                      <w:bCs/>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adjustRightInd w:val="0"/>
                    <w:snapToGrid w:val="0"/>
                    <w:jc w:val="center"/>
                    <w:rPr>
                      <w:bCs/>
                      <w:kern w:val="0"/>
                    </w:rPr>
                  </w:pPr>
                </w:p>
              </w:tc>
              <w:tc>
                <w:tcPr>
                  <w:tcW w:w="335" w:type="pct"/>
                  <w:vMerge w:val="continue"/>
                  <w:vAlign w:val="center"/>
                </w:tcPr>
                <w:p>
                  <w:pPr>
                    <w:adjustRightInd w:val="0"/>
                    <w:snapToGrid w:val="0"/>
                    <w:jc w:val="center"/>
                    <w:rPr>
                      <w:bCs/>
                      <w:kern w:val="0"/>
                    </w:rPr>
                  </w:pPr>
                </w:p>
              </w:tc>
              <w:tc>
                <w:tcPr>
                  <w:tcW w:w="694" w:type="pct"/>
                  <w:gridSpan w:val="2"/>
                  <w:vMerge w:val="continue"/>
                  <w:vAlign w:val="center"/>
                </w:tcPr>
                <w:p>
                  <w:pPr>
                    <w:adjustRightInd w:val="0"/>
                    <w:snapToGrid w:val="0"/>
                    <w:jc w:val="center"/>
                    <w:rPr>
                      <w:bCs/>
                      <w:kern w:val="0"/>
                    </w:rPr>
                  </w:pPr>
                </w:p>
              </w:tc>
              <w:tc>
                <w:tcPr>
                  <w:tcW w:w="975" w:type="pct"/>
                  <w:vAlign w:val="center"/>
                </w:tcPr>
                <w:p>
                  <w:pPr>
                    <w:adjustRightInd w:val="0"/>
                    <w:snapToGrid w:val="0"/>
                    <w:jc w:val="center"/>
                    <w:rPr>
                      <w:kern w:val="0"/>
                    </w:rPr>
                  </w:pPr>
                  <w:r>
                    <w:rPr>
                      <w:szCs w:val="21"/>
                    </w:rPr>
                    <w:t>火化炉、焚烧炉、祭品炉烟气</w:t>
                  </w:r>
                </w:p>
              </w:tc>
              <w:tc>
                <w:tcPr>
                  <w:tcW w:w="2228" w:type="pct"/>
                  <w:vAlign w:val="center"/>
                </w:tcPr>
                <w:p>
                  <w:pPr>
                    <w:pStyle w:val="52"/>
                    <w:tabs>
                      <w:tab w:val="left" w:pos="8607"/>
                    </w:tabs>
                    <w:adjustRightInd w:val="0"/>
                    <w:snapToGrid w:val="0"/>
                    <w:spacing w:after="0"/>
                    <w:ind w:left="0" w:leftChars="0" w:firstLine="0" w:firstLineChars="0"/>
                    <w:jc w:val="center"/>
                    <w:rPr>
                      <w:kern w:val="0"/>
                    </w:rPr>
                  </w:pPr>
                  <w:r>
                    <w:rPr>
                      <w:kern w:val="0"/>
                    </w:rPr>
                    <w:t>12套尾气经“</w:t>
                  </w:r>
                  <w:r>
                    <w:rPr>
                      <w:bCs/>
                    </w:rPr>
                    <w:t>二燃室—初级除尘—热交换器—旋风除尘器—除酸除硫装置—布袋除尘器—活性炭吸附器</w:t>
                  </w:r>
                  <w:r>
                    <w:rPr>
                      <w:kern w:val="0"/>
                    </w:rPr>
                    <w:t>”+12根21m排气筒</w:t>
                  </w:r>
                </w:p>
              </w:tc>
              <w:tc>
                <w:tcPr>
                  <w:tcW w:w="435" w:type="pct"/>
                  <w:vAlign w:val="center"/>
                </w:tcPr>
                <w:p>
                  <w:pPr>
                    <w:widowControl/>
                    <w:adjustRightInd w:val="0"/>
                    <w:snapToGrid w:val="0"/>
                    <w:jc w:val="center"/>
                    <w:textAlignment w:val="center"/>
                    <w:rPr>
                      <w:bCs/>
                      <w:kern w:val="0"/>
                    </w:rPr>
                  </w:pPr>
                  <w:r>
                    <w:rPr>
                      <w:bCs/>
                      <w:kern w:val="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rPr>
                      <w:bCs/>
                      <w:kern w:val="0"/>
                    </w:rPr>
                  </w:pPr>
                  <w:r>
                    <w:rPr>
                      <w:bCs/>
                      <w:kern w:val="0"/>
                    </w:rPr>
                    <w:t>6</w:t>
                  </w:r>
                </w:p>
              </w:tc>
              <w:tc>
                <w:tcPr>
                  <w:tcW w:w="335" w:type="pct"/>
                  <w:vMerge w:val="continue"/>
                  <w:vAlign w:val="center"/>
                </w:tcPr>
                <w:p>
                  <w:pPr>
                    <w:adjustRightInd w:val="0"/>
                    <w:snapToGrid w:val="0"/>
                    <w:jc w:val="center"/>
                    <w:rPr>
                      <w:bCs/>
                      <w:kern w:val="0"/>
                    </w:rPr>
                  </w:pPr>
                </w:p>
              </w:tc>
              <w:tc>
                <w:tcPr>
                  <w:tcW w:w="694" w:type="pct"/>
                  <w:gridSpan w:val="2"/>
                  <w:vMerge w:val="restart"/>
                  <w:vAlign w:val="center"/>
                </w:tcPr>
                <w:p>
                  <w:pPr>
                    <w:adjustRightInd w:val="0"/>
                    <w:snapToGrid w:val="0"/>
                    <w:jc w:val="center"/>
                    <w:rPr>
                      <w:bCs/>
                      <w:kern w:val="0"/>
                    </w:rPr>
                  </w:pPr>
                  <w:r>
                    <w:rPr>
                      <w:bCs/>
                      <w:kern w:val="0"/>
                    </w:rPr>
                    <w:t>废水</w:t>
                  </w:r>
                </w:p>
              </w:tc>
              <w:tc>
                <w:tcPr>
                  <w:tcW w:w="975" w:type="pct"/>
                  <w:vAlign w:val="center"/>
                </w:tcPr>
                <w:p>
                  <w:pPr>
                    <w:adjustRightInd w:val="0"/>
                    <w:snapToGrid w:val="0"/>
                    <w:jc w:val="center"/>
                    <w:rPr>
                      <w:bCs/>
                      <w:szCs w:val="21"/>
                    </w:rPr>
                  </w:pPr>
                  <w:r>
                    <w:rPr>
                      <w:szCs w:val="21"/>
                    </w:rPr>
                    <w:t>生活污水</w:t>
                  </w:r>
                </w:p>
              </w:tc>
              <w:tc>
                <w:tcPr>
                  <w:tcW w:w="2228" w:type="pct"/>
                  <w:vAlign w:val="center"/>
                </w:tcPr>
                <w:p>
                  <w:pPr>
                    <w:adjustRightInd w:val="0"/>
                    <w:snapToGrid w:val="0"/>
                    <w:jc w:val="center"/>
                    <w:rPr>
                      <w:bCs/>
                      <w:szCs w:val="21"/>
                    </w:rPr>
                  </w:pPr>
                  <w:r>
                    <w:rPr>
                      <w:bCs/>
                      <w:szCs w:val="21"/>
                    </w:rPr>
                    <w:t>隔油池（食堂废水）+化粪池（100m</w:t>
                  </w:r>
                  <w:r>
                    <w:rPr>
                      <w:bCs/>
                      <w:szCs w:val="21"/>
                      <w:vertAlign w:val="superscript"/>
                    </w:rPr>
                    <w:t>3</w:t>
                  </w:r>
                  <w:r>
                    <w:rPr>
                      <w:bCs/>
                      <w:szCs w:val="21"/>
                    </w:rPr>
                    <w:t>），定期拉运至周至县污水处理厂</w:t>
                  </w:r>
                </w:p>
              </w:tc>
              <w:tc>
                <w:tcPr>
                  <w:tcW w:w="435" w:type="pct"/>
                  <w:vAlign w:val="center"/>
                </w:tcPr>
                <w:p>
                  <w:pPr>
                    <w:widowControl/>
                    <w:adjustRightInd w:val="0"/>
                    <w:snapToGrid w:val="0"/>
                    <w:jc w:val="center"/>
                    <w:textAlignment w:val="center"/>
                    <w:rPr>
                      <w:bCs/>
                      <w:kern w:val="0"/>
                    </w:rPr>
                  </w:pPr>
                  <w:r>
                    <w:rPr>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rPr>
                      <w:bCs/>
                      <w:kern w:val="0"/>
                    </w:rPr>
                  </w:pPr>
                  <w:r>
                    <w:rPr>
                      <w:bCs/>
                      <w:kern w:val="0"/>
                    </w:rPr>
                    <w:t>7</w:t>
                  </w:r>
                </w:p>
              </w:tc>
              <w:tc>
                <w:tcPr>
                  <w:tcW w:w="335" w:type="pct"/>
                  <w:vMerge w:val="continue"/>
                  <w:vAlign w:val="center"/>
                </w:tcPr>
                <w:p>
                  <w:pPr>
                    <w:adjustRightInd w:val="0"/>
                    <w:snapToGrid w:val="0"/>
                    <w:jc w:val="center"/>
                    <w:rPr>
                      <w:bCs/>
                      <w:kern w:val="0"/>
                    </w:rPr>
                  </w:pPr>
                </w:p>
              </w:tc>
              <w:tc>
                <w:tcPr>
                  <w:tcW w:w="694" w:type="pct"/>
                  <w:gridSpan w:val="2"/>
                  <w:vMerge w:val="continue"/>
                  <w:vAlign w:val="center"/>
                </w:tcPr>
                <w:p>
                  <w:pPr>
                    <w:adjustRightInd w:val="0"/>
                    <w:snapToGrid w:val="0"/>
                    <w:jc w:val="center"/>
                    <w:rPr>
                      <w:bCs/>
                      <w:kern w:val="0"/>
                    </w:rPr>
                  </w:pPr>
                </w:p>
              </w:tc>
              <w:tc>
                <w:tcPr>
                  <w:tcW w:w="975" w:type="pct"/>
                  <w:vAlign w:val="center"/>
                </w:tcPr>
                <w:p>
                  <w:pPr>
                    <w:adjustRightInd w:val="0"/>
                    <w:snapToGrid w:val="0"/>
                    <w:jc w:val="center"/>
                    <w:rPr>
                      <w:szCs w:val="21"/>
                    </w:rPr>
                  </w:pPr>
                  <w:r>
                    <w:rPr>
                      <w:szCs w:val="21"/>
                    </w:rPr>
                    <w:t>生产废水</w:t>
                  </w:r>
                </w:p>
              </w:tc>
              <w:tc>
                <w:tcPr>
                  <w:tcW w:w="2228" w:type="pct"/>
                  <w:vAlign w:val="center"/>
                </w:tcPr>
                <w:p>
                  <w:pPr>
                    <w:adjustRightInd w:val="0"/>
                    <w:snapToGrid w:val="0"/>
                    <w:jc w:val="center"/>
                    <w:rPr>
                      <w:bCs/>
                      <w:szCs w:val="21"/>
                    </w:rPr>
                  </w:pPr>
                  <w:r>
                    <w:rPr>
                      <w:szCs w:val="21"/>
                    </w:rPr>
                    <w:t>拟建一个8</w:t>
                  </w:r>
                  <w:r>
                    <w:rPr>
                      <w:rFonts w:eastAsia="Times New Roman"/>
                      <w:szCs w:val="21"/>
                    </w:rPr>
                    <w:t>m</w:t>
                  </w:r>
                  <w:r>
                    <w:rPr>
                      <w:rFonts w:eastAsia="Times New Roman"/>
                      <w:szCs w:val="21"/>
                      <w:vertAlign w:val="superscript"/>
                    </w:rPr>
                    <w:t>3</w:t>
                  </w:r>
                  <w:r>
                    <w:rPr>
                      <w:szCs w:val="21"/>
                    </w:rPr>
                    <w:t>生产废水处理系统（采用“混凝沉淀+消毒”）对生产废水进行预处理后，定期拉运至周至县污水处理厂处理。</w:t>
                  </w:r>
                </w:p>
              </w:tc>
              <w:tc>
                <w:tcPr>
                  <w:tcW w:w="435" w:type="pct"/>
                  <w:vAlign w:val="center"/>
                </w:tcPr>
                <w:p>
                  <w:pPr>
                    <w:widowControl/>
                    <w:adjustRightInd w:val="0"/>
                    <w:snapToGrid w:val="0"/>
                    <w:jc w:val="center"/>
                    <w:textAlignment w:val="center"/>
                    <w:rPr>
                      <w:bCs/>
                      <w:kern w:val="0"/>
                    </w:rPr>
                  </w:pPr>
                  <w:r>
                    <w:rPr>
                      <w:bCs/>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outlineLvl w:val="1"/>
                    <w:rPr>
                      <w:rStyle w:val="22"/>
                      <w:bCs/>
                      <w:kern w:val="0"/>
                    </w:rPr>
                  </w:pPr>
                  <w:r>
                    <w:rPr>
                      <w:rStyle w:val="22"/>
                      <w:bCs/>
                      <w:kern w:val="0"/>
                    </w:rPr>
                    <w:t>8</w:t>
                  </w:r>
                </w:p>
              </w:tc>
              <w:tc>
                <w:tcPr>
                  <w:tcW w:w="335" w:type="pct"/>
                  <w:vMerge w:val="continue"/>
                  <w:vAlign w:val="center"/>
                </w:tcPr>
                <w:p>
                  <w:pPr>
                    <w:adjustRightInd w:val="0"/>
                    <w:snapToGrid w:val="0"/>
                    <w:jc w:val="center"/>
                    <w:outlineLvl w:val="1"/>
                    <w:rPr>
                      <w:rStyle w:val="22"/>
                      <w:bCs/>
                      <w:kern w:val="0"/>
                    </w:rPr>
                  </w:pPr>
                </w:p>
              </w:tc>
              <w:tc>
                <w:tcPr>
                  <w:tcW w:w="270" w:type="pct"/>
                  <w:vMerge w:val="restart"/>
                  <w:vAlign w:val="center"/>
                </w:tcPr>
                <w:p>
                  <w:pPr>
                    <w:adjustRightInd w:val="0"/>
                    <w:snapToGrid w:val="0"/>
                    <w:jc w:val="center"/>
                    <w:outlineLvl w:val="1"/>
                    <w:rPr>
                      <w:rStyle w:val="22"/>
                      <w:bCs/>
                      <w:kern w:val="0"/>
                    </w:rPr>
                  </w:pPr>
                  <w:r>
                    <w:rPr>
                      <w:rStyle w:val="22"/>
                      <w:bCs/>
                      <w:kern w:val="0"/>
                    </w:rPr>
                    <w:t>固废</w:t>
                  </w:r>
                </w:p>
              </w:tc>
              <w:tc>
                <w:tcPr>
                  <w:tcW w:w="424" w:type="pct"/>
                  <w:vMerge w:val="restart"/>
                  <w:vAlign w:val="center"/>
                </w:tcPr>
                <w:p>
                  <w:pPr>
                    <w:adjustRightInd w:val="0"/>
                    <w:snapToGrid w:val="0"/>
                    <w:jc w:val="center"/>
                    <w:outlineLvl w:val="1"/>
                    <w:rPr>
                      <w:rStyle w:val="22"/>
                      <w:bCs/>
                      <w:kern w:val="0"/>
                    </w:rPr>
                  </w:pPr>
                  <w:r>
                    <w:rPr>
                      <w:rStyle w:val="22"/>
                      <w:bCs/>
                      <w:kern w:val="0"/>
                    </w:rPr>
                    <w:t>一般固体废物</w:t>
                  </w:r>
                </w:p>
              </w:tc>
              <w:tc>
                <w:tcPr>
                  <w:tcW w:w="975" w:type="pct"/>
                  <w:vAlign w:val="center"/>
                </w:tcPr>
                <w:p>
                  <w:pPr>
                    <w:adjustRightInd w:val="0"/>
                    <w:snapToGrid w:val="0"/>
                    <w:jc w:val="center"/>
                  </w:pPr>
                  <w:r>
                    <w:t>生活垃圾</w:t>
                  </w:r>
                </w:p>
              </w:tc>
              <w:tc>
                <w:tcPr>
                  <w:tcW w:w="2228" w:type="pct"/>
                  <w:vAlign w:val="center"/>
                </w:tcPr>
                <w:p>
                  <w:pPr>
                    <w:adjustRightInd w:val="0"/>
                    <w:snapToGrid w:val="0"/>
                    <w:jc w:val="center"/>
                  </w:pPr>
                  <w:r>
                    <w:t>设置垃圾桶若干，定期交由环卫部门处理</w:t>
                  </w:r>
                </w:p>
              </w:tc>
              <w:tc>
                <w:tcPr>
                  <w:tcW w:w="435" w:type="pct"/>
                  <w:vAlign w:val="center"/>
                </w:tcPr>
                <w:p>
                  <w:pPr>
                    <w:adjustRightInd w:val="0"/>
                    <w:snapToGrid w:val="0"/>
                    <w:jc w:val="center"/>
                    <w:outlineLvl w:val="1"/>
                    <w:rPr>
                      <w:rStyle w:val="22"/>
                      <w:bCs/>
                      <w:kern w:val="0"/>
                    </w:rPr>
                  </w:pPr>
                  <w:r>
                    <w:rPr>
                      <w:rStyle w:val="22"/>
                      <w:bCs/>
                      <w:kern w:val="0"/>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outlineLvl w:val="1"/>
                    <w:rPr>
                      <w:rStyle w:val="22"/>
                      <w:bCs/>
                      <w:kern w:val="0"/>
                    </w:rPr>
                  </w:pPr>
                  <w:r>
                    <w:rPr>
                      <w:rStyle w:val="22"/>
                      <w:bCs/>
                      <w:kern w:val="0"/>
                    </w:rPr>
                    <w:t>9</w:t>
                  </w:r>
                </w:p>
              </w:tc>
              <w:tc>
                <w:tcPr>
                  <w:tcW w:w="335" w:type="pct"/>
                  <w:vMerge w:val="continue"/>
                  <w:vAlign w:val="center"/>
                </w:tcPr>
                <w:p>
                  <w:pPr>
                    <w:adjustRightInd w:val="0"/>
                    <w:snapToGrid w:val="0"/>
                    <w:jc w:val="center"/>
                    <w:outlineLvl w:val="1"/>
                    <w:rPr>
                      <w:rStyle w:val="22"/>
                      <w:bCs/>
                      <w:kern w:val="0"/>
                    </w:rPr>
                  </w:pPr>
                </w:p>
              </w:tc>
              <w:tc>
                <w:tcPr>
                  <w:tcW w:w="270" w:type="pct"/>
                  <w:vMerge w:val="continue"/>
                  <w:vAlign w:val="center"/>
                </w:tcPr>
                <w:p>
                  <w:pPr>
                    <w:adjustRightInd w:val="0"/>
                    <w:snapToGrid w:val="0"/>
                    <w:jc w:val="center"/>
                    <w:outlineLvl w:val="1"/>
                    <w:rPr>
                      <w:rStyle w:val="22"/>
                      <w:bCs/>
                      <w:kern w:val="0"/>
                    </w:rPr>
                  </w:pPr>
                </w:p>
              </w:tc>
              <w:tc>
                <w:tcPr>
                  <w:tcW w:w="424" w:type="pct"/>
                  <w:vMerge w:val="continue"/>
                  <w:vAlign w:val="center"/>
                </w:tcPr>
                <w:p>
                  <w:pPr>
                    <w:adjustRightInd w:val="0"/>
                    <w:snapToGrid w:val="0"/>
                    <w:jc w:val="center"/>
                    <w:outlineLvl w:val="1"/>
                    <w:rPr>
                      <w:rStyle w:val="22"/>
                      <w:bCs/>
                      <w:kern w:val="0"/>
                    </w:rPr>
                  </w:pPr>
                </w:p>
              </w:tc>
              <w:tc>
                <w:tcPr>
                  <w:tcW w:w="975" w:type="pct"/>
                  <w:vAlign w:val="center"/>
                </w:tcPr>
                <w:p>
                  <w:pPr>
                    <w:adjustRightInd w:val="0"/>
                    <w:snapToGrid w:val="0"/>
                    <w:jc w:val="center"/>
                  </w:pPr>
                  <w:r>
                    <w:t>餐厨垃圾</w:t>
                  </w:r>
                </w:p>
              </w:tc>
              <w:tc>
                <w:tcPr>
                  <w:tcW w:w="2228" w:type="pct"/>
                  <w:vAlign w:val="center"/>
                </w:tcPr>
                <w:p>
                  <w:pPr>
                    <w:adjustRightInd w:val="0"/>
                    <w:snapToGrid w:val="0"/>
                    <w:jc w:val="center"/>
                  </w:pPr>
                  <w:r>
                    <w:t>交由有相关资质的单位处理</w:t>
                  </w:r>
                </w:p>
              </w:tc>
              <w:tc>
                <w:tcPr>
                  <w:tcW w:w="435" w:type="pct"/>
                  <w:vAlign w:val="center"/>
                </w:tcPr>
                <w:p>
                  <w:pPr>
                    <w:adjustRightInd w:val="0"/>
                    <w:snapToGrid w:val="0"/>
                    <w:jc w:val="center"/>
                    <w:outlineLvl w:val="1"/>
                    <w:rPr>
                      <w:rStyle w:val="22"/>
                      <w:bCs/>
                      <w:kern w:val="0"/>
                    </w:rPr>
                  </w:pPr>
                  <w:r>
                    <w:rPr>
                      <w:rStyle w:val="22"/>
                      <w:bCs/>
                      <w:kern w:val="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outlineLvl w:val="1"/>
                    <w:rPr>
                      <w:rStyle w:val="22"/>
                      <w:bCs/>
                      <w:kern w:val="0"/>
                    </w:rPr>
                  </w:pPr>
                  <w:r>
                    <w:rPr>
                      <w:rStyle w:val="22"/>
                      <w:bCs/>
                      <w:kern w:val="0"/>
                    </w:rPr>
                    <w:t>10</w:t>
                  </w:r>
                </w:p>
              </w:tc>
              <w:tc>
                <w:tcPr>
                  <w:tcW w:w="335" w:type="pct"/>
                  <w:vMerge w:val="continue"/>
                  <w:vAlign w:val="center"/>
                </w:tcPr>
                <w:p>
                  <w:pPr>
                    <w:adjustRightInd w:val="0"/>
                    <w:snapToGrid w:val="0"/>
                    <w:jc w:val="center"/>
                    <w:outlineLvl w:val="1"/>
                    <w:rPr>
                      <w:rStyle w:val="22"/>
                      <w:bCs/>
                      <w:kern w:val="0"/>
                    </w:rPr>
                  </w:pPr>
                </w:p>
              </w:tc>
              <w:tc>
                <w:tcPr>
                  <w:tcW w:w="270" w:type="pct"/>
                  <w:vMerge w:val="continue"/>
                  <w:vAlign w:val="center"/>
                </w:tcPr>
                <w:p>
                  <w:pPr>
                    <w:adjustRightInd w:val="0"/>
                    <w:snapToGrid w:val="0"/>
                    <w:jc w:val="center"/>
                    <w:outlineLvl w:val="1"/>
                    <w:rPr>
                      <w:rStyle w:val="22"/>
                      <w:bCs/>
                      <w:kern w:val="0"/>
                    </w:rPr>
                  </w:pPr>
                </w:p>
              </w:tc>
              <w:tc>
                <w:tcPr>
                  <w:tcW w:w="424" w:type="pct"/>
                  <w:vMerge w:val="continue"/>
                  <w:vAlign w:val="center"/>
                </w:tcPr>
                <w:p>
                  <w:pPr>
                    <w:adjustRightInd w:val="0"/>
                    <w:snapToGrid w:val="0"/>
                    <w:jc w:val="center"/>
                    <w:outlineLvl w:val="1"/>
                    <w:rPr>
                      <w:rStyle w:val="22"/>
                      <w:bCs/>
                      <w:kern w:val="0"/>
                    </w:rPr>
                  </w:pPr>
                </w:p>
              </w:tc>
              <w:tc>
                <w:tcPr>
                  <w:tcW w:w="975" w:type="pct"/>
                  <w:vAlign w:val="center"/>
                </w:tcPr>
                <w:p>
                  <w:pPr>
                    <w:adjustRightInd w:val="0"/>
                    <w:snapToGrid w:val="0"/>
                    <w:jc w:val="center"/>
                  </w:pPr>
                  <w:r>
                    <w:rPr>
                      <w:szCs w:val="21"/>
                    </w:rPr>
                    <w:t>遗物焚烧炉和祭祀炉焚烧灰渣</w:t>
                  </w:r>
                </w:p>
              </w:tc>
              <w:tc>
                <w:tcPr>
                  <w:tcW w:w="2228" w:type="pct"/>
                  <w:vAlign w:val="center"/>
                </w:tcPr>
                <w:p>
                  <w:pPr>
                    <w:adjustRightInd w:val="0"/>
                    <w:snapToGrid w:val="0"/>
                    <w:jc w:val="center"/>
                  </w:pPr>
                  <w:r>
                    <w:rPr>
                      <w:szCs w:val="21"/>
                    </w:rPr>
                    <w:t>环卫部门清运</w:t>
                  </w:r>
                </w:p>
              </w:tc>
              <w:tc>
                <w:tcPr>
                  <w:tcW w:w="435" w:type="pct"/>
                  <w:vAlign w:val="center"/>
                </w:tcPr>
                <w:p>
                  <w:pPr>
                    <w:adjustRightInd w:val="0"/>
                    <w:snapToGrid w:val="0"/>
                    <w:jc w:val="center"/>
                    <w:outlineLvl w:val="1"/>
                    <w:rPr>
                      <w:rStyle w:val="22"/>
                      <w:bCs/>
                      <w:kern w:val="0"/>
                    </w:rPr>
                  </w:pPr>
                  <w:r>
                    <w:rPr>
                      <w:rStyle w:val="22"/>
                      <w:bCs/>
                      <w:kern w:val="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outlineLvl w:val="1"/>
                    <w:rPr>
                      <w:rStyle w:val="22"/>
                      <w:bCs/>
                      <w:kern w:val="0"/>
                    </w:rPr>
                  </w:pPr>
                  <w:r>
                    <w:rPr>
                      <w:rStyle w:val="22"/>
                      <w:bCs/>
                      <w:kern w:val="0"/>
                    </w:rPr>
                    <w:t>11</w:t>
                  </w:r>
                </w:p>
              </w:tc>
              <w:tc>
                <w:tcPr>
                  <w:tcW w:w="335" w:type="pct"/>
                  <w:vMerge w:val="continue"/>
                  <w:vAlign w:val="center"/>
                </w:tcPr>
                <w:p>
                  <w:pPr>
                    <w:adjustRightInd w:val="0"/>
                    <w:snapToGrid w:val="0"/>
                    <w:jc w:val="center"/>
                    <w:outlineLvl w:val="1"/>
                    <w:rPr>
                      <w:rStyle w:val="22"/>
                      <w:bCs/>
                      <w:kern w:val="0"/>
                    </w:rPr>
                  </w:pPr>
                </w:p>
              </w:tc>
              <w:tc>
                <w:tcPr>
                  <w:tcW w:w="270" w:type="pct"/>
                  <w:vMerge w:val="continue"/>
                  <w:vAlign w:val="center"/>
                </w:tcPr>
                <w:p>
                  <w:pPr>
                    <w:adjustRightInd w:val="0"/>
                    <w:snapToGrid w:val="0"/>
                    <w:jc w:val="center"/>
                    <w:outlineLvl w:val="1"/>
                    <w:rPr>
                      <w:rStyle w:val="22"/>
                      <w:bCs/>
                      <w:kern w:val="0"/>
                    </w:rPr>
                  </w:pPr>
                </w:p>
              </w:tc>
              <w:tc>
                <w:tcPr>
                  <w:tcW w:w="424" w:type="pct"/>
                  <w:vMerge w:val="continue"/>
                  <w:vAlign w:val="center"/>
                </w:tcPr>
                <w:p>
                  <w:pPr>
                    <w:adjustRightInd w:val="0"/>
                    <w:snapToGrid w:val="0"/>
                    <w:jc w:val="center"/>
                    <w:outlineLvl w:val="1"/>
                    <w:rPr>
                      <w:rStyle w:val="22"/>
                      <w:bCs/>
                      <w:kern w:val="0"/>
                    </w:rPr>
                  </w:pPr>
                </w:p>
              </w:tc>
              <w:tc>
                <w:tcPr>
                  <w:tcW w:w="975" w:type="pct"/>
                  <w:vAlign w:val="center"/>
                </w:tcPr>
                <w:p>
                  <w:pPr>
                    <w:adjustRightInd w:val="0"/>
                    <w:snapToGrid w:val="0"/>
                    <w:jc w:val="center"/>
                  </w:pPr>
                  <w:r>
                    <w:t>污泥</w:t>
                  </w:r>
                </w:p>
              </w:tc>
              <w:tc>
                <w:tcPr>
                  <w:tcW w:w="2228" w:type="pct"/>
                  <w:vAlign w:val="center"/>
                </w:tcPr>
                <w:p>
                  <w:pPr>
                    <w:adjustRightInd w:val="0"/>
                    <w:snapToGrid w:val="0"/>
                    <w:jc w:val="center"/>
                    <w:rPr>
                      <w:szCs w:val="21"/>
                    </w:rPr>
                  </w:pPr>
                  <w:r>
                    <w:rPr>
                      <w:rFonts w:hint="eastAsia"/>
                      <w:szCs w:val="21"/>
                    </w:rPr>
                    <w:t>消毒后委托</w:t>
                  </w:r>
                  <w:r>
                    <w:rPr>
                      <w:szCs w:val="21"/>
                    </w:rPr>
                    <w:t>有资质</w:t>
                  </w:r>
                  <w:r>
                    <w:rPr>
                      <w:rFonts w:hint="eastAsia"/>
                      <w:szCs w:val="21"/>
                    </w:rPr>
                    <w:t>单位</w:t>
                  </w:r>
                  <w:r>
                    <w:rPr>
                      <w:szCs w:val="21"/>
                    </w:rPr>
                    <w:t>处置</w:t>
                  </w:r>
                </w:p>
              </w:tc>
              <w:tc>
                <w:tcPr>
                  <w:tcW w:w="435" w:type="pct"/>
                  <w:vAlign w:val="center"/>
                </w:tcPr>
                <w:p>
                  <w:pPr>
                    <w:adjustRightInd w:val="0"/>
                    <w:snapToGrid w:val="0"/>
                    <w:jc w:val="center"/>
                    <w:outlineLvl w:val="1"/>
                    <w:rPr>
                      <w:rStyle w:val="22"/>
                      <w:bCs/>
                      <w:kern w:val="0"/>
                    </w:rPr>
                  </w:pPr>
                  <w:r>
                    <w:rPr>
                      <w:rStyle w:val="22"/>
                      <w:bCs/>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outlineLvl w:val="1"/>
                    <w:rPr>
                      <w:rStyle w:val="22"/>
                      <w:bCs/>
                      <w:kern w:val="0"/>
                    </w:rPr>
                  </w:pPr>
                  <w:r>
                    <w:rPr>
                      <w:rStyle w:val="22"/>
                      <w:bCs/>
                      <w:kern w:val="0"/>
                    </w:rPr>
                    <w:t>12</w:t>
                  </w:r>
                </w:p>
              </w:tc>
              <w:tc>
                <w:tcPr>
                  <w:tcW w:w="335" w:type="pct"/>
                  <w:vMerge w:val="continue"/>
                  <w:vAlign w:val="center"/>
                </w:tcPr>
                <w:p>
                  <w:pPr>
                    <w:adjustRightInd w:val="0"/>
                    <w:snapToGrid w:val="0"/>
                    <w:jc w:val="center"/>
                    <w:outlineLvl w:val="1"/>
                    <w:rPr>
                      <w:rStyle w:val="22"/>
                      <w:bCs/>
                      <w:kern w:val="0"/>
                    </w:rPr>
                  </w:pPr>
                </w:p>
              </w:tc>
              <w:tc>
                <w:tcPr>
                  <w:tcW w:w="270" w:type="pct"/>
                  <w:vMerge w:val="continue"/>
                  <w:vAlign w:val="center"/>
                </w:tcPr>
                <w:p>
                  <w:pPr>
                    <w:adjustRightInd w:val="0"/>
                    <w:snapToGrid w:val="0"/>
                    <w:jc w:val="center"/>
                    <w:outlineLvl w:val="1"/>
                    <w:rPr>
                      <w:rStyle w:val="22"/>
                      <w:bCs/>
                      <w:kern w:val="0"/>
                    </w:rPr>
                  </w:pPr>
                </w:p>
              </w:tc>
              <w:tc>
                <w:tcPr>
                  <w:tcW w:w="424" w:type="pct"/>
                  <w:vAlign w:val="center"/>
                </w:tcPr>
                <w:p>
                  <w:pPr>
                    <w:adjustRightInd w:val="0"/>
                    <w:snapToGrid w:val="0"/>
                    <w:jc w:val="center"/>
                    <w:outlineLvl w:val="1"/>
                    <w:rPr>
                      <w:rStyle w:val="22"/>
                      <w:bCs/>
                      <w:kern w:val="0"/>
                    </w:rPr>
                  </w:pPr>
                  <w:r>
                    <w:rPr>
                      <w:rStyle w:val="22"/>
                      <w:bCs/>
                      <w:kern w:val="0"/>
                    </w:rPr>
                    <w:t>危废</w:t>
                  </w:r>
                </w:p>
              </w:tc>
              <w:tc>
                <w:tcPr>
                  <w:tcW w:w="975" w:type="pct"/>
                  <w:vAlign w:val="center"/>
                </w:tcPr>
                <w:p>
                  <w:pPr>
                    <w:adjustRightInd w:val="0"/>
                    <w:snapToGrid w:val="0"/>
                    <w:jc w:val="center"/>
                  </w:pPr>
                  <w:r>
                    <w:t>除尘器灰渣、废活性炭、解剖废物</w:t>
                  </w:r>
                </w:p>
              </w:tc>
              <w:tc>
                <w:tcPr>
                  <w:tcW w:w="2228" w:type="pct"/>
                  <w:vAlign w:val="center"/>
                </w:tcPr>
                <w:p>
                  <w:pPr>
                    <w:adjustRightInd w:val="0"/>
                    <w:snapToGrid w:val="0"/>
                    <w:jc w:val="center"/>
                    <w:rPr>
                      <w:szCs w:val="21"/>
                    </w:rPr>
                  </w:pPr>
                  <w:r>
                    <w:rPr>
                      <w:szCs w:val="21"/>
                    </w:rPr>
                    <w:t>暂存危废暂存间交由有资质达的单位处理</w:t>
                  </w:r>
                </w:p>
              </w:tc>
              <w:tc>
                <w:tcPr>
                  <w:tcW w:w="435" w:type="pct"/>
                  <w:vAlign w:val="center"/>
                </w:tcPr>
                <w:p>
                  <w:pPr>
                    <w:adjustRightInd w:val="0"/>
                    <w:snapToGrid w:val="0"/>
                    <w:jc w:val="center"/>
                    <w:outlineLvl w:val="1"/>
                    <w:rPr>
                      <w:rStyle w:val="22"/>
                      <w:bCs/>
                      <w:kern w:val="0"/>
                    </w:rPr>
                  </w:pPr>
                  <w:r>
                    <w:rPr>
                      <w:rStyle w:val="22"/>
                      <w:bCs/>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rPr>
                      <w:bCs/>
                      <w:kern w:val="0"/>
                    </w:rPr>
                  </w:pPr>
                  <w:r>
                    <w:rPr>
                      <w:bCs/>
                      <w:kern w:val="0"/>
                    </w:rPr>
                    <w:t>13</w:t>
                  </w:r>
                </w:p>
              </w:tc>
              <w:tc>
                <w:tcPr>
                  <w:tcW w:w="335" w:type="pct"/>
                  <w:vMerge w:val="continue"/>
                  <w:vAlign w:val="center"/>
                </w:tcPr>
                <w:p>
                  <w:pPr>
                    <w:adjustRightInd w:val="0"/>
                    <w:snapToGrid w:val="0"/>
                    <w:jc w:val="center"/>
                    <w:rPr>
                      <w:bCs/>
                      <w:kern w:val="0"/>
                    </w:rPr>
                  </w:pPr>
                </w:p>
              </w:tc>
              <w:tc>
                <w:tcPr>
                  <w:tcW w:w="694" w:type="pct"/>
                  <w:gridSpan w:val="2"/>
                  <w:vAlign w:val="center"/>
                </w:tcPr>
                <w:p>
                  <w:pPr>
                    <w:adjustRightInd w:val="0"/>
                    <w:snapToGrid w:val="0"/>
                    <w:jc w:val="center"/>
                    <w:rPr>
                      <w:bCs/>
                      <w:kern w:val="0"/>
                    </w:rPr>
                  </w:pPr>
                  <w:r>
                    <w:rPr>
                      <w:bCs/>
                      <w:kern w:val="0"/>
                    </w:rPr>
                    <w:t>噪声</w:t>
                  </w:r>
                </w:p>
              </w:tc>
              <w:tc>
                <w:tcPr>
                  <w:tcW w:w="975" w:type="pct"/>
                  <w:vAlign w:val="center"/>
                </w:tcPr>
                <w:p>
                  <w:pPr>
                    <w:adjustRightInd w:val="0"/>
                    <w:snapToGrid w:val="0"/>
                    <w:jc w:val="center"/>
                    <w:rPr>
                      <w:bCs/>
                      <w:kern w:val="0"/>
                    </w:rPr>
                  </w:pPr>
                  <w:r>
                    <w:rPr>
                      <w:bCs/>
                      <w:kern w:val="0"/>
                    </w:rPr>
                    <w:t>设备噪声、车辆噪声、悼念噪声</w:t>
                  </w:r>
                </w:p>
              </w:tc>
              <w:tc>
                <w:tcPr>
                  <w:tcW w:w="2228" w:type="pct"/>
                  <w:vAlign w:val="center"/>
                </w:tcPr>
                <w:p>
                  <w:pPr>
                    <w:adjustRightInd w:val="0"/>
                    <w:snapToGrid w:val="0"/>
                    <w:jc w:val="center"/>
                    <w:rPr>
                      <w:bCs/>
                      <w:kern w:val="0"/>
                    </w:rPr>
                  </w:pPr>
                  <w:r>
                    <w:rPr>
                      <w:bCs/>
                      <w:kern w:val="0"/>
                    </w:rPr>
                    <w:t>低噪设备，基础减震，建筑物隔声，炉体设备自带消声器</w:t>
                  </w:r>
                </w:p>
              </w:tc>
              <w:tc>
                <w:tcPr>
                  <w:tcW w:w="435" w:type="pct"/>
                  <w:vAlign w:val="center"/>
                </w:tcPr>
                <w:p>
                  <w:pPr>
                    <w:widowControl/>
                    <w:adjustRightInd w:val="0"/>
                    <w:snapToGrid w:val="0"/>
                    <w:jc w:val="center"/>
                    <w:textAlignment w:val="center"/>
                    <w:rPr>
                      <w:bCs/>
                      <w:kern w:val="0"/>
                    </w:rPr>
                  </w:pPr>
                  <w:r>
                    <w:rPr>
                      <w:bCs/>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adjustRightInd w:val="0"/>
                    <w:snapToGrid w:val="0"/>
                    <w:jc w:val="center"/>
                    <w:rPr>
                      <w:bCs/>
                      <w:kern w:val="0"/>
                    </w:rPr>
                  </w:pPr>
                  <w:r>
                    <w:rPr>
                      <w:bCs/>
                      <w:kern w:val="0"/>
                    </w:rPr>
                    <w:t>14</w:t>
                  </w:r>
                </w:p>
              </w:tc>
              <w:tc>
                <w:tcPr>
                  <w:tcW w:w="335" w:type="pct"/>
                  <w:vMerge w:val="continue"/>
                  <w:vAlign w:val="center"/>
                </w:tcPr>
                <w:p>
                  <w:pPr>
                    <w:adjustRightInd w:val="0"/>
                    <w:snapToGrid w:val="0"/>
                    <w:jc w:val="center"/>
                    <w:rPr>
                      <w:bCs/>
                      <w:kern w:val="0"/>
                    </w:rPr>
                  </w:pPr>
                </w:p>
              </w:tc>
              <w:tc>
                <w:tcPr>
                  <w:tcW w:w="694" w:type="pct"/>
                  <w:gridSpan w:val="2"/>
                  <w:vAlign w:val="center"/>
                </w:tcPr>
                <w:p>
                  <w:pPr>
                    <w:adjustRightInd w:val="0"/>
                    <w:snapToGrid w:val="0"/>
                    <w:jc w:val="center"/>
                    <w:rPr>
                      <w:bCs/>
                      <w:kern w:val="0"/>
                    </w:rPr>
                  </w:pPr>
                  <w:r>
                    <w:rPr>
                      <w:bCs/>
                      <w:kern w:val="0"/>
                    </w:rPr>
                    <w:t>其他</w:t>
                  </w:r>
                </w:p>
              </w:tc>
              <w:tc>
                <w:tcPr>
                  <w:tcW w:w="3203" w:type="pct"/>
                  <w:gridSpan w:val="2"/>
                  <w:vAlign w:val="center"/>
                </w:tcPr>
                <w:p>
                  <w:pPr>
                    <w:adjustRightInd w:val="0"/>
                    <w:snapToGrid w:val="0"/>
                    <w:jc w:val="center"/>
                    <w:rPr>
                      <w:bCs/>
                      <w:kern w:val="0"/>
                    </w:rPr>
                  </w:pPr>
                  <w:r>
                    <w:rPr>
                      <w:bCs/>
                      <w:kern w:val="0"/>
                    </w:rPr>
                    <w:t>日常环境管理、台账、环境制度、日常监测、绿化等</w:t>
                  </w:r>
                </w:p>
              </w:tc>
              <w:tc>
                <w:tcPr>
                  <w:tcW w:w="435" w:type="pct"/>
                  <w:vAlign w:val="center"/>
                </w:tcPr>
                <w:p>
                  <w:pPr>
                    <w:widowControl/>
                    <w:adjustRightInd w:val="0"/>
                    <w:snapToGrid w:val="0"/>
                    <w:jc w:val="center"/>
                    <w:textAlignment w:val="center"/>
                    <w:rPr>
                      <w:bCs/>
                      <w:kern w:val="0"/>
                    </w:rPr>
                  </w:pPr>
                  <w:r>
                    <w:rPr>
                      <w:bCs/>
                      <w:kern w:val="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gridSpan w:val="2"/>
                  <w:vAlign w:val="center"/>
                </w:tcPr>
                <w:p>
                  <w:pPr>
                    <w:adjustRightInd w:val="0"/>
                    <w:snapToGrid w:val="0"/>
                    <w:jc w:val="center"/>
                    <w:rPr>
                      <w:bCs/>
                      <w:kern w:val="0"/>
                    </w:rPr>
                  </w:pPr>
                  <w:r>
                    <w:rPr>
                      <w:bCs/>
                      <w:kern w:val="0"/>
                    </w:rPr>
                    <w:t>合计</w:t>
                  </w:r>
                </w:p>
              </w:tc>
              <w:tc>
                <w:tcPr>
                  <w:tcW w:w="694" w:type="pct"/>
                  <w:gridSpan w:val="2"/>
                  <w:vAlign w:val="center"/>
                </w:tcPr>
                <w:p>
                  <w:pPr>
                    <w:adjustRightInd w:val="0"/>
                    <w:snapToGrid w:val="0"/>
                    <w:jc w:val="center"/>
                    <w:rPr>
                      <w:bCs/>
                      <w:kern w:val="0"/>
                    </w:rPr>
                  </w:pPr>
                  <w:r>
                    <w:rPr>
                      <w:bCs/>
                      <w:kern w:val="0"/>
                    </w:rPr>
                    <w:t>/</w:t>
                  </w:r>
                </w:p>
              </w:tc>
              <w:tc>
                <w:tcPr>
                  <w:tcW w:w="3203" w:type="pct"/>
                  <w:gridSpan w:val="2"/>
                  <w:vAlign w:val="center"/>
                </w:tcPr>
                <w:p>
                  <w:pPr>
                    <w:adjustRightInd w:val="0"/>
                    <w:snapToGrid w:val="0"/>
                    <w:jc w:val="center"/>
                    <w:rPr>
                      <w:bCs/>
                      <w:kern w:val="0"/>
                    </w:rPr>
                  </w:pPr>
                  <w:r>
                    <w:rPr>
                      <w:bCs/>
                      <w:kern w:val="0"/>
                    </w:rPr>
                    <w:t>/</w:t>
                  </w:r>
                </w:p>
              </w:tc>
              <w:tc>
                <w:tcPr>
                  <w:tcW w:w="435" w:type="pct"/>
                  <w:vAlign w:val="center"/>
                </w:tcPr>
                <w:p>
                  <w:pPr>
                    <w:adjustRightInd w:val="0"/>
                    <w:snapToGrid w:val="0"/>
                    <w:jc w:val="center"/>
                    <w:outlineLvl w:val="1"/>
                    <w:rPr>
                      <w:bCs/>
                      <w:kern w:val="0"/>
                    </w:rPr>
                  </w:pPr>
                  <w:r>
                    <w:rPr>
                      <w:bCs/>
                      <w:kern w:val="0"/>
                    </w:rPr>
                    <w:t>580</w:t>
                  </w:r>
                </w:p>
              </w:tc>
            </w:tr>
          </w:tbl>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p>
            <w:pPr>
              <w:autoSpaceDE w:val="0"/>
              <w:autoSpaceDN w:val="0"/>
              <w:adjustRightInd w:val="0"/>
              <w:snapToGrid w:val="0"/>
              <w:spacing w:line="360" w:lineRule="auto"/>
              <w:ind w:firstLine="420" w:firstLineChars="200"/>
              <w:jc w:val="left"/>
              <w:rPr>
                <w:bCs/>
                <w:szCs w:val="21"/>
              </w:rPr>
            </w:pPr>
          </w:p>
        </w:tc>
      </w:tr>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pPr>
        <w:pStyle w:val="14"/>
        <w:jc w:val="center"/>
        <w:outlineLvl w:val="0"/>
        <w:rPr>
          <w:rFonts w:ascii="Times New Roman" w:hAnsi="Times New Roman"/>
          <w:snapToGrid w:val="0"/>
          <w:sz w:val="30"/>
          <w:szCs w:val="30"/>
        </w:rPr>
      </w:pPr>
      <w:r>
        <w:rPr>
          <w:rFonts w:ascii="Times New Roman" w:hAnsi="Times New Roman"/>
          <w:snapToGrid w:val="0"/>
          <w:sz w:val="30"/>
          <w:szCs w:val="30"/>
        </w:rPr>
        <w:t>五、</w:t>
      </w:r>
      <w:bookmarkStart w:id="4" w:name="_Hlk54167917"/>
      <w:r>
        <w:rPr>
          <w:rFonts w:ascii="Times New Roman" w:hAnsi="Times New Roman"/>
          <w:snapToGrid w:val="0"/>
          <w:sz w:val="30"/>
          <w:szCs w:val="30"/>
        </w:rPr>
        <w:t>环境保护措施监督检查清单</w:t>
      </w:r>
      <w:bookmarkEnd w:id="4"/>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560"/>
        <w:gridCol w:w="1701"/>
        <w:gridCol w:w="20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sz w:val="24"/>
              </w:rPr>
            </w:pPr>
            <w:r>
              <w:rPr>
                <w:sz w:val="24"/>
              </w:rPr>
              <w:t>内容</w:t>
            </w:r>
          </w:p>
          <w:p>
            <w:pPr>
              <w:adjustRightInd w:val="0"/>
              <w:snapToGrid w:val="0"/>
              <w:rPr>
                <w:sz w:val="24"/>
              </w:rPr>
            </w:pPr>
            <w:r>
              <w:rPr>
                <w:sz w:val="24"/>
              </w:rPr>
              <w:t>要素</w:t>
            </w:r>
          </w:p>
        </w:tc>
        <w:tc>
          <w:tcPr>
            <w:tcW w:w="1755" w:type="dxa"/>
            <w:vAlign w:val="center"/>
          </w:tcPr>
          <w:p>
            <w:pPr>
              <w:adjustRightInd w:val="0"/>
              <w:snapToGrid w:val="0"/>
              <w:jc w:val="center"/>
              <w:rPr>
                <w:sz w:val="24"/>
              </w:rPr>
            </w:pPr>
            <w:r>
              <w:rPr>
                <w:sz w:val="24"/>
              </w:rPr>
              <w:t>排放口(编号、</w:t>
            </w:r>
          </w:p>
          <w:p>
            <w:pPr>
              <w:adjustRightInd w:val="0"/>
              <w:snapToGrid w:val="0"/>
              <w:jc w:val="center"/>
              <w:rPr>
                <w:sz w:val="24"/>
              </w:rPr>
            </w:pPr>
            <w:r>
              <w:rPr>
                <w:sz w:val="24"/>
              </w:rPr>
              <w:t>名称)/污染源</w:t>
            </w:r>
          </w:p>
        </w:tc>
        <w:tc>
          <w:tcPr>
            <w:tcW w:w="1560" w:type="dxa"/>
            <w:vAlign w:val="center"/>
          </w:tcPr>
          <w:p>
            <w:pPr>
              <w:adjustRightInd w:val="0"/>
              <w:snapToGrid w:val="0"/>
              <w:jc w:val="center"/>
              <w:rPr>
                <w:sz w:val="24"/>
              </w:rPr>
            </w:pPr>
            <w:r>
              <w:rPr>
                <w:sz w:val="24"/>
              </w:rPr>
              <w:t>污染物项目</w:t>
            </w:r>
          </w:p>
        </w:tc>
        <w:tc>
          <w:tcPr>
            <w:tcW w:w="1701" w:type="dxa"/>
            <w:vAlign w:val="center"/>
          </w:tcPr>
          <w:p>
            <w:pPr>
              <w:adjustRightInd w:val="0"/>
              <w:snapToGrid w:val="0"/>
              <w:jc w:val="center"/>
              <w:rPr>
                <w:sz w:val="24"/>
              </w:rPr>
            </w:pPr>
            <w:r>
              <w:rPr>
                <w:sz w:val="24"/>
              </w:rPr>
              <w:t>环境保护措施</w:t>
            </w:r>
          </w:p>
        </w:tc>
        <w:tc>
          <w:tcPr>
            <w:tcW w:w="2006" w:type="dxa"/>
            <w:vAlign w:val="center"/>
          </w:tcPr>
          <w:p>
            <w:pPr>
              <w:adjustRightInd w:val="0"/>
              <w:snapToGrid w:val="0"/>
              <w:jc w:val="center"/>
              <w:rPr>
                <w:sz w:val="24"/>
              </w:rPr>
            </w:pPr>
            <w:r>
              <w:rPr>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sz w:val="24"/>
              </w:rPr>
            </w:pPr>
            <w:r>
              <w:rPr>
                <w:sz w:val="24"/>
              </w:rPr>
              <w:t>大气环境</w:t>
            </w:r>
          </w:p>
        </w:tc>
        <w:tc>
          <w:tcPr>
            <w:tcW w:w="1755" w:type="dxa"/>
            <w:vAlign w:val="center"/>
          </w:tcPr>
          <w:p>
            <w:pPr>
              <w:adjustRightInd w:val="0"/>
              <w:snapToGrid w:val="0"/>
              <w:jc w:val="center"/>
              <w:rPr>
                <w:sz w:val="24"/>
              </w:rPr>
            </w:pPr>
            <w:r>
              <w:rPr>
                <w:sz w:val="24"/>
              </w:rPr>
              <w:t>火化炉废气</w:t>
            </w:r>
          </w:p>
        </w:tc>
        <w:tc>
          <w:tcPr>
            <w:tcW w:w="1560" w:type="dxa"/>
            <w:vAlign w:val="center"/>
          </w:tcPr>
          <w:p>
            <w:pPr>
              <w:pStyle w:val="65"/>
              <w:spacing w:before="24" w:after="24"/>
              <w:jc w:val="center"/>
              <w:rPr>
                <w:rFonts w:ascii="Times New Roman" w:hAnsi="Times New Roman" w:cs="Times New Roman"/>
                <w:sz w:val="24"/>
              </w:rPr>
            </w:pPr>
            <w:r>
              <w:rPr>
                <w:rFonts w:ascii="Times New Roman" w:hAnsi="Times New Roman" w:cs="Times New Roman"/>
                <w:sz w:val="24"/>
              </w:rPr>
              <w:t>烟尘、</w:t>
            </w:r>
            <w:r>
              <w:rPr>
                <w:rFonts w:ascii="Times New Roman" w:hAnsi="Times New Roman" w:eastAsia="Times New Roman" w:cs="Times New Roman"/>
                <w:sz w:val="24"/>
              </w:rPr>
              <w:t>SO</w:t>
            </w:r>
            <w:r>
              <w:rPr>
                <w:rFonts w:ascii="Times New Roman" w:hAnsi="Times New Roman" w:eastAsia="Times New Roman" w:cs="Times New Roman"/>
                <w:sz w:val="24"/>
                <w:vertAlign w:val="subscript"/>
              </w:rPr>
              <w:t>2</w:t>
            </w:r>
            <w:r>
              <w:rPr>
                <w:rFonts w:ascii="Times New Roman" w:hAnsi="Times New Roman" w:cs="Times New Roman"/>
                <w:sz w:val="24"/>
              </w:rPr>
              <w:t>、</w:t>
            </w:r>
            <w:r>
              <w:rPr>
                <w:rFonts w:ascii="Times New Roman" w:hAnsi="Times New Roman" w:eastAsia="Times New Roman" w:cs="Times New Roman"/>
                <w:sz w:val="24"/>
              </w:rPr>
              <w:t>NO</w:t>
            </w:r>
            <w:r>
              <w:rPr>
                <w:rFonts w:ascii="Times New Roman" w:hAnsi="Times New Roman" w:cs="Times New Roman"/>
                <w:sz w:val="24"/>
                <w:vertAlign w:val="subscript"/>
              </w:rPr>
              <w:t>X</w:t>
            </w:r>
            <w:r>
              <w:rPr>
                <w:rFonts w:ascii="Times New Roman" w:hAnsi="Times New Roman" w:cs="Times New Roman"/>
                <w:sz w:val="24"/>
              </w:rPr>
              <w:t>、</w:t>
            </w:r>
            <w:r>
              <w:rPr>
                <w:rFonts w:ascii="Times New Roman" w:hAnsi="Times New Roman" w:eastAsia="Times New Roman" w:cs="Times New Roman"/>
                <w:sz w:val="24"/>
              </w:rPr>
              <w:t>CO</w:t>
            </w:r>
            <w:r>
              <w:rPr>
                <w:rFonts w:ascii="Times New Roman" w:hAnsi="Times New Roman" w:cs="Times New Roman"/>
                <w:sz w:val="24"/>
              </w:rPr>
              <w:t>、</w:t>
            </w:r>
            <w:r>
              <w:rPr>
                <w:rFonts w:ascii="Times New Roman" w:hAnsi="Times New Roman" w:eastAsia="Times New Roman" w:cs="Times New Roman"/>
                <w:sz w:val="24"/>
              </w:rPr>
              <w:t>HCl</w:t>
            </w:r>
            <w:r>
              <w:rPr>
                <w:rFonts w:ascii="Times New Roman" w:hAnsi="Times New Roman" w:cs="Times New Roman"/>
                <w:sz w:val="24"/>
              </w:rPr>
              <w:t>、</w:t>
            </w:r>
          </w:p>
          <w:p>
            <w:pPr>
              <w:pStyle w:val="65"/>
              <w:spacing w:before="24" w:after="24"/>
              <w:jc w:val="center"/>
              <w:rPr>
                <w:rFonts w:ascii="Times New Roman" w:hAnsi="Times New Roman" w:cs="Times New Roman"/>
                <w:sz w:val="24"/>
              </w:rPr>
            </w:pPr>
            <w:r>
              <w:rPr>
                <w:rFonts w:ascii="Times New Roman" w:hAnsi="Times New Roman" w:cs="Times New Roman"/>
                <w:sz w:val="24"/>
              </w:rPr>
              <w:t>汞、</w:t>
            </w:r>
          </w:p>
          <w:p>
            <w:pPr>
              <w:adjustRightInd w:val="0"/>
              <w:snapToGrid w:val="0"/>
              <w:jc w:val="center"/>
              <w:rPr>
                <w:sz w:val="24"/>
              </w:rPr>
            </w:pPr>
            <w:r>
              <w:rPr>
                <w:sz w:val="24"/>
              </w:rPr>
              <w:t>二噁英</w:t>
            </w:r>
          </w:p>
        </w:tc>
        <w:tc>
          <w:tcPr>
            <w:tcW w:w="1701" w:type="dxa"/>
            <w:vMerge w:val="restart"/>
            <w:vAlign w:val="center"/>
          </w:tcPr>
          <w:p>
            <w:pPr>
              <w:jc w:val="center"/>
              <w:rPr>
                <w:sz w:val="24"/>
              </w:rPr>
            </w:pPr>
            <w:r>
              <w:rPr>
                <w:sz w:val="24"/>
              </w:rPr>
              <w:t>12套尾气经“</w:t>
            </w:r>
            <w:r>
              <w:rPr>
                <w:bCs/>
                <w:sz w:val="24"/>
              </w:rPr>
              <w:t>二燃室—初级除尘—热交换器—旋风除尘器—除酸除硫装置—布袋除尘器—活性炭吸附器</w:t>
            </w:r>
            <w:r>
              <w:rPr>
                <w:sz w:val="24"/>
              </w:rPr>
              <w:t>”+12根21m排气筒</w:t>
            </w:r>
          </w:p>
        </w:tc>
        <w:tc>
          <w:tcPr>
            <w:tcW w:w="2006" w:type="dxa"/>
            <w:vMerge w:val="restart"/>
            <w:vAlign w:val="center"/>
          </w:tcPr>
          <w:p>
            <w:pPr>
              <w:pStyle w:val="65"/>
              <w:spacing w:before="24" w:after="24"/>
              <w:jc w:val="center"/>
              <w:rPr>
                <w:rFonts w:ascii="Times New Roman" w:hAnsi="Times New Roman" w:cs="Times New Roman"/>
                <w:sz w:val="24"/>
              </w:rPr>
            </w:pPr>
            <w:r>
              <w:rPr>
                <w:rFonts w:ascii="Times New Roman" w:hAnsi="Times New Roman" w:cs="Times New Roman"/>
                <w:sz w:val="24"/>
              </w:rPr>
              <w:t>《火葬场大气污染物排放标准》</w:t>
            </w:r>
          </w:p>
          <w:p>
            <w:pPr>
              <w:rPr>
                <w:sz w:val="24"/>
              </w:rPr>
            </w:pPr>
            <w:r>
              <w:rPr>
                <w:sz w:val="24"/>
              </w:rPr>
              <w:t>（</w:t>
            </w:r>
            <w:r>
              <w:rPr>
                <w:rFonts w:eastAsia="Times New Roman"/>
                <w:sz w:val="24"/>
              </w:rPr>
              <w:t>GB13801-2015</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sz w:val="24"/>
              </w:rPr>
            </w:pPr>
          </w:p>
        </w:tc>
        <w:tc>
          <w:tcPr>
            <w:tcW w:w="1755" w:type="dxa"/>
            <w:vAlign w:val="center"/>
          </w:tcPr>
          <w:p>
            <w:pPr>
              <w:adjustRightInd w:val="0"/>
              <w:snapToGrid w:val="0"/>
              <w:jc w:val="center"/>
              <w:rPr>
                <w:sz w:val="24"/>
              </w:rPr>
            </w:pPr>
            <w:r>
              <w:rPr>
                <w:sz w:val="24"/>
              </w:rPr>
              <w:t>焚烧炉废气</w:t>
            </w:r>
          </w:p>
        </w:tc>
        <w:tc>
          <w:tcPr>
            <w:tcW w:w="1560" w:type="dxa"/>
            <w:vMerge w:val="restart"/>
            <w:vAlign w:val="center"/>
          </w:tcPr>
          <w:p>
            <w:pPr>
              <w:pStyle w:val="65"/>
              <w:spacing w:before="24" w:after="24"/>
              <w:jc w:val="center"/>
              <w:rPr>
                <w:rFonts w:ascii="Times New Roman" w:hAnsi="Times New Roman" w:cs="Times New Roman"/>
                <w:sz w:val="24"/>
              </w:rPr>
            </w:pPr>
            <w:r>
              <w:rPr>
                <w:rFonts w:ascii="Times New Roman" w:hAnsi="Times New Roman" w:cs="Times New Roman"/>
                <w:sz w:val="24"/>
              </w:rPr>
              <w:t>烟尘、</w:t>
            </w:r>
            <w:r>
              <w:rPr>
                <w:rFonts w:ascii="Times New Roman" w:hAnsi="Times New Roman" w:eastAsia="Times New Roman" w:cs="Times New Roman"/>
                <w:sz w:val="24"/>
              </w:rPr>
              <w:t>SO</w:t>
            </w:r>
            <w:r>
              <w:rPr>
                <w:rFonts w:ascii="Times New Roman" w:hAnsi="Times New Roman" w:eastAsia="Times New Roman" w:cs="Times New Roman"/>
                <w:sz w:val="24"/>
                <w:vertAlign w:val="subscript"/>
              </w:rPr>
              <w:t>2</w:t>
            </w:r>
            <w:r>
              <w:rPr>
                <w:rFonts w:ascii="Times New Roman" w:hAnsi="Times New Roman" w:cs="Times New Roman"/>
                <w:sz w:val="24"/>
              </w:rPr>
              <w:t>、</w:t>
            </w:r>
            <w:r>
              <w:rPr>
                <w:rFonts w:ascii="Times New Roman" w:hAnsi="Times New Roman" w:eastAsia="Times New Roman" w:cs="Times New Roman"/>
                <w:sz w:val="24"/>
              </w:rPr>
              <w:t>NO</w:t>
            </w:r>
            <w:r>
              <w:rPr>
                <w:rFonts w:ascii="Times New Roman" w:hAnsi="Times New Roman" w:cs="Times New Roman"/>
                <w:sz w:val="24"/>
                <w:vertAlign w:val="subscript"/>
              </w:rPr>
              <w:t>X</w:t>
            </w:r>
            <w:r>
              <w:rPr>
                <w:rFonts w:ascii="Times New Roman" w:hAnsi="Times New Roman" w:cs="Times New Roman"/>
                <w:sz w:val="24"/>
              </w:rPr>
              <w:t>、</w:t>
            </w:r>
            <w:r>
              <w:rPr>
                <w:rFonts w:ascii="Times New Roman" w:hAnsi="Times New Roman" w:eastAsia="Times New Roman" w:cs="Times New Roman"/>
                <w:sz w:val="24"/>
              </w:rPr>
              <w:t>CO</w:t>
            </w:r>
            <w:r>
              <w:rPr>
                <w:rFonts w:ascii="Times New Roman" w:hAnsi="Times New Roman" w:cs="Times New Roman"/>
                <w:sz w:val="24"/>
              </w:rPr>
              <w:t>、</w:t>
            </w:r>
            <w:r>
              <w:rPr>
                <w:rFonts w:ascii="Times New Roman" w:hAnsi="Times New Roman" w:eastAsia="Times New Roman" w:cs="Times New Roman"/>
                <w:sz w:val="24"/>
              </w:rPr>
              <w:t>HCl</w:t>
            </w:r>
            <w:r>
              <w:rPr>
                <w:rFonts w:ascii="Times New Roman" w:hAnsi="Times New Roman" w:cs="Times New Roman"/>
                <w:sz w:val="24"/>
              </w:rPr>
              <w:t>、</w:t>
            </w:r>
          </w:p>
          <w:p>
            <w:pPr>
              <w:adjustRightInd w:val="0"/>
              <w:snapToGrid w:val="0"/>
              <w:jc w:val="center"/>
              <w:rPr>
                <w:sz w:val="24"/>
              </w:rPr>
            </w:pPr>
            <w:r>
              <w:rPr>
                <w:sz w:val="24"/>
              </w:rPr>
              <w:t>二噁英</w:t>
            </w:r>
          </w:p>
        </w:tc>
        <w:tc>
          <w:tcPr>
            <w:tcW w:w="1701" w:type="dxa"/>
            <w:vMerge w:val="continue"/>
            <w:vAlign w:val="center"/>
          </w:tcPr>
          <w:p>
            <w:pPr>
              <w:jc w:val="center"/>
              <w:rPr>
                <w:sz w:val="24"/>
              </w:rPr>
            </w:pPr>
          </w:p>
        </w:tc>
        <w:tc>
          <w:tcPr>
            <w:tcW w:w="2006" w:type="dxa"/>
            <w:vMerge w:val="continue"/>
            <w:vAlign w:val="center"/>
          </w:tcPr>
          <w:p>
            <w:pPr>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sz w:val="24"/>
              </w:rPr>
            </w:pPr>
          </w:p>
        </w:tc>
        <w:tc>
          <w:tcPr>
            <w:tcW w:w="1755" w:type="dxa"/>
            <w:vAlign w:val="center"/>
          </w:tcPr>
          <w:p>
            <w:pPr>
              <w:adjustRightInd w:val="0"/>
              <w:snapToGrid w:val="0"/>
              <w:jc w:val="center"/>
              <w:rPr>
                <w:sz w:val="24"/>
              </w:rPr>
            </w:pPr>
            <w:r>
              <w:rPr>
                <w:sz w:val="24"/>
              </w:rPr>
              <w:t>祭品炉废气</w:t>
            </w:r>
          </w:p>
        </w:tc>
        <w:tc>
          <w:tcPr>
            <w:tcW w:w="1560" w:type="dxa"/>
            <w:vMerge w:val="continue"/>
            <w:vAlign w:val="center"/>
          </w:tcPr>
          <w:p>
            <w:pPr>
              <w:adjustRightInd w:val="0"/>
              <w:snapToGrid w:val="0"/>
              <w:jc w:val="center"/>
              <w:rPr>
                <w:sz w:val="24"/>
              </w:rPr>
            </w:pPr>
          </w:p>
        </w:tc>
        <w:tc>
          <w:tcPr>
            <w:tcW w:w="1701" w:type="dxa"/>
            <w:vMerge w:val="continue"/>
            <w:vAlign w:val="center"/>
          </w:tcPr>
          <w:p>
            <w:pPr>
              <w:adjustRightInd w:val="0"/>
              <w:snapToGrid w:val="0"/>
              <w:jc w:val="center"/>
              <w:rPr>
                <w:sz w:val="24"/>
              </w:rPr>
            </w:pPr>
          </w:p>
        </w:tc>
        <w:tc>
          <w:tcPr>
            <w:tcW w:w="2006" w:type="dxa"/>
            <w:vMerge w:val="continue"/>
            <w:vAlign w:val="center"/>
          </w:tcPr>
          <w:p>
            <w:pPr>
              <w:adjustRightInd w:val="0"/>
              <w:snapToGrid w:val="0"/>
              <w:jc w:val="center"/>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sz w:val="24"/>
              </w:rPr>
            </w:pPr>
          </w:p>
        </w:tc>
        <w:tc>
          <w:tcPr>
            <w:tcW w:w="1755" w:type="dxa"/>
            <w:vAlign w:val="center"/>
          </w:tcPr>
          <w:p>
            <w:pPr>
              <w:adjustRightInd w:val="0"/>
              <w:snapToGrid w:val="0"/>
              <w:jc w:val="center"/>
              <w:rPr>
                <w:sz w:val="24"/>
              </w:rPr>
            </w:pPr>
            <w:r>
              <w:rPr>
                <w:sz w:val="24"/>
              </w:rPr>
              <w:t>员工食堂</w:t>
            </w:r>
          </w:p>
        </w:tc>
        <w:tc>
          <w:tcPr>
            <w:tcW w:w="1560" w:type="dxa"/>
            <w:vAlign w:val="center"/>
          </w:tcPr>
          <w:p>
            <w:pPr>
              <w:adjustRightInd w:val="0"/>
              <w:snapToGrid w:val="0"/>
              <w:jc w:val="center"/>
              <w:rPr>
                <w:sz w:val="24"/>
              </w:rPr>
            </w:pPr>
            <w:r>
              <w:rPr>
                <w:sz w:val="24"/>
              </w:rPr>
              <w:t>油烟</w:t>
            </w:r>
          </w:p>
        </w:tc>
        <w:tc>
          <w:tcPr>
            <w:tcW w:w="1701" w:type="dxa"/>
            <w:vAlign w:val="center"/>
          </w:tcPr>
          <w:p>
            <w:pPr>
              <w:adjustRightInd w:val="0"/>
              <w:snapToGrid w:val="0"/>
              <w:jc w:val="center"/>
              <w:rPr>
                <w:sz w:val="24"/>
              </w:rPr>
            </w:pPr>
            <w:r>
              <w:rPr>
                <w:sz w:val="24"/>
              </w:rPr>
              <w:t>油烟净化器</w:t>
            </w:r>
          </w:p>
        </w:tc>
        <w:tc>
          <w:tcPr>
            <w:tcW w:w="2006" w:type="dxa"/>
            <w:vAlign w:val="center"/>
          </w:tcPr>
          <w:p>
            <w:pPr>
              <w:adjustRightInd w:val="0"/>
              <w:snapToGrid w:val="0"/>
              <w:jc w:val="center"/>
              <w:rPr>
                <w:sz w:val="24"/>
              </w:rPr>
            </w:pPr>
            <w:r>
              <w:rPr>
                <w:bCs/>
                <w:sz w:val="24"/>
              </w:rPr>
              <w:t>《饮食业油烟排放标准（试行）》（GB18720－2001）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sz w:val="24"/>
              </w:rPr>
            </w:pPr>
            <w:r>
              <w:rPr>
                <w:sz w:val="24"/>
              </w:rPr>
              <w:t>地表水环境</w:t>
            </w:r>
          </w:p>
        </w:tc>
        <w:tc>
          <w:tcPr>
            <w:tcW w:w="1755" w:type="dxa"/>
            <w:vAlign w:val="center"/>
          </w:tcPr>
          <w:p>
            <w:pPr>
              <w:adjustRightInd w:val="0"/>
              <w:snapToGrid w:val="0"/>
              <w:jc w:val="center"/>
              <w:rPr>
                <w:sz w:val="24"/>
              </w:rPr>
            </w:pPr>
            <w:r>
              <w:rPr>
                <w:sz w:val="24"/>
              </w:rPr>
              <w:t>生活污水</w:t>
            </w:r>
          </w:p>
        </w:tc>
        <w:tc>
          <w:tcPr>
            <w:tcW w:w="1560" w:type="dxa"/>
            <w:vAlign w:val="center"/>
          </w:tcPr>
          <w:p>
            <w:pPr>
              <w:adjustRightInd w:val="0"/>
              <w:snapToGrid w:val="0"/>
              <w:jc w:val="center"/>
              <w:rPr>
                <w:sz w:val="24"/>
              </w:rPr>
            </w:pPr>
            <w:r>
              <w:rPr>
                <w:bCs/>
                <w:sz w:val="24"/>
              </w:rPr>
              <w:t>COD、SS、TN、TP、BOD</w:t>
            </w:r>
            <w:r>
              <w:rPr>
                <w:bCs/>
                <w:sz w:val="24"/>
                <w:vertAlign w:val="subscript"/>
              </w:rPr>
              <w:t>5</w:t>
            </w:r>
            <w:r>
              <w:rPr>
                <w:bCs/>
                <w:sz w:val="24"/>
              </w:rPr>
              <w:t>、NH</w:t>
            </w:r>
            <w:r>
              <w:rPr>
                <w:bCs/>
                <w:sz w:val="24"/>
                <w:vertAlign w:val="subscript"/>
              </w:rPr>
              <w:t>3</w:t>
            </w:r>
            <w:r>
              <w:rPr>
                <w:bCs/>
                <w:sz w:val="24"/>
              </w:rPr>
              <w:t>-N、动植物油</w:t>
            </w:r>
          </w:p>
        </w:tc>
        <w:tc>
          <w:tcPr>
            <w:tcW w:w="1701" w:type="dxa"/>
            <w:vAlign w:val="center"/>
          </w:tcPr>
          <w:p>
            <w:pPr>
              <w:adjustRightInd w:val="0"/>
              <w:snapToGrid w:val="0"/>
              <w:jc w:val="center"/>
              <w:rPr>
                <w:sz w:val="24"/>
              </w:rPr>
            </w:pPr>
            <w:r>
              <w:rPr>
                <w:sz w:val="24"/>
              </w:rPr>
              <w:t>食堂废水经隔油池处理后与生活污水一并进入化粪池处理后定期拉运至周至县污水处理厂处理</w:t>
            </w:r>
          </w:p>
        </w:tc>
        <w:tc>
          <w:tcPr>
            <w:tcW w:w="2006" w:type="dxa"/>
            <w:vAlign w:val="center"/>
          </w:tcPr>
          <w:p>
            <w:pPr>
              <w:adjustRightInd w:val="0"/>
              <w:snapToGrid w:val="0"/>
              <w:jc w:val="center"/>
              <w:rPr>
                <w:sz w:val="24"/>
              </w:rPr>
            </w:pPr>
            <w:r>
              <w:rPr>
                <w:bCs/>
                <w:sz w:val="24"/>
              </w:rPr>
              <w:t>《污水综合排放标准》（GB8978-1996）中三级标准和《污水排入城镇下水道水质标准》（GB/T31962-2015）B级标准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sz w:val="24"/>
              </w:rPr>
            </w:pPr>
          </w:p>
        </w:tc>
        <w:tc>
          <w:tcPr>
            <w:tcW w:w="1755" w:type="dxa"/>
            <w:vAlign w:val="center"/>
          </w:tcPr>
          <w:p>
            <w:pPr>
              <w:adjustRightInd w:val="0"/>
              <w:snapToGrid w:val="0"/>
              <w:jc w:val="center"/>
              <w:rPr>
                <w:sz w:val="24"/>
              </w:rPr>
            </w:pPr>
            <w:r>
              <w:rPr>
                <w:sz w:val="24"/>
              </w:rPr>
              <w:t>生产废水</w:t>
            </w:r>
          </w:p>
        </w:tc>
        <w:tc>
          <w:tcPr>
            <w:tcW w:w="1560" w:type="dxa"/>
            <w:vAlign w:val="center"/>
          </w:tcPr>
          <w:p>
            <w:pPr>
              <w:adjustRightInd w:val="0"/>
              <w:snapToGrid w:val="0"/>
              <w:jc w:val="center"/>
              <w:rPr>
                <w:sz w:val="24"/>
              </w:rPr>
            </w:pPr>
            <w:r>
              <w:rPr>
                <w:bCs/>
                <w:sz w:val="24"/>
              </w:rPr>
              <w:t>COD、BOD</w:t>
            </w:r>
            <w:r>
              <w:rPr>
                <w:bCs/>
                <w:sz w:val="24"/>
                <w:vertAlign w:val="subscript"/>
              </w:rPr>
              <w:t>5</w:t>
            </w:r>
            <w:r>
              <w:rPr>
                <w:bCs/>
                <w:sz w:val="24"/>
              </w:rPr>
              <w:t>、SS、NH</w:t>
            </w:r>
            <w:r>
              <w:rPr>
                <w:sz w:val="24"/>
                <w:vertAlign w:val="subscript"/>
              </w:rPr>
              <w:t>3</w:t>
            </w:r>
            <w:r>
              <w:rPr>
                <w:sz w:val="24"/>
              </w:rPr>
              <w:t>-N、粪大肠菌群数、总余氯</w:t>
            </w:r>
          </w:p>
        </w:tc>
        <w:tc>
          <w:tcPr>
            <w:tcW w:w="1701" w:type="dxa"/>
            <w:vAlign w:val="center"/>
          </w:tcPr>
          <w:p>
            <w:pPr>
              <w:adjustRightInd w:val="0"/>
              <w:snapToGrid w:val="0"/>
              <w:jc w:val="center"/>
              <w:rPr>
                <w:sz w:val="24"/>
              </w:rPr>
            </w:pPr>
            <w:r>
              <w:rPr>
                <w:sz w:val="24"/>
              </w:rPr>
              <w:t>经污水处理站预处理后定期拉运至周至县污水处理站</w:t>
            </w:r>
          </w:p>
        </w:tc>
        <w:tc>
          <w:tcPr>
            <w:tcW w:w="2006" w:type="dxa"/>
            <w:vAlign w:val="center"/>
          </w:tcPr>
          <w:p>
            <w:pPr>
              <w:adjustRightInd w:val="0"/>
              <w:snapToGrid w:val="0"/>
              <w:jc w:val="center"/>
              <w:rPr>
                <w:sz w:val="24"/>
              </w:rPr>
            </w:pPr>
            <w:r>
              <w:rPr>
                <w:sz w:val="24"/>
              </w:rPr>
              <w:t>《医疗机构水污染物排放标准》（GB18466-2005）中表2预处理标准</w:t>
            </w:r>
            <w:r>
              <w:rPr>
                <w:bCs/>
                <w:sz w:val="24"/>
              </w:rPr>
              <w:t>和《污水排入城镇下水道水质标准》（GB/T31962-2015）中B级标准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sz w:val="24"/>
              </w:rPr>
            </w:pPr>
            <w:r>
              <w:rPr>
                <w:sz w:val="24"/>
              </w:rPr>
              <w:t>声环境</w:t>
            </w:r>
          </w:p>
        </w:tc>
        <w:tc>
          <w:tcPr>
            <w:tcW w:w="1755" w:type="dxa"/>
            <w:vAlign w:val="center"/>
          </w:tcPr>
          <w:p>
            <w:pPr>
              <w:adjustRightInd w:val="0"/>
              <w:snapToGrid w:val="0"/>
              <w:jc w:val="center"/>
              <w:rPr>
                <w:sz w:val="24"/>
              </w:rPr>
            </w:pPr>
            <w:r>
              <w:rPr>
                <w:sz w:val="24"/>
              </w:rPr>
              <w:t>设备噪声、车辆噪声、悼念噪声</w:t>
            </w:r>
          </w:p>
        </w:tc>
        <w:tc>
          <w:tcPr>
            <w:tcW w:w="1560" w:type="dxa"/>
            <w:vAlign w:val="center"/>
          </w:tcPr>
          <w:p>
            <w:pPr>
              <w:adjustRightInd w:val="0"/>
              <w:snapToGrid w:val="0"/>
              <w:jc w:val="center"/>
              <w:rPr>
                <w:sz w:val="24"/>
              </w:rPr>
            </w:pPr>
            <w:r>
              <w:rPr>
                <w:sz w:val="24"/>
              </w:rPr>
              <w:t>噪声</w:t>
            </w:r>
          </w:p>
        </w:tc>
        <w:tc>
          <w:tcPr>
            <w:tcW w:w="1701" w:type="dxa"/>
            <w:vAlign w:val="center"/>
          </w:tcPr>
          <w:p>
            <w:pPr>
              <w:adjustRightInd w:val="0"/>
              <w:snapToGrid w:val="0"/>
              <w:jc w:val="center"/>
              <w:rPr>
                <w:sz w:val="24"/>
              </w:rPr>
            </w:pPr>
            <w:r>
              <w:rPr>
                <w:sz w:val="24"/>
              </w:rPr>
              <w:t>基础减震、厂房隔声、选用低噪设备</w:t>
            </w:r>
          </w:p>
        </w:tc>
        <w:tc>
          <w:tcPr>
            <w:tcW w:w="2006" w:type="dxa"/>
            <w:vAlign w:val="center"/>
          </w:tcPr>
          <w:p>
            <w:pPr>
              <w:adjustRightInd w:val="0"/>
              <w:snapToGrid w:val="0"/>
              <w:jc w:val="center"/>
              <w:rPr>
                <w:sz w:val="24"/>
              </w:rPr>
            </w:pPr>
            <w:r>
              <w:rPr>
                <w:sz w:val="24"/>
              </w:rPr>
              <w:t>《工业企业厂界环境噪声排放标准》（GB12348-2008）中的2类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sz w:val="24"/>
              </w:rPr>
            </w:pPr>
            <w:r>
              <w:rPr>
                <w:sz w:val="24"/>
              </w:rPr>
              <w:t>电磁辐射</w:t>
            </w:r>
          </w:p>
        </w:tc>
        <w:tc>
          <w:tcPr>
            <w:tcW w:w="1755" w:type="dxa"/>
            <w:vAlign w:val="center"/>
          </w:tcPr>
          <w:p>
            <w:pPr>
              <w:adjustRightInd w:val="0"/>
              <w:snapToGrid w:val="0"/>
              <w:jc w:val="center"/>
              <w:rPr>
                <w:sz w:val="24"/>
              </w:rPr>
            </w:pPr>
            <w:r>
              <w:rPr>
                <w:sz w:val="24"/>
              </w:rPr>
              <w:t>/</w:t>
            </w:r>
          </w:p>
        </w:tc>
        <w:tc>
          <w:tcPr>
            <w:tcW w:w="1560" w:type="dxa"/>
            <w:vAlign w:val="center"/>
          </w:tcPr>
          <w:p>
            <w:pPr>
              <w:adjustRightInd w:val="0"/>
              <w:snapToGrid w:val="0"/>
              <w:jc w:val="center"/>
              <w:rPr>
                <w:sz w:val="24"/>
              </w:rPr>
            </w:pPr>
            <w:r>
              <w:rPr>
                <w:sz w:val="24"/>
              </w:rPr>
              <w:t>/</w:t>
            </w:r>
          </w:p>
        </w:tc>
        <w:tc>
          <w:tcPr>
            <w:tcW w:w="1701" w:type="dxa"/>
            <w:vAlign w:val="center"/>
          </w:tcPr>
          <w:p>
            <w:pPr>
              <w:adjustRightInd w:val="0"/>
              <w:snapToGrid w:val="0"/>
              <w:jc w:val="center"/>
              <w:rPr>
                <w:sz w:val="24"/>
              </w:rPr>
            </w:pPr>
            <w:r>
              <w:rPr>
                <w:sz w:val="24"/>
              </w:rPr>
              <w:t>/</w:t>
            </w:r>
          </w:p>
        </w:tc>
        <w:tc>
          <w:tcPr>
            <w:tcW w:w="2006" w:type="dxa"/>
            <w:vAlign w:val="center"/>
          </w:tcPr>
          <w:p>
            <w:pPr>
              <w:adjustRightInd w:val="0"/>
              <w:snapToGrid w:val="0"/>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778" w:type="dxa"/>
            <w:vAlign w:val="center"/>
          </w:tcPr>
          <w:p>
            <w:pPr>
              <w:adjustRightInd w:val="0"/>
              <w:snapToGrid w:val="0"/>
              <w:jc w:val="center"/>
              <w:rPr>
                <w:sz w:val="24"/>
              </w:rPr>
            </w:pPr>
            <w:r>
              <w:rPr>
                <w:sz w:val="24"/>
              </w:rPr>
              <w:t>固体废物</w:t>
            </w:r>
          </w:p>
        </w:tc>
        <w:tc>
          <w:tcPr>
            <w:tcW w:w="7022" w:type="dxa"/>
            <w:gridSpan w:val="4"/>
            <w:vAlign w:val="center"/>
          </w:tcPr>
          <w:p>
            <w:pPr>
              <w:adjustRightInd w:val="0"/>
              <w:snapToGrid w:val="0"/>
              <w:spacing w:line="312" w:lineRule="auto"/>
              <w:ind w:firstLine="480" w:firstLineChars="200"/>
              <w:rPr>
                <w:sz w:val="24"/>
              </w:rPr>
            </w:pPr>
            <w:r>
              <w:rPr>
                <w:sz w:val="24"/>
              </w:rPr>
              <w:t>生活垃圾、遗物及祭品焚烧灰渣由环卫部门清运处置，餐厨垃圾收集后交有处置资质的单位进行处置；污泥</w:t>
            </w:r>
            <w:r>
              <w:rPr>
                <w:rFonts w:hint="eastAsia"/>
                <w:sz w:val="24"/>
              </w:rPr>
              <w:t>消毒后委托有</w:t>
            </w:r>
            <w:r>
              <w:rPr>
                <w:sz w:val="24"/>
              </w:rPr>
              <w:t>资质单位处置；除尘器灰渣、废活性炭、废解剖废物收集后暂存于危废暂存间，委托有资质的单位处理。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1778" w:type="dxa"/>
            <w:vAlign w:val="center"/>
          </w:tcPr>
          <w:p>
            <w:pPr>
              <w:adjustRightInd w:val="0"/>
              <w:snapToGrid w:val="0"/>
              <w:jc w:val="center"/>
              <w:rPr>
                <w:sz w:val="24"/>
              </w:rPr>
            </w:pPr>
            <w:r>
              <w:rPr>
                <w:sz w:val="24"/>
              </w:rPr>
              <w:t>土壤及地下水</w:t>
            </w:r>
          </w:p>
          <w:p>
            <w:pPr>
              <w:adjustRightInd w:val="0"/>
              <w:snapToGrid w:val="0"/>
              <w:jc w:val="center"/>
              <w:rPr>
                <w:sz w:val="24"/>
              </w:rPr>
            </w:pPr>
            <w:r>
              <w:rPr>
                <w:sz w:val="24"/>
              </w:rPr>
              <w:t>污染防治措施</w:t>
            </w:r>
          </w:p>
        </w:tc>
        <w:tc>
          <w:tcPr>
            <w:tcW w:w="7022" w:type="dxa"/>
            <w:gridSpan w:val="4"/>
            <w:vAlign w:val="center"/>
          </w:tcPr>
          <w:p>
            <w:pPr>
              <w:adjustRightInd w:val="0"/>
              <w:snapToGrid w:val="0"/>
              <w:spacing w:line="360" w:lineRule="auto"/>
              <w:ind w:firstLine="480" w:firstLineChars="200"/>
              <w:rPr>
                <w:sz w:val="24"/>
              </w:rPr>
            </w:pPr>
            <w:r>
              <w:rPr>
                <w:sz w:val="24"/>
              </w:rPr>
              <w:t>殡仪馆采取分区防渗措施，加强管理，确保废水及危废不进入环境。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778" w:type="dxa"/>
            <w:vAlign w:val="center"/>
          </w:tcPr>
          <w:p>
            <w:pPr>
              <w:adjustRightInd w:val="0"/>
              <w:snapToGrid w:val="0"/>
              <w:jc w:val="center"/>
              <w:rPr>
                <w:sz w:val="24"/>
              </w:rPr>
            </w:pPr>
            <w:r>
              <w:rPr>
                <w:sz w:val="24"/>
              </w:rPr>
              <w:t>生态保护措施</w:t>
            </w:r>
          </w:p>
        </w:tc>
        <w:tc>
          <w:tcPr>
            <w:tcW w:w="7022" w:type="dxa"/>
            <w:gridSpan w:val="4"/>
            <w:vAlign w:val="center"/>
          </w:tcPr>
          <w:p>
            <w:pPr>
              <w:adjustRightInd w:val="0"/>
              <w:snapToGrid w:val="0"/>
              <w:spacing w:line="360" w:lineRule="auto"/>
              <w:jc w:val="center"/>
              <w:rPr>
                <w:sz w:val="24"/>
              </w:rPr>
            </w:pPr>
            <w:r>
              <w:rPr>
                <w:bCs/>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778" w:type="dxa"/>
            <w:vAlign w:val="center"/>
          </w:tcPr>
          <w:p>
            <w:pPr>
              <w:adjustRightInd w:val="0"/>
              <w:snapToGrid w:val="0"/>
              <w:jc w:val="center"/>
              <w:rPr>
                <w:sz w:val="24"/>
              </w:rPr>
            </w:pPr>
            <w:r>
              <w:rPr>
                <w:sz w:val="24"/>
              </w:rPr>
              <w:t>环境风险</w:t>
            </w:r>
          </w:p>
          <w:p>
            <w:pPr>
              <w:adjustRightInd w:val="0"/>
              <w:snapToGrid w:val="0"/>
              <w:jc w:val="center"/>
              <w:rPr>
                <w:sz w:val="24"/>
              </w:rPr>
            </w:pPr>
            <w:r>
              <w:rPr>
                <w:sz w:val="24"/>
              </w:rPr>
              <w:t>防范措施</w:t>
            </w:r>
          </w:p>
        </w:tc>
        <w:tc>
          <w:tcPr>
            <w:tcW w:w="7022" w:type="dxa"/>
            <w:gridSpan w:val="4"/>
            <w:vAlign w:val="center"/>
          </w:tcPr>
          <w:p>
            <w:pPr>
              <w:pStyle w:val="65"/>
              <w:adjustRightInd w:val="0"/>
              <w:snapToGrid w:val="0"/>
              <w:spacing w:line="360" w:lineRule="auto"/>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1 \* GB3 </w:instrText>
            </w:r>
            <w:r>
              <w:rPr>
                <w:rFonts w:ascii="Times New Roman" w:hAnsi="Times New Roman" w:cs="Times New Roman"/>
                <w:sz w:val="24"/>
              </w:rPr>
              <w:fldChar w:fldCharType="separate"/>
            </w:r>
            <w:r>
              <w:rPr>
                <w:rFonts w:hint="eastAsia"/>
                <w:sz w:val="24"/>
              </w:rPr>
              <w:t>①</w:t>
            </w:r>
            <w:r>
              <w:rPr>
                <w:rFonts w:ascii="Times New Roman" w:hAnsi="Times New Roman" w:cs="Times New Roman"/>
                <w:sz w:val="24"/>
              </w:rPr>
              <w:fldChar w:fldCharType="end"/>
            </w:r>
            <w:r>
              <w:rPr>
                <w:rFonts w:ascii="Times New Roman" w:hAnsi="Times New Roman" w:cs="Times New Roman"/>
                <w:sz w:val="24"/>
              </w:rPr>
              <w:t>要加强巡检，对出现的泄漏要及时采取措施，对隐患要坚决消除，实行以防火为中心的安全管理；</w:t>
            </w:r>
          </w:p>
          <w:p>
            <w:pPr>
              <w:pStyle w:val="65"/>
              <w:adjustRightInd w:val="0"/>
              <w:snapToGrid w:val="0"/>
              <w:spacing w:line="360" w:lineRule="auto"/>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2 \* GB3 </w:instrText>
            </w:r>
            <w:r>
              <w:rPr>
                <w:rFonts w:ascii="Times New Roman" w:hAnsi="Times New Roman" w:cs="Times New Roman"/>
                <w:sz w:val="24"/>
              </w:rPr>
              <w:fldChar w:fldCharType="separate"/>
            </w:r>
            <w:r>
              <w:rPr>
                <w:rFonts w:hint="eastAsia"/>
                <w:sz w:val="24"/>
              </w:rPr>
              <w:t>②</w:t>
            </w:r>
            <w:r>
              <w:rPr>
                <w:rFonts w:ascii="Times New Roman" w:hAnsi="Times New Roman" w:cs="Times New Roman"/>
                <w:sz w:val="24"/>
              </w:rPr>
              <w:fldChar w:fldCharType="end"/>
            </w:r>
            <w:r>
              <w:rPr>
                <w:rFonts w:ascii="Times New Roman" w:hAnsi="Times New Roman" w:cs="Times New Roman"/>
                <w:sz w:val="24"/>
              </w:rPr>
              <w:t>对风险物质存放点（危废间、柴油罐区）定期检查；</w:t>
            </w:r>
          </w:p>
          <w:p>
            <w:pPr>
              <w:pStyle w:val="65"/>
              <w:adjustRightInd w:val="0"/>
              <w:snapToGrid w:val="0"/>
              <w:spacing w:line="360" w:lineRule="auto"/>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3 \* GB3 </w:instrText>
            </w:r>
            <w:r>
              <w:rPr>
                <w:rFonts w:ascii="Times New Roman" w:hAnsi="Times New Roman" w:cs="Times New Roman"/>
                <w:sz w:val="24"/>
              </w:rPr>
              <w:fldChar w:fldCharType="separate"/>
            </w:r>
            <w:r>
              <w:rPr>
                <w:rFonts w:hint="eastAsia"/>
                <w:sz w:val="24"/>
              </w:rPr>
              <w:t>③</w:t>
            </w:r>
            <w:r>
              <w:rPr>
                <w:rFonts w:ascii="Times New Roman" w:hAnsi="Times New Roman" w:cs="Times New Roman"/>
                <w:sz w:val="24"/>
              </w:rPr>
              <w:fldChar w:fldCharType="end"/>
            </w:r>
            <w:r>
              <w:rPr>
                <w:rFonts w:ascii="Times New Roman" w:hAnsi="Times New Roman" w:cs="Times New Roman"/>
                <w:sz w:val="24"/>
              </w:rPr>
              <w:t>对风险点进行分区防渗；</w:t>
            </w:r>
          </w:p>
          <w:p>
            <w:pPr>
              <w:pStyle w:val="65"/>
              <w:adjustRightInd w:val="0"/>
              <w:snapToGrid w:val="0"/>
              <w:spacing w:line="360" w:lineRule="auto"/>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4 \* GB3 </w:instrText>
            </w:r>
            <w:r>
              <w:rPr>
                <w:rFonts w:ascii="Times New Roman" w:hAnsi="Times New Roman" w:cs="Times New Roman"/>
                <w:sz w:val="24"/>
              </w:rPr>
              <w:fldChar w:fldCharType="separate"/>
            </w:r>
            <w:r>
              <w:rPr>
                <w:rFonts w:hint="eastAsia"/>
                <w:sz w:val="24"/>
              </w:rPr>
              <w:t>④</w:t>
            </w:r>
            <w:r>
              <w:rPr>
                <w:rFonts w:ascii="Times New Roman" w:hAnsi="Times New Roman" w:cs="Times New Roman"/>
                <w:sz w:val="24"/>
              </w:rPr>
              <w:fldChar w:fldCharType="end"/>
            </w:r>
            <w:r>
              <w:rPr>
                <w:rFonts w:ascii="Times New Roman" w:hAnsi="Times New Roman" w:cs="Times New Roman"/>
                <w:sz w:val="24"/>
              </w:rPr>
              <w:t>定期检查车间应急措施，配备应急物资；</w:t>
            </w:r>
          </w:p>
          <w:p>
            <w:pPr>
              <w:pStyle w:val="65"/>
              <w:adjustRightInd w:val="0"/>
              <w:snapToGrid w:val="0"/>
              <w:spacing w:line="360" w:lineRule="auto"/>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5 \* GB3 </w:instrText>
            </w:r>
            <w:r>
              <w:rPr>
                <w:rFonts w:ascii="Times New Roman" w:hAnsi="Times New Roman" w:cs="Times New Roman"/>
                <w:sz w:val="24"/>
              </w:rPr>
              <w:fldChar w:fldCharType="separate"/>
            </w:r>
            <w:r>
              <w:rPr>
                <w:rFonts w:hint="eastAsia"/>
                <w:sz w:val="24"/>
              </w:rPr>
              <w:t>⑤</w:t>
            </w:r>
            <w:r>
              <w:rPr>
                <w:rFonts w:ascii="Times New Roman" w:hAnsi="Times New Roman" w:cs="Times New Roman"/>
                <w:sz w:val="24"/>
              </w:rPr>
              <w:fldChar w:fldCharType="end"/>
            </w:r>
            <w:r>
              <w:rPr>
                <w:rFonts w:ascii="Times New Roman" w:hAnsi="Times New Roman" w:cs="Times New Roman"/>
                <w:sz w:val="24"/>
              </w:rPr>
              <w:t>定期检查废气处理装置、更换活性炭及布袋，保证废气达标排放；</w:t>
            </w:r>
          </w:p>
          <w:p>
            <w:pPr>
              <w:adjustRightInd w:val="0"/>
              <w:snapToGrid w:val="0"/>
              <w:spacing w:line="360" w:lineRule="auto"/>
              <w:rPr>
                <w:sz w:val="24"/>
              </w:rPr>
            </w:pPr>
            <w:r>
              <w:rPr>
                <w:sz w:val="24"/>
              </w:rPr>
              <w:fldChar w:fldCharType="begin"/>
            </w:r>
            <w:r>
              <w:rPr>
                <w:sz w:val="24"/>
              </w:rPr>
              <w:instrText xml:space="preserve"> = 6 \* GB3 </w:instrText>
            </w:r>
            <w:r>
              <w:rPr>
                <w:sz w:val="24"/>
              </w:rPr>
              <w:fldChar w:fldCharType="separate"/>
            </w:r>
            <w:r>
              <w:rPr>
                <w:rFonts w:hint="eastAsia" w:ascii="宋体" w:hAnsi="宋体" w:cs="宋体"/>
                <w:sz w:val="24"/>
              </w:rPr>
              <w:t>⑥</w:t>
            </w:r>
            <w:r>
              <w:rPr>
                <w:sz w:val="24"/>
              </w:rPr>
              <w:fldChar w:fldCharType="end"/>
            </w:r>
            <w:r>
              <w:rPr>
                <w:sz w:val="24"/>
              </w:rPr>
              <w:t>制定突发环境事件应急预案。</w:t>
            </w:r>
            <w:r>
              <w:rPr>
                <w:sz w:val="24"/>
                <w:lang w:val="zh-CN"/>
              </w:rPr>
              <w:t>项目火化炉应设置烟气在线监控设施。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adjustRightInd w:val="0"/>
              <w:snapToGrid w:val="0"/>
              <w:jc w:val="center"/>
              <w:rPr>
                <w:sz w:val="24"/>
              </w:rPr>
            </w:pPr>
            <w:r>
              <w:rPr>
                <w:sz w:val="24"/>
              </w:rPr>
              <w:t>其他环境</w:t>
            </w:r>
          </w:p>
          <w:p>
            <w:pPr>
              <w:adjustRightInd w:val="0"/>
              <w:snapToGrid w:val="0"/>
              <w:jc w:val="center"/>
              <w:rPr>
                <w:sz w:val="24"/>
              </w:rPr>
            </w:pPr>
            <w:r>
              <w:rPr>
                <w:sz w:val="24"/>
              </w:rPr>
              <w:t>管理要求</w:t>
            </w:r>
          </w:p>
        </w:tc>
        <w:tc>
          <w:tcPr>
            <w:tcW w:w="7022" w:type="dxa"/>
            <w:gridSpan w:val="4"/>
            <w:vAlign w:val="center"/>
          </w:tcPr>
          <w:p>
            <w:pPr>
              <w:adjustRightInd w:val="0"/>
              <w:snapToGrid w:val="0"/>
              <w:spacing w:line="360" w:lineRule="auto"/>
              <w:ind w:firstLine="480" w:firstLineChars="200"/>
              <w:rPr>
                <w:sz w:val="24"/>
              </w:rPr>
            </w:pPr>
            <w:r>
              <w:rPr>
                <w:sz w:val="24"/>
              </w:rPr>
              <w:t>（1）三同时制度</w:t>
            </w:r>
          </w:p>
          <w:p>
            <w:pPr>
              <w:adjustRightInd w:val="0"/>
              <w:snapToGrid w:val="0"/>
              <w:spacing w:line="360" w:lineRule="auto"/>
              <w:ind w:firstLine="480" w:firstLineChars="200"/>
              <w:rPr>
                <w:sz w:val="24"/>
              </w:rPr>
            </w:pPr>
            <w:r>
              <w:rPr>
                <w:sz w:val="24"/>
              </w:rPr>
              <w:t>依据《中华人民共和国环境保护法》，建设项目中防治污染的设施，应当与主体工程同时设计、同时施工、同时投产使用。防治污染的设施应当符合经批准的环境影响评价文件的要求，不得擅自拆除或者闲置。</w:t>
            </w:r>
          </w:p>
          <w:p>
            <w:pPr>
              <w:adjustRightInd w:val="0"/>
              <w:snapToGrid w:val="0"/>
              <w:spacing w:line="360" w:lineRule="auto"/>
              <w:ind w:firstLine="480" w:firstLineChars="200"/>
              <w:rPr>
                <w:sz w:val="24"/>
              </w:rPr>
            </w:pPr>
            <w:r>
              <w:rPr>
                <w:sz w:val="24"/>
              </w:rPr>
              <w:t>（2）环境管理制度</w:t>
            </w:r>
          </w:p>
          <w:p>
            <w:pPr>
              <w:adjustRightInd w:val="0"/>
              <w:snapToGrid w:val="0"/>
              <w:spacing w:line="360" w:lineRule="auto"/>
              <w:ind w:firstLine="480" w:firstLineChars="200"/>
              <w:rPr>
                <w:sz w:val="24"/>
              </w:rPr>
            </w:pPr>
            <w:r>
              <w:rPr>
                <w:sz w:val="24"/>
              </w:rPr>
              <w:t>项目的污染物排放水平与环境管理水平密切相关，因此在采取环境保护工程措施的同时，必须加强环境管理。</w:t>
            </w:r>
          </w:p>
          <w:p>
            <w:pPr>
              <w:adjustRightInd w:val="0"/>
              <w:snapToGrid w:val="0"/>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sz w:val="24"/>
              </w:rPr>
              <w:t>贯彻执行国家和地方各项环保方针、政策和法规，将环境指标纳入运营计划指标，建立公司内部的环境保护机构、制订与其相适应的管理规章制度及细则；</w:t>
            </w:r>
          </w:p>
          <w:p>
            <w:pPr>
              <w:adjustRightInd w:val="0"/>
              <w:snapToGrid w:val="0"/>
              <w:spacing w:line="360" w:lineRule="auto"/>
              <w:ind w:firstLine="480" w:firstLineChars="200"/>
              <w:rPr>
                <w:sz w:val="24"/>
              </w:rPr>
            </w:pP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sz w:val="24"/>
              </w:rPr>
              <w:t>加强对职工的环保教育，包括业务能力、环保管理知识的教育，以增强他们的环保意识，提高管理水平；</w:t>
            </w:r>
          </w:p>
          <w:p>
            <w:pPr>
              <w:adjustRightInd w:val="0"/>
              <w:snapToGrid w:val="0"/>
              <w:spacing w:line="360" w:lineRule="auto"/>
              <w:ind w:firstLine="480" w:firstLineChars="200"/>
              <w:rPr>
                <w:sz w:val="24"/>
              </w:rPr>
            </w:pPr>
            <w:r>
              <w:rPr>
                <w:sz w:val="24"/>
              </w:rPr>
              <w:fldChar w:fldCharType="begin"/>
            </w:r>
            <w:r>
              <w:rPr>
                <w:sz w:val="24"/>
              </w:rPr>
              <w:instrText xml:space="preserve"> = 3 \* GB3 </w:instrText>
            </w:r>
            <w:r>
              <w:rPr>
                <w:sz w:val="24"/>
              </w:rPr>
              <w:fldChar w:fldCharType="separate"/>
            </w:r>
            <w:r>
              <w:rPr>
                <w:rFonts w:hint="eastAsia" w:ascii="宋体" w:hAnsi="宋体" w:cs="宋体"/>
                <w:sz w:val="24"/>
              </w:rPr>
              <w:t>③</w:t>
            </w:r>
            <w:r>
              <w:rPr>
                <w:sz w:val="24"/>
              </w:rPr>
              <w:fldChar w:fldCharType="end"/>
            </w:r>
            <w:r>
              <w:rPr>
                <w:sz w:val="24"/>
              </w:rPr>
              <w:t>建立公司设备维护、维修制度，定期检查各设备运行情况，杜绝事故发生。</w:t>
            </w:r>
          </w:p>
          <w:p>
            <w:pPr>
              <w:adjustRightInd w:val="0"/>
              <w:snapToGrid w:val="0"/>
              <w:spacing w:line="360" w:lineRule="auto"/>
              <w:ind w:firstLine="480" w:firstLineChars="200"/>
              <w:rPr>
                <w:sz w:val="24"/>
              </w:rPr>
            </w:pPr>
            <w:r>
              <w:rPr>
                <w:sz w:val="24"/>
              </w:rPr>
              <w:t>（3）排污许可制度</w:t>
            </w:r>
          </w:p>
          <w:p>
            <w:pPr>
              <w:adjustRightInd w:val="0"/>
              <w:snapToGrid w:val="0"/>
              <w:spacing w:line="360" w:lineRule="auto"/>
              <w:ind w:firstLine="480" w:firstLineChars="200"/>
              <w:rPr>
                <w:sz w:val="24"/>
              </w:rPr>
            </w:pPr>
            <w:r>
              <w:rPr>
                <w:sz w:val="24"/>
              </w:rPr>
              <w:t>依据《排污许可管理条例》、《固定污染源排污许可分类管理名录（2019年版）》的相关规定，本项目为四十七、居民服务业 105 殡葬服务808中火葬场，为简化管理，未取得排污许可证的，不得排放污染物。</w:t>
            </w:r>
          </w:p>
          <w:p>
            <w:pPr>
              <w:adjustRightInd w:val="0"/>
              <w:snapToGrid w:val="0"/>
              <w:spacing w:line="360" w:lineRule="auto"/>
              <w:ind w:firstLine="480" w:firstLineChars="200"/>
              <w:rPr>
                <w:sz w:val="24"/>
              </w:rPr>
            </w:pPr>
            <w:r>
              <w:rPr>
                <w:sz w:val="24"/>
              </w:rPr>
              <w:t>（4）突发环境事件防范制度</w:t>
            </w:r>
          </w:p>
          <w:p>
            <w:pPr>
              <w:adjustRightInd w:val="0"/>
              <w:snapToGrid w:val="0"/>
              <w:spacing w:line="360" w:lineRule="auto"/>
              <w:ind w:firstLine="480" w:firstLineChars="200"/>
              <w:rPr>
                <w:sz w:val="24"/>
              </w:rPr>
            </w:pPr>
            <w:r>
              <w:rPr>
                <w:sz w:val="24"/>
              </w:rPr>
              <w:t>依据《</w:t>
            </w:r>
            <w:r>
              <w:rPr>
                <w:bCs/>
                <w:sz w:val="24"/>
              </w:rPr>
              <w:t>中华人民共和国突发事件应对法</w:t>
            </w:r>
            <w:r>
              <w:rPr>
                <w:sz w:val="24"/>
              </w:rPr>
              <w:t>》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本项目应按规定规范柴油、天然气的存储风险防范措施。</w:t>
            </w:r>
          </w:p>
          <w:p>
            <w:pPr>
              <w:adjustRightInd w:val="0"/>
              <w:snapToGrid w:val="0"/>
              <w:spacing w:line="360" w:lineRule="auto"/>
              <w:ind w:firstLine="480" w:firstLineChars="200"/>
              <w:rPr>
                <w:sz w:val="24"/>
              </w:rPr>
            </w:pPr>
            <w:r>
              <w:rPr>
                <w:sz w:val="24"/>
              </w:rPr>
              <w:t>（5）排污口规范要求</w:t>
            </w:r>
          </w:p>
          <w:p>
            <w:pPr>
              <w:adjustRightInd w:val="0"/>
              <w:snapToGrid w:val="0"/>
              <w:spacing w:line="360" w:lineRule="auto"/>
              <w:ind w:firstLine="480" w:firstLineChars="200"/>
              <w:rPr>
                <w:sz w:val="24"/>
              </w:rPr>
            </w:pPr>
            <w:r>
              <w:rPr>
                <w:sz w:val="24"/>
              </w:rPr>
              <w:t>本项目应按照《排污口规范化整治技术要求（试行）》、地方相关管理要求，企业必须按照规范化要求进行设置与管理排污口（指废水排放口、废气排放口和固废临时堆放场所）；在排污口附近醒目处按规定设置环保标志牌，排污口的设置要合理，便于采集监测样品、便于监测计量、便于公众参与监督管理。</w:t>
            </w:r>
          </w:p>
          <w:p>
            <w:pPr>
              <w:adjustRightInd w:val="0"/>
              <w:snapToGrid w:val="0"/>
              <w:spacing w:line="360" w:lineRule="auto"/>
              <w:ind w:firstLine="480" w:firstLineChars="200"/>
              <w:rPr>
                <w:sz w:val="24"/>
              </w:rPr>
            </w:pPr>
            <w:r>
              <w:rPr>
                <w:sz w:val="24"/>
              </w:rPr>
              <w:t>（6）日常监测制度</w:t>
            </w:r>
          </w:p>
          <w:p>
            <w:pPr>
              <w:pStyle w:val="45"/>
              <w:ind w:left="0" w:firstLine="0"/>
              <w:rPr>
                <w:color w:val="auto"/>
                <w:sz w:val="24"/>
                <w:szCs w:val="24"/>
              </w:rPr>
            </w:pPr>
            <w:r>
              <w:rPr>
                <w:color w:val="auto"/>
                <w:sz w:val="24"/>
                <w:szCs w:val="24"/>
              </w:rPr>
              <w:t>表5-1  监测内容及计划一览表（汇总）</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723"/>
              <w:gridCol w:w="190"/>
              <w:gridCol w:w="913"/>
              <w:gridCol w:w="1223"/>
              <w:gridCol w:w="858"/>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shd w:val="clear" w:color="auto" w:fill="auto"/>
                  <w:vAlign w:val="center"/>
                </w:tcPr>
                <w:p>
                  <w:pPr>
                    <w:pStyle w:val="45"/>
                    <w:ind w:left="0" w:firstLine="0"/>
                    <w:rPr>
                      <w:color w:val="auto"/>
                    </w:rPr>
                  </w:pPr>
                  <w:r>
                    <w:rPr>
                      <w:color w:val="auto"/>
                    </w:rPr>
                    <w:t>类别</w:t>
                  </w:r>
                </w:p>
              </w:tc>
              <w:tc>
                <w:tcPr>
                  <w:tcW w:w="1343" w:type="pct"/>
                  <w:gridSpan w:val="3"/>
                  <w:vAlign w:val="center"/>
                </w:tcPr>
                <w:p>
                  <w:pPr>
                    <w:pStyle w:val="45"/>
                    <w:ind w:left="0" w:firstLine="0"/>
                    <w:rPr>
                      <w:color w:val="auto"/>
                    </w:rPr>
                  </w:pPr>
                  <w:r>
                    <w:rPr>
                      <w:color w:val="auto"/>
                    </w:rPr>
                    <w:t>监测点位</w:t>
                  </w:r>
                </w:p>
              </w:tc>
              <w:tc>
                <w:tcPr>
                  <w:tcW w:w="900" w:type="pct"/>
                  <w:shd w:val="clear" w:color="auto" w:fill="auto"/>
                  <w:vAlign w:val="center"/>
                </w:tcPr>
                <w:p>
                  <w:pPr>
                    <w:pStyle w:val="45"/>
                    <w:ind w:left="0" w:firstLine="0"/>
                    <w:rPr>
                      <w:color w:val="auto"/>
                    </w:rPr>
                  </w:pPr>
                  <w:r>
                    <w:rPr>
                      <w:color w:val="auto"/>
                    </w:rPr>
                    <w:t>监测因子</w:t>
                  </w:r>
                </w:p>
              </w:tc>
              <w:tc>
                <w:tcPr>
                  <w:tcW w:w="631" w:type="pct"/>
                  <w:shd w:val="clear" w:color="auto" w:fill="auto"/>
                  <w:vAlign w:val="center"/>
                </w:tcPr>
                <w:p>
                  <w:pPr>
                    <w:pStyle w:val="45"/>
                    <w:ind w:left="0" w:firstLine="0"/>
                    <w:rPr>
                      <w:color w:val="auto"/>
                    </w:rPr>
                  </w:pPr>
                  <w:r>
                    <w:rPr>
                      <w:color w:val="auto"/>
                    </w:rPr>
                    <w:t>监测频次</w:t>
                  </w:r>
                </w:p>
              </w:tc>
              <w:tc>
                <w:tcPr>
                  <w:tcW w:w="1673" w:type="pct"/>
                  <w:shd w:val="clear" w:color="auto" w:fill="auto"/>
                  <w:vAlign w:val="center"/>
                </w:tcPr>
                <w:p>
                  <w:pPr>
                    <w:pStyle w:val="45"/>
                    <w:ind w:left="0" w:firstLine="0"/>
                    <w:rPr>
                      <w:color w:val="auto"/>
                    </w:rPr>
                  </w:pPr>
                  <w:r>
                    <w:rPr>
                      <w:color w:val="auto"/>
                    </w:rPr>
                    <w:t>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vMerge w:val="restart"/>
                  <w:shd w:val="clear" w:color="auto" w:fill="auto"/>
                  <w:vAlign w:val="center"/>
                </w:tcPr>
                <w:p>
                  <w:pPr>
                    <w:pStyle w:val="45"/>
                    <w:ind w:left="0" w:firstLine="0"/>
                    <w:rPr>
                      <w:b w:val="0"/>
                      <w:color w:val="auto"/>
                    </w:rPr>
                  </w:pPr>
                  <w:r>
                    <w:rPr>
                      <w:b w:val="0"/>
                      <w:color w:val="auto"/>
                    </w:rPr>
                    <w:t>废气</w:t>
                  </w:r>
                </w:p>
              </w:tc>
              <w:tc>
                <w:tcPr>
                  <w:tcW w:w="532" w:type="pct"/>
                  <w:vMerge w:val="restart"/>
                  <w:vAlign w:val="center"/>
                </w:tcPr>
                <w:p>
                  <w:pPr>
                    <w:pStyle w:val="45"/>
                    <w:ind w:left="0" w:firstLine="0"/>
                    <w:rPr>
                      <w:b w:val="0"/>
                      <w:color w:val="auto"/>
                    </w:rPr>
                  </w:pPr>
                  <w:r>
                    <w:rPr>
                      <w:b w:val="0"/>
                      <w:color w:val="auto"/>
                    </w:rPr>
                    <w:t>有组织</w:t>
                  </w:r>
                </w:p>
              </w:tc>
              <w:tc>
                <w:tcPr>
                  <w:tcW w:w="812" w:type="pct"/>
                  <w:gridSpan w:val="2"/>
                  <w:shd w:val="clear" w:color="auto" w:fill="auto"/>
                  <w:vAlign w:val="center"/>
                </w:tcPr>
                <w:p>
                  <w:pPr>
                    <w:pStyle w:val="45"/>
                    <w:ind w:left="0" w:firstLine="0"/>
                    <w:rPr>
                      <w:b w:val="0"/>
                      <w:color w:val="auto"/>
                    </w:rPr>
                  </w:pPr>
                  <w:r>
                    <w:rPr>
                      <w:b w:val="0"/>
                      <w:color w:val="auto"/>
                    </w:rPr>
                    <w:t>DA001~DA010</w:t>
                  </w:r>
                </w:p>
              </w:tc>
              <w:tc>
                <w:tcPr>
                  <w:tcW w:w="900" w:type="pct"/>
                  <w:shd w:val="clear" w:color="auto" w:fill="auto"/>
                  <w:vAlign w:val="center"/>
                </w:tcPr>
                <w:p>
                  <w:pPr>
                    <w:pStyle w:val="45"/>
                    <w:ind w:left="0" w:firstLine="0"/>
                    <w:rPr>
                      <w:b w:val="0"/>
                      <w:color w:val="auto"/>
                    </w:rPr>
                  </w:pPr>
                  <w:r>
                    <w:rPr>
                      <w:b w:val="0"/>
                      <w:color w:val="auto"/>
                    </w:rPr>
                    <w:t>烟尘、SO</w:t>
                  </w:r>
                  <w:r>
                    <w:rPr>
                      <w:b w:val="0"/>
                      <w:color w:val="auto"/>
                      <w:vertAlign w:val="subscript"/>
                    </w:rPr>
                    <w:t>2</w:t>
                  </w:r>
                  <w:r>
                    <w:rPr>
                      <w:b w:val="0"/>
                      <w:color w:val="auto"/>
                    </w:rPr>
                    <w:t>、NOx、CO、HCL、Hg和二噁英</w:t>
                  </w:r>
                </w:p>
              </w:tc>
              <w:tc>
                <w:tcPr>
                  <w:tcW w:w="631" w:type="pct"/>
                  <w:shd w:val="clear" w:color="auto" w:fill="auto"/>
                  <w:vAlign w:val="center"/>
                </w:tcPr>
                <w:p>
                  <w:pPr>
                    <w:pStyle w:val="45"/>
                    <w:ind w:left="0" w:firstLine="0"/>
                    <w:rPr>
                      <w:b w:val="0"/>
                      <w:color w:val="auto"/>
                    </w:rPr>
                  </w:pPr>
                  <w:r>
                    <w:rPr>
                      <w:b w:val="0"/>
                      <w:color w:val="auto"/>
                    </w:rPr>
                    <w:t>半年一次</w:t>
                  </w:r>
                </w:p>
              </w:tc>
              <w:tc>
                <w:tcPr>
                  <w:tcW w:w="1673" w:type="pct"/>
                  <w:vMerge w:val="restart"/>
                  <w:shd w:val="clear" w:color="auto" w:fill="auto"/>
                  <w:vAlign w:val="center"/>
                </w:tcPr>
                <w:p>
                  <w:pPr>
                    <w:pStyle w:val="45"/>
                    <w:ind w:left="0" w:firstLine="0"/>
                    <w:rPr>
                      <w:b w:val="0"/>
                      <w:color w:val="auto"/>
                    </w:rPr>
                  </w:pPr>
                  <w:r>
                    <w:rPr>
                      <w:b w:val="0"/>
                      <w:color w:val="auto"/>
                    </w:rPr>
                    <w:t>《火葬场大气污染物排放标准》（GB13801-2015）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vMerge w:val="continue"/>
                  <w:shd w:val="clear" w:color="auto" w:fill="auto"/>
                  <w:vAlign w:val="center"/>
                </w:tcPr>
                <w:p>
                  <w:pPr>
                    <w:pStyle w:val="45"/>
                    <w:ind w:left="0" w:firstLine="0"/>
                    <w:rPr>
                      <w:b w:val="0"/>
                      <w:color w:val="auto"/>
                    </w:rPr>
                  </w:pPr>
                </w:p>
              </w:tc>
              <w:tc>
                <w:tcPr>
                  <w:tcW w:w="532" w:type="pct"/>
                  <w:vMerge w:val="continue"/>
                  <w:vAlign w:val="center"/>
                </w:tcPr>
                <w:p>
                  <w:pPr>
                    <w:pStyle w:val="45"/>
                    <w:ind w:left="0" w:firstLine="0"/>
                    <w:rPr>
                      <w:b w:val="0"/>
                      <w:color w:val="auto"/>
                    </w:rPr>
                  </w:pPr>
                </w:p>
              </w:tc>
              <w:tc>
                <w:tcPr>
                  <w:tcW w:w="812" w:type="pct"/>
                  <w:gridSpan w:val="2"/>
                  <w:shd w:val="clear" w:color="auto" w:fill="auto"/>
                  <w:vAlign w:val="center"/>
                </w:tcPr>
                <w:p>
                  <w:pPr>
                    <w:pStyle w:val="45"/>
                    <w:ind w:left="0" w:firstLine="0"/>
                    <w:rPr>
                      <w:b w:val="0"/>
                      <w:color w:val="auto"/>
                    </w:rPr>
                  </w:pPr>
                  <w:r>
                    <w:rPr>
                      <w:b w:val="0"/>
                      <w:color w:val="auto"/>
                    </w:rPr>
                    <w:t>DA011、DA012</w:t>
                  </w:r>
                </w:p>
              </w:tc>
              <w:tc>
                <w:tcPr>
                  <w:tcW w:w="900" w:type="pct"/>
                  <w:shd w:val="clear" w:color="auto" w:fill="auto"/>
                  <w:vAlign w:val="center"/>
                </w:tcPr>
                <w:p>
                  <w:pPr>
                    <w:pStyle w:val="45"/>
                    <w:ind w:left="0" w:firstLine="0"/>
                    <w:rPr>
                      <w:b w:val="0"/>
                      <w:color w:val="auto"/>
                    </w:rPr>
                  </w:pPr>
                  <w:r>
                    <w:rPr>
                      <w:b w:val="0"/>
                      <w:color w:val="auto"/>
                    </w:rPr>
                    <w:t>烟尘、SO</w:t>
                  </w:r>
                  <w:r>
                    <w:rPr>
                      <w:b w:val="0"/>
                      <w:color w:val="auto"/>
                      <w:vertAlign w:val="subscript"/>
                    </w:rPr>
                    <w:t>2</w:t>
                  </w:r>
                  <w:r>
                    <w:rPr>
                      <w:b w:val="0"/>
                      <w:color w:val="auto"/>
                    </w:rPr>
                    <w:t>、NOx、CO、HCL和二噁英</w:t>
                  </w:r>
                </w:p>
              </w:tc>
              <w:tc>
                <w:tcPr>
                  <w:tcW w:w="631" w:type="pct"/>
                  <w:shd w:val="clear" w:color="auto" w:fill="auto"/>
                  <w:vAlign w:val="center"/>
                </w:tcPr>
                <w:p>
                  <w:pPr>
                    <w:pStyle w:val="45"/>
                    <w:ind w:left="0" w:firstLine="0"/>
                    <w:rPr>
                      <w:b w:val="0"/>
                      <w:color w:val="auto"/>
                    </w:rPr>
                  </w:pPr>
                  <w:r>
                    <w:rPr>
                      <w:b w:val="0"/>
                      <w:color w:val="auto"/>
                    </w:rPr>
                    <w:t>半年一次</w:t>
                  </w:r>
                </w:p>
              </w:tc>
              <w:tc>
                <w:tcPr>
                  <w:tcW w:w="1673" w:type="pct"/>
                  <w:vMerge w:val="continue"/>
                  <w:shd w:val="clear" w:color="auto" w:fill="auto"/>
                  <w:vAlign w:val="center"/>
                </w:tcPr>
                <w:p>
                  <w:pPr>
                    <w:pStyle w:val="45"/>
                    <w:ind w:left="0" w:firstLine="0"/>
                    <w:rPr>
                      <w:b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vMerge w:val="continue"/>
                  <w:shd w:val="clear" w:color="auto" w:fill="auto"/>
                  <w:vAlign w:val="center"/>
                </w:tcPr>
                <w:p>
                  <w:pPr>
                    <w:pStyle w:val="45"/>
                    <w:ind w:left="0" w:firstLine="0"/>
                    <w:rPr>
                      <w:b w:val="0"/>
                      <w:color w:val="auto"/>
                    </w:rPr>
                  </w:pPr>
                </w:p>
              </w:tc>
              <w:tc>
                <w:tcPr>
                  <w:tcW w:w="532" w:type="pct"/>
                  <w:vAlign w:val="center"/>
                </w:tcPr>
                <w:p>
                  <w:pPr>
                    <w:pStyle w:val="45"/>
                    <w:ind w:left="0" w:firstLine="0"/>
                    <w:rPr>
                      <w:b w:val="0"/>
                      <w:color w:val="auto"/>
                    </w:rPr>
                  </w:pPr>
                  <w:r>
                    <w:rPr>
                      <w:rFonts w:hint="eastAsia"/>
                      <w:b w:val="0"/>
                      <w:color w:val="auto"/>
                    </w:rPr>
                    <w:t>无组织</w:t>
                  </w:r>
                </w:p>
              </w:tc>
              <w:tc>
                <w:tcPr>
                  <w:tcW w:w="812" w:type="pct"/>
                  <w:gridSpan w:val="2"/>
                  <w:shd w:val="clear" w:color="auto" w:fill="auto"/>
                  <w:vAlign w:val="center"/>
                </w:tcPr>
                <w:p>
                  <w:pPr>
                    <w:pStyle w:val="45"/>
                    <w:ind w:left="0" w:firstLine="0"/>
                    <w:rPr>
                      <w:b w:val="0"/>
                      <w:color w:val="auto"/>
                    </w:rPr>
                  </w:pPr>
                  <w:r>
                    <w:rPr>
                      <w:rFonts w:hint="eastAsia"/>
                      <w:b w:val="0"/>
                      <w:color w:val="auto"/>
                    </w:rPr>
                    <w:t>厂界</w:t>
                  </w:r>
                </w:p>
              </w:tc>
              <w:tc>
                <w:tcPr>
                  <w:tcW w:w="900" w:type="pct"/>
                  <w:shd w:val="clear" w:color="auto" w:fill="auto"/>
                  <w:vAlign w:val="center"/>
                </w:tcPr>
                <w:p>
                  <w:pPr>
                    <w:pStyle w:val="45"/>
                    <w:ind w:left="0" w:firstLine="0"/>
                    <w:rPr>
                      <w:b w:val="0"/>
                      <w:color w:val="auto"/>
                    </w:rPr>
                  </w:pPr>
                  <w:r>
                    <w:rPr>
                      <w:b w:val="0"/>
                      <w:color w:val="auto"/>
                    </w:rPr>
                    <w:t>氨、硫化氢、臭气浓度</w:t>
                  </w:r>
                </w:p>
              </w:tc>
              <w:tc>
                <w:tcPr>
                  <w:tcW w:w="631" w:type="pct"/>
                  <w:shd w:val="clear" w:color="auto" w:fill="auto"/>
                  <w:vAlign w:val="center"/>
                </w:tcPr>
                <w:p>
                  <w:pPr>
                    <w:pStyle w:val="45"/>
                    <w:ind w:left="0" w:firstLine="0"/>
                    <w:rPr>
                      <w:b w:val="0"/>
                      <w:color w:val="auto"/>
                    </w:rPr>
                  </w:pPr>
                  <w:r>
                    <w:rPr>
                      <w:b w:val="0"/>
                      <w:color w:val="auto"/>
                    </w:rPr>
                    <w:t>每年一次</w:t>
                  </w:r>
                </w:p>
              </w:tc>
              <w:tc>
                <w:tcPr>
                  <w:tcW w:w="1673" w:type="pct"/>
                  <w:shd w:val="clear" w:color="auto" w:fill="auto"/>
                  <w:vAlign w:val="center"/>
                </w:tcPr>
                <w:p>
                  <w:pPr>
                    <w:pStyle w:val="45"/>
                    <w:ind w:left="0" w:firstLine="0"/>
                    <w:rPr>
                      <w:b w:val="0"/>
                      <w:color w:val="auto"/>
                    </w:rPr>
                  </w:pPr>
                  <w:r>
                    <w:rPr>
                      <w:b w:val="0"/>
                      <w:color w:val="auto"/>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shd w:val="clear" w:color="auto" w:fill="auto"/>
                  <w:vAlign w:val="center"/>
                </w:tcPr>
                <w:p>
                  <w:pPr>
                    <w:pStyle w:val="45"/>
                    <w:ind w:left="0" w:firstLine="0"/>
                    <w:rPr>
                      <w:b w:val="0"/>
                      <w:color w:val="auto"/>
                    </w:rPr>
                  </w:pPr>
                  <w:r>
                    <w:rPr>
                      <w:b w:val="0"/>
                      <w:color w:val="auto"/>
                    </w:rPr>
                    <w:t>噪声</w:t>
                  </w:r>
                </w:p>
              </w:tc>
              <w:tc>
                <w:tcPr>
                  <w:tcW w:w="1343" w:type="pct"/>
                  <w:gridSpan w:val="3"/>
                  <w:vAlign w:val="center"/>
                </w:tcPr>
                <w:p>
                  <w:pPr>
                    <w:pStyle w:val="45"/>
                    <w:ind w:left="0" w:firstLine="0"/>
                    <w:rPr>
                      <w:b w:val="0"/>
                      <w:color w:val="auto"/>
                    </w:rPr>
                  </w:pPr>
                  <w:r>
                    <w:rPr>
                      <w:b w:val="0"/>
                      <w:color w:val="auto"/>
                    </w:rPr>
                    <w:t>厂界四周</w:t>
                  </w:r>
                </w:p>
              </w:tc>
              <w:tc>
                <w:tcPr>
                  <w:tcW w:w="900" w:type="pct"/>
                  <w:shd w:val="clear" w:color="auto" w:fill="auto"/>
                  <w:vAlign w:val="center"/>
                </w:tcPr>
                <w:p>
                  <w:pPr>
                    <w:pStyle w:val="45"/>
                    <w:ind w:left="0" w:firstLine="0"/>
                    <w:rPr>
                      <w:b w:val="0"/>
                      <w:color w:val="auto"/>
                    </w:rPr>
                  </w:pPr>
                  <w:r>
                    <w:rPr>
                      <w:b w:val="0"/>
                      <w:color w:val="auto"/>
                    </w:rPr>
                    <w:t>Leq(A)</w:t>
                  </w:r>
                </w:p>
              </w:tc>
              <w:tc>
                <w:tcPr>
                  <w:tcW w:w="631" w:type="pct"/>
                  <w:shd w:val="clear" w:color="auto" w:fill="auto"/>
                  <w:vAlign w:val="center"/>
                </w:tcPr>
                <w:p>
                  <w:pPr>
                    <w:pStyle w:val="45"/>
                    <w:ind w:left="0" w:firstLine="0"/>
                    <w:rPr>
                      <w:b w:val="0"/>
                      <w:color w:val="auto"/>
                    </w:rPr>
                  </w:pPr>
                  <w:r>
                    <w:rPr>
                      <w:b w:val="0"/>
                      <w:color w:val="auto"/>
                    </w:rPr>
                    <w:t>1次/季度</w:t>
                  </w:r>
                </w:p>
              </w:tc>
              <w:tc>
                <w:tcPr>
                  <w:tcW w:w="1673" w:type="pct"/>
                  <w:shd w:val="clear" w:color="auto" w:fill="auto"/>
                  <w:vAlign w:val="center"/>
                </w:tcPr>
                <w:p>
                  <w:pPr>
                    <w:pStyle w:val="45"/>
                    <w:ind w:left="0" w:firstLine="0"/>
                    <w:rPr>
                      <w:b w:val="0"/>
                      <w:color w:val="auto"/>
                    </w:rPr>
                  </w:pPr>
                  <w:r>
                    <w:rPr>
                      <w:b w:val="0"/>
                      <w:color w:val="auto"/>
                    </w:rPr>
                    <w:t>《工业企业厂界环境噪声排放标准》（GB12348-2008）中2类标准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vMerge w:val="restart"/>
                  <w:shd w:val="clear" w:color="auto" w:fill="auto"/>
                  <w:vAlign w:val="center"/>
                </w:tcPr>
                <w:p>
                  <w:pPr>
                    <w:pStyle w:val="45"/>
                    <w:ind w:left="0" w:firstLine="0"/>
                    <w:rPr>
                      <w:b w:val="0"/>
                      <w:color w:val="auto"/>
                    </w:rPr>
                  </w:pPr>
                  <w:r>
                    <w:rPr>
                      <w:b w:val="0"/>
                      <w:color w:val="auto"/>
                    </w:rPr>
                    <w:t>废水</w:t>
                  </w:r>
                </w:p>
              </w:tc>
              <w:tc>
                <w:tcPr>
                  <w:tcW w:w="672" w:type="pct"/>
                  <w:gridSpan w:val="2"/>
                  <w:vAlign w:val="center"/>
                </w:tcPr>
                <w:p>
                  <w:pPr>
                    <w:pStyle w:val="45"/>
                    <w:ind w:left="0" w:firstLine="0"/>
                    <w:rPr>
                      <w:b w:val="0"/>
                      <w:color w:val="auto"/>
                    </w:rPr>
                  </w:pPr>
                  <w:r>
                    <w:rPr>
                      <w:b w:val="0"/>
                      <w:snapToGrid w:val="0"/>
                      <w:color w:val="auto"/>
                      <w:kern w:val="0"/>
                    </w:rPr>
                    <w:t>生活污水</w:t>
                  </w:r>
                </w:p>
              </w:tc>
              <w:tc>
                <w:tcPr>
                  <w:tcW w:w="672" w:type="pct"/>
                  <w:vAlign w:val="center"/>
                </w:tcPr>
                <w:p>
                  <w:pPr>
                    <w:pStyle w:val="45"/>
                    <w:ind w:left="0" w:firstLine="0"/>
                    <w:rPr>
                      <w:b w:val="0"/>
                      <w:color w:val="auto"/>
                    </w:rPr>
                  </w:pPr>
                  <w:r>
                    <w:rPr>
                      <w:b w:val="0"/>
                      <w:snapToGrid w:val="0"/>
                      <w:color w:val="auto"/>
                      <w:kern w:val="0"/>
                    </w:rPr>
                    <w:t>化粪池出口</w:t>
                  </w:r>
                </w:p>
              </w:tc>
              <w:tc>
                <w:tcPr>
                  <w:tcW w:w="900" w:type="pct"/>
                  <w:shd w:val="clear" w:color="auto" w:fill="auto"/>
                  <w:vAlign w:val="center"/>
                </w:tcPr>
                <w:p>
                  <w:pPr>
                    <w:pStyle w:val="45"/>
                    <w:ind w:left="0" w:firstLine="0"/>
                    <w:rPr>
                      <w:b w:val="0"/>
                      <w:color w:val="auto"/>
                    </w:rPr>
                  </w:pPr>
                  <w:r>
                    <w:rPr>
                      <w:b w:val="0"/>
                      <w:bCs/>
                      <w:color w:val="auto"/>
                    </w:rPr>
                    <w:t>pH、COD、BOD</w:t>
                  </w:r>
                  <w:r>
                    <w:rPr>
                      <w:b w:val="0"/>
                      <w:bCs/>
                      <w:color w:val="auto"/>
                      <w:vertAlign w:val="subscript"/>
                    </w:rPr>
                    <w:t>5</w:t>
                  </w:r>
                  <w:r>
                    <w:rPr>
                      <w:b w:val="0"/>
                      <w:bCs/>
                      <w:color w:val="auto"/>
                    </w:rPr>
                    <w:t>、SS、氨氮、总磷、总氮、动植物油</w:t>
                  </w:r>
                </w:p>
              </w:tc>
              <w:tc>
                <w:tcPr>
                  <w:tcW w:w="631" w:type="pct"/>
                  <w:shd w:val="clear" w:color="auto" w:fill="auto"/>
                  <w:vAlign w:val="center"/>
                </w:tcPr>
                <w:p>
                  <w:pPr>
                    <w:pStyle w:val="45"/>
                    <w:ind w:left="0" w:firstLine="0"/>
                    <w:rPr>
                      <w:b w:val="0"/>
                      <w:color w:val="auto"/>
                    </w:rPr>
                  </w:pPr>
                  <w:r>
                    <w:rPr>
                      <w:b w:val="0"/>
                      <w:color w:val="auto"/>
                    </w:rPr>
                    <w:t>1次/季度</w:t>
                  </w:r>
                </w:p>
              </w:tc>
              <w:tc>
                <w:tcPr>
                  <w:tcW w:w="1673" w:type="pct"/>
                  <w:shd w:val="clear" w:color="auto" w:fill="auto"/>
                  <w:vAlign w:val="center"/>
                </w:tcPr>
                <w:p>
                  <w:pPr>
                    <w:pStyle w:val="45"/>
                    <w:ind w:left="0" w:firstLine="0"/>
                    <w:rPr>
                      <w:b w:val="0"/>
                      <w:color w:val="auto"/>
                    </w:rPr>
                  </w:pPr>
                  <w:r>
                    <w:rPr>
                      <w:b w:val="0"/>
                      <w:bCs/>
                      <w:snapToGrid w:val="0"/>
                      <w:color w:val="auto"/>
                      <w:kern w:val="0"/>
                    </w:rPr>
                    <w:t>《污水综合排放标准》（GB8978-1996）中三级标准和《污水排入城镇下水道水质标准》（GB/T31962-2015）B级标准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vMerge w:val="continue"/>
                  <w:shd w:val="clear" w:color="auto" w:fill="auto"/>
                  <w:vAlign w:val="center"/>
                </w:tcPr>
                <w:p>
                  <w:pPr>
                    <w:pStyle w:val="45"/>
                    <w:ind w:left="0" w:firstLine="0"/>
                    <w:rPr>
                      <w:b w:val="0"/>
                      <w:color w:val="auto"/>
                    </w:rPr>
                  </w:pPr>
                </w:p>
              </w:tc>
              <w:tc>
                <w:tcPr>
                  <w:tcW w:w="672" w:type="pct"/>
                  <w:gridSpan w:val="2"/>
                  <w:vAlign w:val="center"/>
                </w:tcPr>
                <w:p>
                  <w:pPr>
                    <w:pStyle w:val="45"/>
                    <w:ind w:left="0" w:firstLine="0"/>
                    <w:rPr>
                      <w:b w:val="0"/>
                      <w:color w:val="auto"/>
                    </w:rPr>
                  </w:pPr>
                  <w:r>
                    <w:rPr>
                      <w:b w:val="0"/>
                      <w:snapToGrid w:val="0"/>
                      <w:color w:val="auto"/>
                      <w:kern w:val="0"/>
                    </w:rPr>
                    <w:t>生产废水</w:t>
                  </w:r>
                </w:p>
              </w:tc>
              <w:tc>
                <w:tcPr>
                  <w:tcW w:w="672" w:type="pct"/>
                  <w:vAlign w:val="center"/>
                </w:tcPr>
                <w:p>
                  <w:pPr>
                    <w:pStyle w:val="45"/>
                    <w:ind w:left="0" w:firstLine="0"/>
                    <w:rPr>
                      <w:b w:val="0"/>
                      <w:color w:val="auto"/>
                    </w:rPr>
                  </w:pPr>
                  <w:r>
                    <w:rPr>
                      <w:b w:val="0"/>
                      <w:snapToGrid w:val="0"/>
                      <w:color w:val="auto"/>
                      <w:kern w:val="0"/>
                    </w:rPr>
                    <w:t>生产废水排放口</w:t>
                  </w:r>
                </w:p>
              </w:tc>
              <w:tc>
                <w:tcPr>
                  <w:tcW w:w="900" w:type="pct"/>
                  <w:shd w:val="clear" w:color="auto" w:fill="auto"/>
                  <w:vAlign w:val="center"/>
                </w:tcPr>
                <w:p>
                  <w:pPr>
                    <w:pStyle w:val="45"/>
                    <w:ind w:left="0" w:firstLine="0"/>
                    <w:rPr>
                      <w:b w:val="0"/>
                      <w:color w:val="auto"/>
                    </w:rPr>
                  </w:pPr>
                  <w:r>
                    <w:rPr>
                      <w:b w:val="0"/>
                      <w:bCs/>
                      <w:color w:val="auto"/>
                    </w:rPr>
                    <w:t>pH、COD、BOD</w:t>
                  </w:r>
                  <w:r>
                    <w:rPr>
                      <w:b w:val="0"/>
                      <w:bCs/>
                      <w:color w:val="auto"/>
                      <w:vertAlign w:val="subscript"/>
                    </w:rPr>
                    <w:t>5</w:t>
                  </w:r>
                  <w:r>
                    <w:rPr>
                      <w:b w:val="0"/>
                      <w:bCs/>
                      <w:color w:val="auto"/>
                    </w:rPr>
                    <w:t>、SS、NH</w:t>
                  </w:r>
                  <w:r>
                    <w:rPr>
                      <w:b w:val="0"/>
                      <w:bCs/>
                      <w:color w:val="auto"/>
                      <w:vertAlign w:val="subscript"/>
                    </w:rPr>
                    <w:t>3</w:t>
                  </w:r>
                  <w:r>
                    <w:rPr>
                      <w:b w:val="0"/>
                      <w:bCs/>
                      <w:color w:val="auto"/>
                    </w:rPr>
                    <w:t>-N、粪大肠菌群数、总余氯</w:t>
                  </w:r>
                </w:p>
              </w:tc>
              <w:tc>
                <w:tcPr>
                  <w:tcW w:w="631" w:type="pct"/>
                  <w:shd w:val="clear" w:color="auto" w:fill="auto"/>
                  <w:vAlign w:val="center"/>
                </w:tcPr>
                <w:p>
                  <w:pPr>
                    <w:pStyle w:val="45"/>
                    <w:ind w:left="0" w:firstLine="0"/>
                    <w:rPr>
                      <w:b w:val="0"/>
                      <w:color w:val="auto"/>
                    </w:rPr>
                  </w:pPr>
                  <w:r>
                    <w:rPr>
                      <w:b w:val="0"/>
                      <w:color w:val="auto"/>
                    </w:rPr>
                    <w:t>1次/季度</w:t>
                  </w:r>
                </w:p>
              </w:tc>
              <w:tc>
                <w:tcPr>
                  <w:tcW w:w="1673" w:type="pct"/>
                  <w:shd w:val="clear" w:color="auto" w:fill="auto"/>
                  <w:vAlign w:val="center"/>
                </w:tcPr>
                <w:p>
                  <w:pPr>
                    <w:pStyle w:val="45"/>
                    <w:ind w:left="0" w:firstLine="0"/>
                    <w:rPr>
                      <w:b w:val="0"/>
                      <w:color w:val="auto"/>
                    </w:rPr>
                  </w:pPr>
                  <w:r>
                    <w:rPr>
                      <w:b w:val="0"/>
                      <w:bCs/>
                      <w:snapToGrid w:val="0"/>
                      <w:color w:val="auto"/>
                      <w:kern w:val="0"/>
                    </w:rPr>
                    <w:t>《医疗机构水污染物排放标准》（GB18466-2005）中表2预处理标准和《污水排入城镇下水道水质标准》（GB/T31962-2015）中B级标准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7"/>
                  <w:shd w:val="clear" w:color="auto" w:fill="auto"/>
                  <w:vAlign w:val="center"/>
                </w:tcPr>
                <w:p>
                  <w:pPr>
                    <w:widowControl/>
                    <w:adjustRightInd w:val="0"/>
                    <w:snapToGrid w:val="0"/>
                  </w:pPr>
                  <w:r>
                    <w:rPr>
                      <w:rFonts w:hint="eastAsia"/>
                      <w:szCs w:val="21"/>
                    </w:rPr>
                    <w:t>注</w:t>
                  </w:r>
                  <w:r>
                    <w:rPr>
                      <w:szCs w:val="21"/>
                    </w:rPr>
                    <w:t>：依据</w:t>
                  </w:r>
                  <w:r>
                    <w:t>《</w:t>
                  </w:r>
                  <w:r>
                    <w:rPr>
                      <w:rFonts w:hint="eastAsia"/>
                    </w:rPr>
                    <w:t>火葬场</w:t>
                  </w:r>
                  <w:r>
                    <w:t>大气污染物排放标准》</w:t>
                  </w:r>
                  <w:r>
                    <w:rPr>
                      <w:rFonts w:hint="eastAsia"/>
                    </w:rPr>
                    <w:t>（GB13801-2015）5大气</w:t>
                  </w:r>
                  <w:r>
                    <w:t>污染物监测要求</w:t>
                  </w:r>
                  <w:r>
                    <w:rPr>
                      <w:rFonts w:hint="eastAsia"/>
                    </w:rPr>
                    <w:t>：</w:t>
                  </w:r>
                </w:p>
                <w:p>
                  <w:pPr>
                    <w:widowControl/>
                    <w:adjustRightInd w:val="0"/>
                    <w:snapToGrid w:val="0"/>
                  </w:pPr>
                  <w:r>
                    <w:rPr>
                      <w:rFonts w:hint="eastAsia"/>
                    </w:rPr>
                    <w:t>（1）火葬场应按照环境监测管理规定和技术规范的要求，设计、建设、维护永久性采样口、采样测试平台和排污口标志。</w:t>
                  </w:r>
                </w:p>
                <w:p>
                  <w:pPr>
                    <w:widowControl/>
                    <w:adjustRightInd w:val="0"/>
                    <w:snapToGrid w:val="0"/>
                  </w:pPr>
                  <w:r>
                    <w:rPr>
                      <w:rFonts w:hint="eastAsia"/>
                    </w:rPr>
                    <w:t>（2）对排放废气的采样，应根据监测污染物的种类，在规定的污染物排放监控位置进行，有废气处理设施的，应在该设施后监测。排气筒中大气污染物的监测采样按</w:t>
                  </w:r>
                  <w:r>
                    <w:t>GB/T 16157</w:t>
                  </w:r>
                  <w:r>
                    <w:rPr>
                      <w:rFonts w:hint="eastAsia"/>
                    </w:rPr>
                    <w:t>、</w:t>
                  </w:r>
                  <w:r>
                    <w:t>HJ/T 373</w:t>
                  </w:r>
                  <w:r>
                    <w:rPr>
                      <w:rFonts w:hint="eastAsia"/>
                    </w:rPr>
                    <w:t>或</w:t>
                  </w:r>
                  <w:r>
                    <w:t xml:space="preserve">HJ/T 397 </w:t>
                  </w:r>
                  <w:r>
                    <w:rPr>
                      <w:rFonts w:hint="eastAsia"/>
                    </w:rPr>
                    <w:t>规定执行，二噁英类采样的采气量可根据现场实际监测对象进行控制，以整具遗体火化过程为单位进行；大气污染物无组织排放的监测按</w:t>
                  </w:r>
                  <w:r>
                    <w:t xml:space="preserve">HJ/T 55 </w:t>
                  </w:r>
                  <w:r>
                    <w:rPr>
                      <w:rFonts w:hint="eastAsia"/>
                    </w:rPr>
                    <w:t>规定执行。</w:t>
                  </w:r>
                </w:p>
                <w:p>
                  <w:pPr>
                    <w:widowControl/>
                    <w:adjustRightInd w:val="0"/>
                    <w:snapToGrid w:val="0"/>
                  </w:pPr>
                  <w:r>
                    <w:rPr>
                      <w:rFonts w:hint="eastAsia"/>
                    </w:rPr>
                    <w:t>（3）对烟气中二噁英类的监测应当每年至少开展</w:t>
                  </w:r>
                  <w:r>
                    <w:t xml:space="preserve">1 </w:t>
                  </w:r>
                  <w:r>
                    <w:rPr>
                      <w:rFonts w:hint="eastAsia"/>
                    </w:rPr>
                    <w:t>次，其采样要求按</w:t>
                  </w:r>
                  <w:r>
                    <w:t xml:space="preserve">HJ 77.2 </w:t>
                  </w:r>
                  <w:r>
                    <w:rPr>
                      <w:rFonts w:hint="eastAsia"/>
                    </w:rPr>
                    <w:t>的有关规定执行，其浓度为连续</w:t>
                  </w:r>
                  <w:r>
                    <w:t xml:space="preserve">3 </w:t>
                  </w:r>
                  <w:r>
                    <w:rPr>
                      <w:rFonts w:hint="eastAsia"/>
                    </w:rPr>
                    <w:t>次测定值的算数平均值。对其他大气污染物排放情况监测的频次、采样时间等要求，按有关环境监测管理规定和技术规范的要求执行。</w:t>
                  </w:r>
                </w:p>
                <w:p>
                  <w:pPr>
                    <w:widowControl/>
                    <w:adjustRightInd w:val="0"/>
                    <w:snapToGrid w:val="0"/>
                  </w:pPr>
                  <w:r>
                    <w:rPr>
                      <w:rFonts w:hint="eastAsia"/>
                    </w:rPr>
                    <w:t>（4）大气污染物浓度的测定采用</w:t>
                  </w:r>
                  <w:r>
                    <w:t>《</w:t>
                  </w:r>
                  <w:r>
                    <w:rPr>
                      <w:rFonts w:hint="eastAsia"/>
                    </w:rPr>
                    <w:t>火葬场</w:t>
                  </w:r>
                  <w:r>
                    <w:t>大气污染物排放标准》</w:t>
                  </w:r>
                  <w:r>
                    <w:rPr>
                      <w:rFonts w:hint="eastAsia"/>
                    </w:rPr>
                    <w:t>（GB13801-2015）表</w:t>
                  </w:r>
                  <w:r>
                    <w:t xml:space="preserve">4 </w:t>
                  </w:r>
                  <w:r>
                    <w:rPr>
                      <w:rFonts w:hint="eastAsia"/>
                    </w:rPr>
                    <w:t>所列的方法标准。</w:t>
                  </w:r>
                </w:p>
                <w:p>
                  <w:pPr>
                    <w:widowControl/>
                    <w:adjustRightInd w:val="0"/>
                    <w:snapToGrid w:val="0"/>
                  </w:pPr>
                  <w:r>
                    <w:rPr>
                      <w:rFonts w:hint="eastAsia"/>
                    </w:rPr>
                    <w:t>（5）火化机运行工况应满足遗体入炉前炉膛温度（含再燃室）在</w:t>
                  </w:r>
                  <w:r>
                    <w:t>850</w:t>
                  </w:r>
                  <w:r>
                    <w:rPr>
                      <w:rFonts w:hint="eastAsia"/>
                    </w:rPr>
                    <w:t>℃以上，火化烟气在再燃室中的停留时间≥</w:t>
                  </w:r>
                  <w:r>
                    <w:t>2s</w:t>
                  </w:r>
                  <w:r>
                    <w:rPr>
                      <w:rFonts w:hint="eastAsia"/>
                    </w:rPr>
                    <w:t>，遗体火化结束后关闭主燃烧器。</w:t>
                  </w:r>
                </w:p>
                <w:p>
                  <w:pPr>
                    <w:pStyle w:val="45"/>
                    <w:ind w:left="0" w:firstLine="0"/>
                    <w:jc w:val="both"/>
                    <w:rPr>
                      <w:b w:val="0"/>
                      <w:bCs/>
                      <w:snapToGrid w:val="0"/>
                      <w:color w:val="auto"/>
                      <w:kern w:val="0"/>
                    </w:rPr>
                  </w:pPr>
                  <w:r>
                    <w:rPr>
                      <w:rFonts w:hint="eastAsia"/>
                      <w:b w:val="0"/>
                      <w:color w:val="auto"/>
                    </w:rPr>
                    <w:t>（6）火化烟气单个样品采样测试应从遗体入炉开始，到遗体火化结束后主燃烧器关闭结束，即对火化全过程进行采样测试。</w:t>
                  </w:r>
                </w:p>
              </w:tc>
            </w:tr>
          </w:tbl>
          <w:p>
            <w:pPr>
              <w:adjustRightInd w:val="0"/>
              <w:snapToGrid w:val="0"/>
              <w:spacing w:line="360" w:lineRule="auto"/>
              <w:ind w:firstLine="480" w:firstLineChars="200"/>
              <w:rPr>
                <w:sz w:val="24"/>
              </w:rPr>
            </w:pPr>
            <w:r>
              <w:rPr>
                <w:sz w:val="24"/>
              </w:rPr>
              <w:t>（7）竣工验收制度及项目竣工验收程序</w:t>
            </w:r>
          </w:p>
          <w:p>
            <w:pPr>
              <w:adjustRightInd w:val="0"/>
              <w:snapToGrid w:val="0"/>
              <w:spacing w:line="360" w:lineRule="auto"/>
              <w:ind w:firstLine="480" w:firstLineChars="200"/>
              <w:rPr>
                <w:sz w:val="24"/>
              </w:rPr>
            </w:pPr>
            <w:r>
              <w:rPr>
                <w:sz w:val="24"/>
              </w:rPr>
              <w:t>建设项目竣工后建设单位应当按照《建设项目竣工环境保护验收暂行办法》（国环规环评〔2017〕4号）中验收的程序和内容，对主体工程及配套建设的环境保护设施进行验收，编制验收报告，建设项目配套建设的环境保护设施经验收合格，方可投入生产或者使用，未经验收或者验收不合格的，不得投入生产或者使用。应按照《建设项目竣工环境保护验收暂行办法》及《建设项目竣工环境保护验收技术指南污染影响类》进行竣工环境保护验收。</w:t>
            </w:r>
          </w:p>
          <w:p>
            <w:pPr>
              <w:topLinePunct/>
              <w:jc w:val="center"/>
              <w:rPr>
                <w:b/>
                <w:sz w:val="24"/>
              </w:rPr>
            </w:pPr>
            <w:r>
              <w:rPr>
                <w:b/>
                <w:sz w:val="24"/>
              </w:rPr>
              <w:t>表5-2  本项目工程环保设施验收清单（建议）</w:t>
            </w:r>
          </w:p>
          <w:tbl>
            <w:tblPr>
              <w:tblStyle w:val="17"/>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50"/>
              <w:gridCol w:w="1500"/>
              <w:gridCol w:w="2115"/>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gridSpan w:val="2"/>
                  <w:vAlign w:val="center"/>
                </w:tcPr>
                <w:p>
                  <w:pPr>
                    <w:topLinePunct/>
                    <w:adjustRightInd w:val="0"/>
                    <w:snapToGrid w:val="0"/>
                    <w:jc w:val="center"/>
                    <w:rPr>
                      <w:b/>
                      <w:bCs/>
                      <w:kern w:val="0"/>
                    </w:rPr>
                  </w:pPr>
                  <w:r>
                    <w:rPr>
                      <w:b/>
                      <w:bCs/>
                      <w:kern w:val="0"/>
                    </w:rPr>
                    <w:t>污染物类型</w:t>
                  </w:r>
                </w:p>
              </w:tc>
              <w:tc>
                <w:tcPr>
                  <w:tcW w:w="1126" w:type="pct"/>
                  <w:vAlign w:val="center"/>
                </w:tcPr>
                <w:p>
                  <w:pPr>
                    <w:topLinePunct/>
                    <w:adjustRightInd w:val="0"/>
                    <w:snapToGrid w:val="0"/>
                    <w:jc w:val="center"/>
                    <w:rPr>
                      <w:b/>
                      <w:bCs/>
                      <w:kern w:val="0"/>
                    </w:rPr>
                  </w:pPr>
                  <w:r>
                    <w:rPr>
                      <w:b/>
                      <w:bCs/>
                      <w:kern w:val="0"/>
                    </w:rPr>
                    <w:t>治理项目</w:t>
                  </w:r>
                </w:p>
              </w:tc>
              <w:tc>
                <w:tcPr>
                  <w:tcW w:w="1588" w:type="pct"/>
                  <w:vAlign w:val="center"/>
                </w:tcPr>
                <w:p>
                  <w:pPr>
                    <w:topLinePunct/>
                    <w:adjustRightInd w:val="0"/>
                    <w:snapToGrid w:val="0"/>
                    <w:jc w:val="center"/>
                    <w:rPr>
                      <w:b/>
                      <w:bCs/>
                      <w:kern w:val="0"/>
                    </w:rPr>
                  </w:pPr>
                  <w:r>
                    <w:rPr>
                      <w:b/>
                      <w:bCs/>
                      <w:kern w:val="0"/>
                    </w:rPr>
                    <w:t>环保设施</w:t>
                  </w:r>
                </w:p>
              </w:tc>
              <w:tc>
                <w:tcPr>
                  <w:tcW w:w="1483" w:type="pct"/>
                  <w:tcMar>
                    <w:left w:w="0" w:type="dxa"/>
                    <w:right w:w="0" w:type="dxa"/>
                  </w:tcMar>
                  <w:vAlign w:val="center"/>
                </w:tcPr>
                <w:p>
                  <w:pPr>
                    <w:pStyle w:val="8"/>
                    <w:topLinePunct/>
                    <w:adjustRightInd w:val="0"/>
                    <w:snapToGrid w:val="0"/>
                    <w:jc w:val="center"/>
                    <w:rPr>
                      <w:rFonts w:ascii="Times New Roman" w:hAnsi="Times New Roman" w:cs="Times New Roman"/>
                      <w:b/>
                      <w:bCs/>
                      <w:kern w:val="0"/>
                    </w:rPr>
                  </w:pPr>
                  <w:r>
                    <w:rPr>
                      <w:rFonts w:ascii="Times New Roman" w:hAnsi="Times New Roman" w:cs="Times New Roman"/>
                      <w:b/>
                      <w:bCs/>
                      <w:kern w:val="0"/>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gridSpan w:val="2"/>
                  <w:vMerge w:val="restart"/>
                  <w:vAlign w:val="center"/>
                </w:tcPr>
                <w:p>
                  <w:pPr>
                    <w:topLinePunct/>
                    <w:adjustRightInd w:val="0"/>
                    <w:snapToGrid w:val="0"/>
                    <w:jc w:val="center"/>
                    <w:rPr>
                      <w:bCs/>
                      <w:kern w:val="0"/>
                    </w:rPr>
                  </w:pPr>
                  <w:r>
                    <w:rPr>
                      <w:bCs/>
                      <w:kern w:val="0"/>
                    </w:rPr>
                    <w:t>废气</w:t>
                  </w:r>
                </w:p>
              </w:tc>
              <w:tc>
                <w:tcPr>
                  <w:tcW w:w="1126" w:type="pct"/>
                  <w:vAlign w:val="center"/>
                </w:tcPr>
                <w:p>
                  <w:pPr>
                    <w:topLinePunct/>
                    <w:adjustRightInd w:val="0"/>
                    <w:snapToGrid w:val="0"/>
                    <w:jc w:val="center"/>
                    <w:rPr>
                      <w:bCs/>
                      <w:szCs w:val="21"/>
                    </w:rPr>
                  </w:pPr>
                  <w:r>
                    <w:rPr>
                      <w:bCs/>
                      <w:szCs w:val="21"/>
                    </w:rPr>
                    <w:t>油烟</w:t>
                  </w:r>
                </w:p>
              </w:tc>
              <w:tc>
                <w:tcPr>
                  <w:tcW w:w="1588" w:type="pct"/>
                  <w:vAlign w:val="center"/>
                </w:tcPr>
                <w:p>
                  <w:pPr>
                    <w:pStyle w:val="52"/>
                    <w:tabs>
                      <w:tab w:val="left" w:pos="8607"/>
                    </w:tabs>
                    <w:topLinePunct/>
                    <w:adjustRightInd w:val="0"/>
                    <w:snapToGrid w:val="0"/>
                    <w:spacing w:after="0"/>
                    <w:ind w:left="0" w:leftChars="0" w:firstLine="0" w:firstLineChars="0"/>
                    <w:jc w:val="center"/>
                    <w:rPr>
                      <w:bCs/>
                      <w:szCs w:val="21"/>
                    </w:rPr>
                  </w:pPr>
                  <w:r>
                    <w:rPr>
                      <w:bCs/>
                      <w:szCs w:val="21"/>
                    </w:rPr>
                    <w:t>油烟净化器</w:t>
                  </w:r>
                </w:p>
              </w:tc>
              <w:tc>
                <w:tcPr>
                  <w:tcW w:w="1483" w:type="pct"/>
                  <w:vAlign w:val="center"/>
                </w:tcPr>
                <w:p>
                  <w:pPr>
                    <w:widowControl/>
                    <w:topLinePunct/>
                    <w:adjustRightInd w:val="0"/>
                    <w:snapToGrid w:val="0"/>
                    <w:jc w:val="center"/>
                    <w:textAlignment w:val="center"/>
                    <w:rPr>
                      <w:bCs/>
                      <w:kern w:val="0"/>
                    </w:rPr>
                  </w:pPr>
                  <w:r>
                    <w:rPr>
                      <w:bCs/>
                      <w:kern w:val="0"/>
                    </w:rPr>
                    <w:t>《饮食业油烟排放标准（试行）》（GB18483-2001）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gridSpan w:val="2"/>
                  <w:vMerge w:val="continue"/>
                  <w:vAlign w:val="center"/>
                </w:tcPr>
                <w:p>
                  <w:pPr>
                    <w:topLinePunct/>
                    <w:adjustRightInd w:val="0"/>
                    <w:snapToGrid w:val="0"/>
                    <w:jc w:val="center"/>
                    <w:rPr>
                      <w:bCs/>
                      <w:kern w:val="0"/>
                    </w:rPr>
                  </w:pPr>
                </w:p>
              </w:tc>
              <w:tc>
                <w:tcPr>
                  <w:tcW w:w="1126" w:type="pct"/>
                  <w:vAlign w:val="center"/>
                </w:tcPr>
                <w:p>
                  <w:pPr>
                    <w:topLinePunct/>
                    <w:adjustRightInd w:val="0"/>
                    <w:snapToGrid w:val="0"/>
                    <w:jc w:val="center"/>
                    <w:rPr>
                      <w:szCs w:val="21"/>
                    </w:rPr>
                  </w:pPr>
                  <w:r>
                    <w:rPr>
                      <w:szCs w:val="21"/>
                    </w:rPr>
                    <w:t>火化炉、焚烧炉、祭品炉烟气</w:t>
                  </w:r>
                </w:p>
              </w:tc>
              <w:tc>
                <w:tcPr>
                  <w:tcW w:w="1588" w:type="pct"/>
                  <w:vAlign w:val="center"/>
                </w:tcPr>
                <w:p>
                  <w:pPr>
                    <w:topLinePunct/>
                    <w:jc w:val="center"/>
                    <w:rPr>
                      <w:szCs w:val="21"/>
                    </w:rPr>
                  </w:pPr>
                  <w:r>
                    <w:rPr>
                      <w:kern w:val="0"/>
                    </w:rPr>
                    <w:t>12套尾气经“</w:t>
                  </w:r>
                  <w:r>
                    <w:rPr>
                      <w:bCs/>
                    </w:rPr>
                    <w:t>二燃室—初级除尘—热交换器—旋风除尘器—除酸除硫装置—布袋除尘器—活性炭吸附器</w:t>
                  </w:r>
                  <w:r>
                    <w:rPr>
                      <w:kern w:val="0"/>
                    </w:rPr>
                    <w:t>”+12根21m排气筒</w:t>
                  </w:r>
                </w:p>
              </w:tc>
              <w:tc>
                <w:tcPr>
                  <w:tcW w:w="1483" w:type="pct"/>
                  <w:vAlign w:val="center"/>
                </w:tcPr>
                <w:p>
                  <w:pPr>
                    <w:widowControl/>
                    <w:topLinePunct/>
                    <w:adjustRightInd w:val="0"/>
                    <w:snapToGrid w:val="0"/>
                    <w:jc w:val="center"/>
                    <w:textAlignment w:val="center"/>
                    <w:rPr>
                      <w:bCs/>
                      <w:kern w:val="0"/>
                    </w:rPr>
                  </w:pPr>
                  <w:r>
                    <w:rPr>
                      <w:szCs w:val="21"/>
                    </w:rPr>
                    <w:t>《火葬场大气污染物排放标准》（GB13801-2015）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gridSpan w:val="2"/>
                  <w:vMerge w:val="restart"/>
                  <w:vAlign w:val="center"/>
                </w:tcPr>
                <w:p>
                  <w:pPr>
                    <w:topLinePunct/>
                    <w:adjustRightInd w:val="0"/>
                    <w:snapToGrid w:val="0"/>
                    <w:jc w:val="center"/>
                    <w:rPr>
                      <w:bCs/>
                      <w:kern w:val="0"/>
                    </w:rPr>
                  </w:pPr>
                  <w:r>
                    <w:rPr>
                      <w:bCs/>
                      <w:kern w:val="0"/>
                    </w:rPr>
                    <w:t>废水</w:t>
                  </w:r>
                </w:p>
              </w:tc>
              <w:tc>
                <w:tcPr>
                  <w:tcW w:w="1126" w:type="pct"/>
                  <w:vAlign w:val="center"/>
                </w:tcPr>
                <w:p>
                  <w:pPr>
                    <w:topLinePunct/>
                    <w:adjustRightInd w:val="0"/>
                    <w:snapToGrid w:val="0"/>
                    <w:jc w:val="center"/>
                    <w:rPr>
                      <w:bCs/>
                      <w:szCs w:val="21"/>
                    </w:rPr>
                  </w:pPr>
                  <w:r>
                    <w:rPr>
                      <w:szCs w:val="21"/>
                    </w:rPr>
                    <w:t>生活污水</w:t>
                  </w:r>
                </w:p>
              </w:tc>
              <w:tc>
                <w:tcPr>
                  <w:tcW w:w="1588" w:type="pct"/>
                  <w:vAlign w:val="center"/>
                </w:tcPr>
                <w:p>
                  <w:pPr>
                    <w:topLinePunct/>
                    <w:adjustRightInd w:val="0"/>
                    <w:snapToGrid w:val="0"/>
                    <w:jc w:val="center"/>
                    <w:rPr>
                      <w:bCs/>
                      <w:szCs w:val="21"/>
                    </w:rPr>
                  </w:pPr>
                  <w:r>
                    <w:rPr>
                      <w:bCs/>
                      <w:szCs w:val="21"/>
                    </w:rPr>
                    <w:t>隔油池（食堂废水）+化粪池（100m</w:t>
                  </w:r>
                  <w:r>
                    <w:rPr>
                      <w:bCs/>
                      <w:szCs w:val="21"/>
                      <w:vertAlign w:val="superscript"/>
                    </w:rPr>
                    <w:t>3</w:t>
                  </w:r>
                  <w:r>
                    <w:rPr>
                      <w:bCs/>
                      <w:szCs w:val="21"/>
                    </w:rPr>
                    <w:t>），定期拉运至周至县污水处理厂</w:t>
                  </w:r>
                </w:p>
              </w:tc>
              <w:tc>
                <w:tcPr>
                  <w:tcW w:w="1483" w:type="pct"/>
                  <w:vAlign w:val="center"/>
                </w:tcPr>
                <w:p>
                  <w:pPr>
                    <w:widowControl/>
                    <w:topLinePunct/>
                    <w:adjustRightInd w:val="0"/>
                    <w:snapToGrid w:val="0"/>
                    <w:jc w:val="center"/>
                    <w:textAlignment w:val="center"/>
                    <w:rPr>
                      <w:bCs/>
                      <w:kern w:val="0"/>
                    </w:rPr>
                  </w:pPr>
                  <w:r>
                    <w:rPr>
                      <w:bCs/>
                      <w:snapToGrid w:val="0"/>
                      <w:kern w:val="0"/>
                    </w:rPr>
                    <w:t>《污水综合排放标准》（GB8978-1996）中三级标准和《污水排入城镇下水道水质标准》（GB/T31962-2015）B级标准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gridSpan w:val="2"/>
                  <w:vMerge w:val="continue"/>
                  <w:vAlign w:val="center"/>
                </w:tcPr>
                <w:p>
                  <w:pPr>
                    <w:topLinePunct/>
                    <w:adjustRightInd w:val="0"/>
                    <w:snapToGrid w:val="0"/>
                    <w:jc w:val="center"/>
                    <w:rPr>
                      <w:bCs/>
                      <w:kern w:val="0"/>
                    </w:rPr>
                  </w:pPr>
                </w:p>
              </w:tc>
              <w:tc>
                <w:tcPr>
                  <w:tcW w:w="1126" w:type="pct"/>
                  <w:vAlign w:val="center"/>
                </w:tcPr>
                <w:p>
                  <w:pPr>
                    <w:topLinePunct/>
                    <w:adjustRightInd w:val="0"/>
                    <w:snapToGrid w:val="0"/>
                    <w:jc w:val="center"/>
                    <w:rPr>
                      <w:szCs w:val="21"/>
                    </w:rPr>
                  </w:pPr>
                  <w:r>
                    <w:rPr>
                      <w:szCs w:val="21"/>
                    </w:rPr>
                    <w:t>生产废水</w:t>
                  </w:r>
                </w:p>
              </w:tc>
              <w:tc>
                <w:tcPr>
                  <w:tcW w:w="1588" w:type="pct"/>
                  <w:vAlign w:val="center"/>
                </w:tcPr>
                <w:p>
                  <w:pPr>
                    <w:topLinePunct/>
                    <w:adjustRightInd w:val="0"/>
                    <w:snapToGrid w:val="0"/>
                    <w:jc w:val="center"/>
                    <w:rPr>
                      <w:bCs/>
                      <w:szCs w:val="21"/>
                    </w:rPr>
                  </w:pPr>
                  <w:r>
                    <w:rPr>
                      <w:szCs w:val="21"/>
                    </w:rPr>
                    <w:t>拟建一个8</w:t>
                  </w:r>
                  <w:r>
                    <w:rPr>
                      <w:rFonts w:eastAsia="Times New Roman"/>
                      <w:szCs w:val="21"/>
                    </w:rPr>
                    <w:t>m</w:t>
                  </w:r>
                  <w:r>
                    <w:rPr>
                      <w:rFonts w:eastAsia="Times New Roman"/>
                      <w:szCs w:val="21"/>
                      <w:vertAlign w:val="superscript"/>
                    </w:rPr>
                    <w:t>3</w:t>
                  </w:r>
                  <w:r>
                    <w:rPr>
                      <w:szCs w:val="21"/>
                    </w:rPr>
                    <w:t>生产废水处理系统（采用“混凝沉淀+消毒”）对生产废水进行预处理后，定期拉运至周至县污水处理厂处理。</w:t>
                  </w:r>
                </w:p>
              </w:tc>
              <w:tc>
                <w:tcPr>
                  <w:tcW w:w="1483" w:type="pct"/>
                  <w:vAlign w:val="center"/>
                </w:tcPr>
                <w:p>
                  <w:pPr>
                    <w:widowControl/>
                    <w:topLinePunct/>
                    <w:adjustRightInd w:val="0"/>
                    <w:snapToGrid w:val="0"/>
                    <w:jc w:val="center"/>
                    <w:textAlignment w:val="center"/>
                    <w:rPr>
                      <w:bCs/>
                      <w:kern w:val="0"/>
                    </w:rPr>
                  </w:pPr>
                  <w:r>
                    <w:rPr>
                      <w:bCs/>
                      <w:snapToGrid w:val="0"/>
                      <w:kern w:val="0"/>
                    </w:rPr>
                    <w:t>《医疗机构水污染物排放标准》（GB18466-2005）中表2预处理标准和《污水排入城镇下水道水质标准》（GB/T31962-2015）中B级标准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restart"/>
                  <w:vAlign w:val="center"/>
                </w:tcPr>
                <w:p>
                  <w:pPr>
                    <w:topLinePunct/>
                    <w:adjustRightInd w:val="0"/>
                    <w:snapToGrid w:val="0"/>
                    <w:jc w:val="center"/>
                    <w:outlineLvl w:val="1"/>
                    <w:rPr>
                      <w:rStyle w:val="22"/>
                      <w:bCs/>
                      <w:kern w:val="0"/>
                    </w:rPr>
                  </w:pPr>
                  <w:r>
                    <w:rPr>
                      <w:rStyle w:val="22"/>
                      <w:bCs/>
                      <w:kern w:val="0"/>
                    </w:rPr>
                    <w:t>固废</w:t>
                  </w:r>
                </w:p>
              </w:tc>
              <w:tc>
                <w:tcPr>
                  <w:tcW w:w="488" w:type="pct"/>
                  <w:vMerge w:val="restart"/>
                  <w:vAlign w:val="center"/>
                </w:tcPr>
                <w:p>
                  <w:pPr>
                    <w:topLinePunct/>
                    <w:adjustRightInd w:val="0"/>
                    <w:snapToGrid w:val="0"/>
                    <w:jc w:val="center"/>
                    <w:outlineLvl w:val="1"/>
                    <w:rPr>
                      <w:rStyle w:val="22"/>
                      <w:bCs/>
                      <w:kern w:val="0"/>
                    </w:rPr>
                  </w:pPr>
                  <w:r>
                    <w:rPr>
                      <w:rStyle w:val="22"/>
                      <w:bCs/>
                      <w:kern w:val="0"/>
                    </w:rPr>
                    <w:t>一般固体废物</w:t>
                  </w:r>
                </w:p>
              </w:tc>
              <w:tc>
                <w:tcPr>
                  <w:tcW w:w="1126" w:type="pct"/>
                  <w:vAlign w:val="center"/>
                </w:tcPr>
                <w:p>
                  <w:pPr>
                    <w:topLinePunct/>
                    <w:adjustRightInd w:val="0"/>
                    <w:snapToGrid w:val="0"/>
                    <w:jc w:val="center"/>
                  </w:pPr>
                  <w:r>
                    <w:t>生活垃圾</w:t>
                  </w:r>
                </w:p>
              </w:tc>
              <w:tc>
                <w:tcPr>
                  <w:tcW w:w="1588" w:type="pct"/>
                  <w:vAlign w:val="center"/>
                </w:tcPr>
                <w:p>
                  <w:pPr>
                    <w:topLinePunct/>
                    <w:adjustRightInd w:val="0"/>
                    <w:snapToGrid w:val="0"/>
                    <w:jc w:val="center"/>
                  </w:pPr>
                  <w:r>
                    <w:t>设置垃圾桶若干，定期交由环卫部门处理</w:t>
                  </w:r>
                </w:p>
              </w:tc>
              <w:tc>
                <w:tcPr>
                  <w:tcW w:w="1483" w:type="pct"/>
                  <w:vMerge w:val="restart"/>
                  <w:vAlign w:val="center"/>
                </w:tcPr>
                <w:p>
                  <w:pPr>
                    <w:topLinePunct/>
                    <w:adjustRightInd w:val="0"/>
                    <w:snapToGrid w:val="0"/>
                    <w:jc w:val="center"/>
                    <w:outlineLvl w:val="1"/>
                    <w:rPr>
                      <w:rStyle w:val="22"/>
                      <w:bCs/>
                      <w:kern w:val="0"/>
                    </w:rPr>
                  </w:pPr>
                  <w:r>
                    <w:rPr>
                      <w:bCs/>
                      <w:kern w:val="0"/>
                    </w:rPr>
                    <w:t>处理处置率100%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continue"/>
                  <w:vAlign w:val="center"/>
                </w:tcPr>
                <w:p>
                  <w:pPr>
                    <w:topLinePunct/>
                    <w:adjustRightInd w:val="0"/>
                    <w:snapToGrid w:val="0"/>
                    <w:jc w:val="center"/>
                    <w:outlineLvl w:val="1"/>
                    <w:rPr>
                      <w:rStyle w:val="22"/>
                      <w:bCs/>
                      <w:kern w:val="0"/>
                    </w:rPr>
                  </w:pPr>
                </w:p>
              </w:tc>
              <w:tc>
                <w:tcPr>
                  <w:tcW w:w="488" w:type="pct"/>
                  <w:vMerge w:val="continue"/>
                  <w:vAlign w:val="center"/>
                </w:tcPr>
                <w:p>
                  <w:pPr>
                    <w:topLinePunct/>
                    <w:adjustRightInd w:val="0"/>
                    <w:snapToGrid w:val="0"/>
                    <w:jc w:val="center"/>
                    <w:outlineLvl w:val="1"/>
                    <w:rPr>
                      <w:rStyle w:val="22"/>
                      <w:bCs/>
                      <w:kern w:val="0"/>
                    </w:rPr>
                  </w:pPr>
                </w:p>
              </w:tc>
              <w:tc>
                <w:tcPr>
                  <w:tcW w:w="1126" w:type="pct"/>
                  <w:vAlign w:val="center"/>
                </w:tcPr>
                <w:p>
                  <w:pPr>
                    <w:topLinePunct/>
                    <w:adjustRightInd w:val="0"/>
                    <w:snapToGrid w:val="0"/>
                    <w:jc w:val="center"/>
                  </w:pPr>
                  <w:r>
                    <w:t>餐厨垃圾</w:t>
                  </w:r>
                </w:p>
              </w:tc>
              <w:tc>
                <w:tcPr>
                  <w:tcW w:w="1588" w:type="pct"/>
                  <w:vAlign w:val="center"/>
                </w:tcPr>
                <w:p>
                  <w:pPr>
                    <w:topLinePunct/>
                    <w:adjustRightInd w:val="0"/>
                    <w:snapToGrid w:val="0"/>
                    <w:jc w:val="center"/>
                  </w:pPr>
                  <w:r>
                    <w:t>交由有相关资质的单位处理</w:t>
                  </w:r>
                </w:p>
              </w:tc>
              <w:tc>
                <w:tcPr>
                  <w:tcW w:w="1483" w:type="pct"/>
                  <w:vMerge w:val="continue"/>
                  <w:vAlign w:val="center"/>
                </w:tcPr>
                <w:p>
                  <w:pPr>
                    <w:topLinePunct/>
                    <w:adjustRightInd w:val="0"/>
                    <w:snapToGrid w:val="0"/>
                    <w:jc w:val="center"/>
                    <w:outlineLvl w:val="1"/>
                    <w:rPr>
                      <w:rStyle w:val="22"/>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continue"/>
                  <w:vAlign w:val="center"/>
                </w:tcPr>
                <w:p>
                  <w:pPr>
                    <w:topLinePunct/>
                    <w:adjustRightInd w:val="0"/>
                    <w:snapToGrid w:val="0"/>
                    <w:jc w:val="center"/>
                    <w:outlineLvl w:val="1"/>
                    <w:rPr>
                      <w:rStyle w:val="22"/>
                      <w:bCs/>
                      <w:kern w:val="0"/>
                    </w:rPr>
                  </w:pPr>
                </w:p>
              </w:tc>
              <w:tc>
                <w:tcPr>
                  <w:tcW w:w="488" w:type="pct"/>
                  <w:vMerge w:val="continue"/>
                  <w:vAlign w:val="center"/>
                </w:tcPr>
                <w:p>
                  <w:pPr>
                    <w:topLinePunct/>
                    <w:adjustRightInd w:val="0"/>
                    <w:snapToGrid w:val="0"/>
                    <w:jc w:val="center"/>
                    <w:outlineLvl w:val="1"/>
                    <w:rPr>
                      <w:rStyle w:val="22"/>
                      <w:bCs/>
                      <w:kern w:val="0"/>
                    </w:rPr>
                  </w:pPr>
                </w:p>
              </w:tc>
              <w:tc>
                <w:tcPr>
                  <w:tcW w:w="1126" w:type="pct"/>
                  <w:vAlign w:val="center"/>
                </w:tcPr>
                <w:p>
                  <w:pPr>
                    <w:topLinePunct/>
                    <w:adjustRightInd w:val="0"/>
                    <w:snapToGrid w:val="0"/>
                    <w:jc w:val="center"/>
                  </w:pPr>
                  <w:r>
                    <w:rPr>
                      <w:szCs w:val="21"/>
                    </w:rPr>
                    <w:t>遗物焚烧炉和祭祀炉焚烧灰渣</w:t>
                  </w:r>
                </w:p>
              </w:tc>
              <w:tc>
                <w:tcPr>
                  <w:tcW w:w="1588" w:type="pct"/>
                  <w:vAlign w:val="center"/>
                </w:tcPr>
                <w:p>
                  <w:pPr>
                    <w:topLinePunct/>
                    <w:adjustRightInd w:val="0"/>
                    <w:snapToGrid w:val="0"/>
                    <w:jc w:val="center"/>
                  </w:pPr>
                  <w:r>
                    <w:rPr>
                      <w:szCs w:val="21"/>
                    </w:rPr>
                    <w:t>环卫部门清运</w:t>
                  </w:r>
                </w:p>
              </w:tc>
              <w:tc>
                <w:tcPr>
                  <w:tcW w:w="1483" w:type="pct"/>
                  <w:vMerge w:val="continue"/>
                  <w:vAlign w:val="center"/>
                </w:tcPr>
                <w:p>
                  <w:pPr>
                    <w:topLinePunct/>
                    <w:adjustRightInd w:val="0"/>
                    <w:snapToGrid w:val="0"/>
                    <w:jc w:val="center"/>
                    <w:outlineLvl w:val="1"/>
                    <w:rPr>
                      <w:rStyle w:val="22"/>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5" w:type="pct"/>
                  <w:vMerge w:val="continue"/>
                  <w:vAlign w:val="center"/>
                </w:tcPr>
                <w:p>
                  <w:pPr>
                    <w:topLinePunct/>
                    <w:adjustRightInd w:val="0"/>
                    <w:snapToGrid w:val="0"/>
                    <w:jc w:val="center"/>
                    <w:outlineLvl w:val="1"/>
                    <w:rPr>
                      <w:rStyle w:val="22"/>
                      <w:bCs/>
                      <w:kern w:val="0"/>
                    </w:rPr>
                  </w:pPr>
                </w:p>
              </w:tc>
              <w:tc>
                <w:tcPr>
                  <w:tcW w:w="488" w:type="pct"/>
                  <w:vMerge w:val="continue"/>
                  <w:vAlign w:val="center"/>
                </w:tcPr>
                <w:p>
                  <w:pPr>
                    <w:topLinePunct/>
                    <w:adjustRightInd w:val="0"/>
                    <w:snapToGrid w:val="0"/>
                    <w:jc w:val="center"/>
                    <w:outlineLvl w:val="1"/>
                    <w:rPr>
                      <w:rStyle w:val="22"/>
                      <w:bCs/>
                      <w:kern w:val="0"/>
                    </w:rPr>
                  </w:pPr>
                </w:p>
              </w:tc>
              <w:tc>
                <w:tcPr>
                  <w:tcW w:w="1126" w:type="pct"/>
                  <w:vAlign w:val="center"/>
                </w:tcPr>
                <w:p>
                  <w:pPr>
                    <w:topLinePunct/>
                    <w:adjustRightInd w:val="0"/>
                    <w:snapToGrid w:val="0"/>
                    <w:jc w:val="center"/>
                  </w:pPr>
                  <w:r>
                    <w:t>污泥</w:t>
                  </w:r>
                </w:p>
              </w:tc>
              <w:tc>
                <w:tcPr>
                  <w:tcW w:w="1588" w:type="pct"/>
                  <w:vAlign w:val="center"/>
                </w:tcPr>
                <w:p>
                  <w:pPr>
                    <w:topLinePunct/>
                    <w:adjustRightInd w:val="0"/>
                    <w:snapToGrid w:val="0"/>
                    <w:jc w:val="center"/>
                    <w:rPr>
                      <w:szCs w:val="21"/>
                    </w:rPr>
                  </w:pPr>
                  <w:r>
                    <w:rPr>
                      <w:rFonts w:hint="eastAsia"/>
                      <w:szCs w:val="21"/>
                    </w:rPr>
                    <w:t>消毒后委托</w:t>
                  </w:r>
                  <w:r>
                    <w:rPr>
                      <w:szCs w:val="21"/>
                    </w:rPr>
                    <w:t>有资质</w:t>
                  </w:r>
                  <w:r>
                    <w:rPr>
                      <w:rFonts w:hint="eastAsia"/>
                      <w:szCs w:val="21"/>
                    </w:rPr>
                    <w:t>单位</w:t>
                  </w:r>
                  <w:r>
                    <w:rPr>
                      <w:szCs w:val="21"/>
                    </w:rPr>
                    <w:t>处置</w:t>
                  </w:r>
                </w:p>
              </w:tc>
              <w:tc>
                <w:tcPr>
                  <w:tcW w:w="1483" w:type="pct"/>
                  <w:vMerge w:val="continue"/>
                  <w:vAlign w:val="center"/>
                </w:tcPr>
                <w:p>
                  <w:pPr>
                    <w:topLinePunct/>
                    <w:adjustRightInd w:val="0"/>
                    <w:snapToGrid w:val="0"/>
                    <w:jc w:val="center"/>
                    <w:outlineLvl w:val="1"/>
                    <w:rPr>
                      <w:rStyle w:val="22"/>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5" w:type="pct"/>
                  <w:vMerge w:val="continue"/>
                  <w:vAlign w:val="center"/>
                </w:tcPr>
                <w:p>
                  <w:pPr>
                    <w:topLinePunct/>
                    <w:adjustRightInd w:val="0"/>
                    <w:snapToGrid w:val="0"/>
                    <w:jc w:val="center"/>
                    <w:outlineLvl w:val="1"/>
                    <w:rPr>
                      <w:rStyle w:val="22"/>
                      <w:bCs/>
                      <w:kern w:val="0"/>
                    </w:rPr>
                  </w:pPr>
                </w:p>
              </w:tc>
              <w:tc>
                <w:tcPr>
                  <w:tcW w:w="488" w:type="pct"/>
                  <w:vAlign w:val="center"/>
                </w:tcPr>
                <w:p>
                  <w:pPr>
                    <w:topLinePunct/>
                    <w:adjustRightInd w:val="0"/>
                    <w:snapToGrid w:val="0"/>
                    <w:jc w:val="center"/>
                    <w:outlineLvl w:val="1"/>
                    <w:rPr>
                      <w:rStyle w:val="22"/>
                      <w:bCs/>
                      <w:kern w:val="0"/>
                    </w:rPr>
                  </w:pPr>
                  <w:r>
                    <w:rPr>
                      <w:rStyle w:val="22"/>
                      <w:bCs/>
                      <w:kern w:val="0"/>
                    </w:rPr>
                    <w:t>危废</w:t>
                  </w:r>
                </w:p>
              </w:tc>
              <w:tc>
                <w:tcPr>
                  <w:tcW w:w="1126" w:type="pct"/>
                  <w:vAlign w:val="center"/>
                </w:tcPr>
                <w:p>
                  <w:pPr>
                    <w:topLinePunct/>
                    <w:adjustRightInd w:val="0"/>
                    <w:snapToGrid w:val="0"/>
                    <w:jc w:val="center"/>
                  </w:pPr>
                  <w:r>
                    <w:t>除尘器灰渣、废活性炭、解剖废物</w:t>
                  </w:r>
                </w:p>
              </w:tc>
              <w:tc>
                <w:tcPr>
                  <w:tcW w:w="1588" w:type="pct"/>
                  <w:vAlign w:val="center"/>
                </w:tcPr>
                <w:p>
                  <w:pPr>
                    <w:topLinePunct/>
                    <w:adjustRightInd w:val="0"/>
                    <w:snapToGrid w:val="0"/>
                    <w:jc w:val="center"/>
                    <w:rPr>
                      <w:szCs w:val="21"/>
                    </w:rPr>
                  </w:pPr>
                  <w:r>
                    <w:rPr>
                      <w:szCs w:val="21"/>
                    </w:rPr>
                    <w:t>暂存危废暂存间交由有资质的单位处理</w:t>
                  </w:r>
                </w:p>
              </w:tc>
              <w:tc>
                <w:tcPr>
                  <w:tcW w:w="1483" w:type="pct"/>
                  <w:vMerge w:val="continue"/>
                  <w:vAlign w:val="center"/>
                </w:tcPr>
                <w:p>
                  <w:pPr>
                    <w:topLinePunct/>
                    <w:adjustRightInd w:val="0"/>
                    <w:snapToGrid w:val="0"/>
                    <w:jc w:val="center"/>
                    <w:outlineLvl w:val="1"/>
                    <w:rPr>
                      <w:rStyle w:val="22"/>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03" w:type="pct"/>
                  <w:gridSpan w:val="2"/>
                  <w:vAlign w:val="center"/>
                </w:tcPr>
                <w:p>
                  <w:pPr>
                    <w:topLinePunct/>
                    <w:adjustRightInd w:val="0"/>
                    <w:snapToGrid w:val="0"/>
                    <w:jc w:val="center"/>
                    <w:rPr>
                      <w:bCs/>
                      <w:kern w:val="0"/>
                    </w:rPr>
                  </w:pPr>
                  <w:r>
                    <w:rPr>
                      <w:bCs/>
                      <w:kern w:val="0"/>
                    </w:rPr>
                    <w:t>噪声</w:t>
                  </w:r>
                </w:p>
              </w:tc>
              <w:tc>
                <w:tcPr>
                  <w:tcW w:w="1126" w:type="pct"/>
                  <w:vAlign w:val="center"/>
                </w:tcPr>
                <w:p>
                  <w:pPr>
                    <w:topLinePunct/>
                    <w:adjustRightInd w:val="0"/>
                    <w:snapToGrid w:val="0"/>
                    <w:jc w:val="center"/>
                    <w:rPr>
                      <w:bCs/>
                      <w:kern w:val="0"/>
                    </w:rPr>
                  </w:pPr>
                  <w:r>
                    <w:rPr>
                      <w:bCs/>
                      <w:kern w:val="0"/>
                    </w:rPr>
                    <w:t>设备噪声、车辆噪声、悼念噪声</w:t>
                  </w:r>
                </w:p>
              </w:tc>
              <w:tc>
                <w:tcPr>
                  <w:tcW w:w="1588" w:type="pct"/>
                  <w:vAlign w:val="center"/>
                </w:tcPr>
                <w:p>
                  <w:pPr>
                    <w:topLinePunct/>
                    <w:adjustRightInd w:val="0"/>
                    <w:snapToGrid w:val="0"/>
                    <w:jc w:val="center"/>
                    <w:rPr>
                      <w:bCs/>
                      <w:kern w:val="0"/>
                    </w:rPr>
                  </w:pPr>
                  <w:r>
                    <w:rPr>
                      <w:bCs/>
                      <w:kern w:val="0"/>
                    </w:rPr>
                    <w:t>低噪设备，基础减震，建筑物隔声，炉体设备自带消声器</w:t>
                  </w:r>
                </w:p>
              </w:tc>
              <w:tc>
                <w:tcPr>
                  <w:tcW w:w="1483" w:type="pct"/>
                  <w:vAlign w:val="center"/>
                </w:tcPr>
                <w:p>
                  <w:pPr>
                    <w:widowControl/>
                    <w:topLinePunct/>
                    <w:adjustRightInd w:val="0"/>
                    <w:snapToGrid w:val="0"/>
                    <w:jc w:val="center"/>
                    <w:textAlignment w:val="center"/>
                    <w:rPr>
                      <w:bCs/>
                      <w:kern w:val="0"/>
                    </w:rPr>
                  </w:pPr>
                  <w:r>
                    <w:rPr>
                      <w:bCs/>
                      <w:kern w:val="0"/>
                    </w:rPr>
                    <w:t>《工业企业厂界噪声排放标准》（GB12348-2008）2类标准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03" w:type="pct"/>
                  <w:gridSpan w:val="2"/>
                  <w:vAlign w:val="center"/>
                </w:tcPr>
                <w:p>
                  <w:pPr>
                    <w:topLinePunct/>
                    <w:adjustRightInd w:val="0"/>
                    <w:snapToGrid w:val="0"/>
                    <w:jc w:val="center"/>
                    <w:rPr>
                      <w:bCs/>
                      <w:kern w:val="0"/>
                    </w:rPr>
                  </w:pPr>
                  <w:r>
                    <w:rPr>
                      <w:bCs/>
                      <w:kern w:val="0"/>
                    </w:rPr>
                    <w:t>绿化</w:t>
                  </w:r>
                </w:p>
              </w:tc>
              <w:tc>
                <w:tcPr>
                  <w:tcW w:w="2714" w:type="pct"/>
                  <w:gridSpan w:val="2"/>
                  <w:vAlign w:val="center"/>
                </w:tcPr>
                <w:p>
                  <w:pPr>
                    <w:topLinePunct/>
                    <w:adjustRightInd w:val="0"/>
                    <w:snapToGrid w:val="0"/>
                    <w:jc w:val="center"/>
                    <w:rPr>
                      <w:bCs/>
                    </w:rPr>
                  </w:pPr>
                  <w:r>
                    <w:rPr>
                      <w:bCs/>
                    </w:rPr>
                    <w:t>绿化面积</w:t>
                  </w:r>
                  <w:r>
                    <w:rPr>
                      <w:bCs/>
                      <w:szCs w:val="21"/>
                    </w:rPr>
                    <w:t>13936.67m</w:t>
                  </w:r>
                  <w:r>
                    <w:rPr>
                      <w:bCs/>
                      <w:szCs w:val="21"/>
                      <w:vertAlign w:val="superscript"/>
                    </w:rPr>
                    <w:t>2</w:t>
                  </w:r>
                </w:p>
              </w:tc>
              <w:tc>
                <w:tcPr>
                  <w:tcW w:w="1483" w:type="pct"/>
                  <w:vAlign w:val="center"/>
                </w:tcPr>
                <w:p>
                  <w:pPr>
                    <w:topLinePunct/>
                    <w:adjustRightInd w:val="0"/>
                    <w:snapToGrid w:val="0"/>
                    <w:jc w:val="center"/>
                    <w:outlineLvl w:val="1"/>
                    <w:rPr>
                      <w:bCs/>
                    </w:rPr>
                  </w:pPr>
                  <w:r>
                    <w:rPr>
                      <w:bCs/>
                    </w:rPr>
                    <w:t>/</w:t>
                  </w:r>
                </w:p>
              </w:tc>
            </w:tr>
          </w:tbl>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tc>
      </w:tr>
    </w:tbl>
    <w:p>
      <w:pPr>
        <w:pStyle w:val="14"/>
        <w:jc w:val="center"/>
        <w:outlineLvl w:val="0"/>
        <w:rPr>
          <w:rFonts w:ascii="Times New Roman" w:hAnsi="Times New Roman"/>
          <w:snapToGrid w:val="0"/>
          <w:sz w:val="30"/>
          <w:szCs w:val="30"/>
        </w:rPr>
      </w:pPr>
      <w:r>
        <w:rPr>
          <w:rFonts w:ascii="Times New Roman" w:hAnsi="Times New Roman"/>
          <w:snapToGrid w:val="0"/>
        </w:rPr>
        <w:br w:type="page"/>
      </w:r>
      <w:r>
        <w:rPr>
          <w:rFonts w:ascii="Times New Roman" w:hAnsi="Times New Roman"/>
          <w:snapToGrid w:val="0"/>
          <w:sz w:val="30"/>
          <w:szCs w:val="30"/>
        </w:rPr>
        <w:t>六、结论</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adjustRightInd w:val="0"/>
              <w:snapToGrid w:val="0"/>
              <w:spacing w:line="360" w:lineRule="auto"/>
              <w:ind w:firstLine="480" w:firstLineChars="200"/>
              <w:rPr>
                <w:sz w:val="24"/>
              </w:rPr>
            </w:pPr>
            <w:r>
              <w:rPr>
                <w:sz w:val="24"/>
              </w:rPr>
              <w:t>周至县民政局周至县殡仪馆建设项目符合国家产业政策，选址合理。项目在采取环评报告提出的各项污染防治措施后，项目各污染物可实现达标排放，对环境影响较小。从环境保护角度分析，本建设项目环境影响可行。</w:t>
            </w:r>
          </w:p>
        </w:tc>
      </w:tr>
    </w:tbl>
    <w:p>
      <w:pPr>
        <w:sectPr>
          <w:pgSz w:w="11906" w:h="16838"/>
          <w:pgMar w:top="1701" w:right="1531" w:bottom="1701" w:left="1531" w:header="851" w:footer="851" w:gutter="0"/>
          <w:cols w:space="720" w:num="1"/>
          <w:docGrid w:linePitch="312" w:charSpace="0"/>
        </w:sectPr>
      </w:pPr>
    </w:p>
    <w:p>
      <w:pPr>
        <w:pStyle w:val="14"/>
        <w:adjustRightInd w:val="0"/>
        <w:snapToGrid w:val="0"/>
        <w:spacing w:before="0" w:beforeAutospacing="0" w:after="0" w:afterAutospacing="0" w:line="648" w:lineRule="auto"/>
        <w:outlineLvl w:val="0"/>
        <w:rPr>
          <w:rFonts w:ascii="Times New Roman" w:hAnsi="Times New Roman"/>
          <w:snapToGrid w:val="0"/>
          <w:sz w:val="32"/>
          <w:szCs w:val="32"/>
        </w:rPr>
      </w:pPr>
      <w:r>
        <w:rPr>
          <w:rFonts w:ascii="Times New Roman" w:hAnsi="Times New Roman"/>
          <w:snapToGrid w:val="0"/>
          <w:sz w:val="32"/>
          <w:szCs w:val="32"/>
        </w:rPr>
        <w:t>附表</w:t>
      </w:r>
    </w:p>
    <w:p>
      <w:pPr>
        <w:pStyle w:val="14"/>
        <w:adjustRightInd w:val="0"/>
        <w:snapToGrid w:val="0"/>
        <w:spacing w:before="0" w:beforeAutospacing="0" w:after="0" w:afterAutospacing="0" w:line="552" w:lineRule="auto"/>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17"/>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511"/>
        <w:gridCol w:w="12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tcMar>
              <w:left w:w="28" w:type="dxa"/>
              <w:right w:w="28" w:type="dxa"/>
            </w:tcMar>
            <w:vAlign w:val="center"/>
          </w:tcPr>
          <w:p>
            <w:pPr>
              <w:pStyle w:val="31"/>
              <w:spacing w:beforeLines="0" w:afterLines="0" w:line="240" w:lineRule="auto"/>
              <w:jc w:val="right"/>
              <w:rPr>
                <w:rFonts w:ascii="Times New Roman"/>
                <w:snapToGrid w:val="0"/>
                <w:kern w:val="21"/>
                <w:szCs w:val="21"/>
              </w:rPr>
            </w:pPr>
            <w:r>
              <w:rPr>
                <w:rFonts w:ascii="Times New Roman"/>
                <w:snapToGrid w:val="0"/>
                <w:kern w:val="21"/>
                <w:szCs w:val="21"/>
              </w:rPr>
              <w:t>项目</w:t>
            </w:r>
          </w:p>
          <w:p>
            <w:pPr>
              <w:pStyle w:val="31"/>
              <w:spacing w:beforeLines="0" w:afterLines="0" w:line="240" w:lineRule="auto"/>
              <w:jc w:val="left"/>
              <w:rPr>
                <w:rFonts w:ascii="Times New Roman"/>
                <w:snapToGrid w:val="0"/>
                <w:kern w:val="21"/>
                <w:szCs w:val="21"/>
              </w:rPr>
            </w:pPr>
            <w:r>
              <w:rPr>
                <w:rFonts w:ascii="Times New Roman"/>
                <w:snapToGrid w:val="0"/>
                <w:kern w:val="21"/>
                <w:szCs w:val="21"/>
              </w:rPr>
              <w:t>分类</w:t>
            </w:r>
          </w:p>
        </w:tc>
        <w:tc>
          <w:tcPr>
            <w:tcW w:w="1417" w:type="dxa"/>
            <w:tcMar>
              <w:left w:w="28" w:type="dxa"/>
              <w:right w:w="28" w:type="dxa"/>
            </w:tcMar>
            <w:vAlign w:val="center"/>
          </w:tcPr>
          <w:p>
            <w:pPr>
              <w:pStyle w:val="31"/>
              <w:spacing w:beforeLines="0" w:afterLines="0" w:line="240" w:lineRule="auto"/>
              <w:rPr>
                <w:rFonts w:ascii="Times New Roman"/>
                <w:snapToGrid w:val="0"/>
                <w:kern w:val="21"/>
                <w:szCs w:val="21"/>
              </w:rPr>
            </w:pPr>
            <w:r>
              <w:rPr>
                <w:rFonts w:ascii="Times New Roman"/>
                <w:snapToGrid w:val="0"/>
                <w:kern w:val="21"/>
                <w:szCs w:val="21"/>
              </w:rPr>
              <w:t>污染物名称</w:t>
            </w:r>
          </w:p>
        </w:tc>
        <w:tc>
          <w:tcPr>
            <w:tcW w:w="1701" w:type="dxa"/>
            <w:tcMar>
              <w:left w:w="28" w:type="dxa"/>
              <w:right w:w="28" w:type="dxa"/>
            </w:tcMar>
            <w:vAlign w:val="center"/>
          </w:tcPr>
          <w:p>
            <w:pPr>
              <w:pStyle w:val="31"/>
              <w:spacing w:beforeLines="0" w:afterLines="0" w:line="240" w:lineRule="auto"/>
              <w:rPr>
                <w:rFonts w:ascii="Times New Roman"/>
                <w:snapToGrid w:val="0"/>
                <w:kern w:val="21"/>
                <w:szCs w:val="21"/>
              </w:rPr>
            </w:pPr>
            <w:r>
              <w:rPr>
                <w:rFonts w:ascii="Times New Roman"/>
                <w:snapToGrid w:val="0"/>
                <w:kern w:val="21"/>
                <w:szCs w:val="21"/>
              </w:rPr>
              <w:t>现有工程</w:t>
            </w:r>
          </w:p>
          <w:p>
            <w:pPr>
              <w:pStyle w:val="31"/>
              <w:spacing w:beforeLines="0" w:afterLines="0" w:line="240" w:lineRule="auto"/>
              <w:rPr>
                <w:rFonts w:ascii="Times New Roman"/>
                <w:snapToGrid w:val="0"/>
                <w:kern w:val="21"/>
                <w:szCs w:val="21"/>
              </w:rPr>
            </w:pPr>
            <w:r>
              <w:rPr>
                <w:rFonts w:ascii="Times New Roman"/>
                <w:snapToGrid w:val="0"/>
                <w:kern w:val="21"/>
                <w:szCs w:val="21"/>
              </w:rPr>
              <w:t>排放量（固体废物产生量）</w:t>
            </w:r>
            <w:r>
              <w:rPr>
                <w:rFonts w:ascii="Times New Roman"/>
                <w:snapToGrid w:val="0"/>
                <w:kern w:val="21"/>
                <w:szCs w:val="21"/>
              </w:rPr>
              <w:fldChar w:fldCharType="begin"/>
            </w:r>
            <w:r>
              <w:rPr>
                <w:rFonts w:ascii="Times New Roman"/>
                <w:snapToGrid w:val="0"/>
                <w:kern w:val="21"/>
                <w:szCs w:val="21"/>
              </w:rPr>
              <w:instrText xml:space="preserve"> = 1 \* GB3 \* MERGEFORMAT </w:instrText>
            </w:r>
            <w:r>
              <w:rPr>
                <w:rFonts w:ascii="Times New Roman"/>
                <w:snapToGrid w:val="0"/>
                <w:kern w:val="21"/>
                <w:szCs w:val="21"/>
              </w:rPr>
              <w:fldChar w:fldCharType="separate"/>
            </w:r>
            <w:r>
              <w:rPr>
                <w:rFonts w:hint="eastAsia" w:hAnsi="宋体" w:cs="宋体"/>
                <w:kern w:val="2"/>
                <w:szCs w:val="21"/>
              </w:rPr>
              <w:t>①</w:t>
            </w:r>
            <w:r>
              <w:rPr>
                <w:rFonts w:ascii="Times New Roman"/>
                <w:snapToGrid w:val="0"/>
                <w:kern w:val="21"/>
                <w:szCs w:val="21"/>
              </w:rPr>
              <w:fldChar w:fldCharType="end"/>
            </w:r>
          </w:p>
        </w:tc>
        <w:tc>
          <w:tcPr>
            <w:tcW w:w="1276" w:type="dxa"/>
            <w:tcMar>
              <w:left w:w="28" w:type="dxa"/>
              <w:right w:w="28" w:type="dxa"/>
            </w:tcMar>
            <w:vAlign w:val="center"/>
          </w:tcPr>
          <w:p>
            <w:pPr>
              <w:pStyle w:val="31"/>
              <w:spacing w:beforeLines="0" w:afterLines="0" w:line="240" w:lineRule="auto"/>
              <w:rPr>
                <w:rFonts w:ascii="Times New Roman"/>
                <w:snapToGrid w:val="0"/>
                <w:kern w:val="21"/>
                <w:szCs w:val="21"/>
              </w:rPr>
            </w:pPr>
            <w:r>
              <w:rPr>
                <w:rFonts w:ascii="Times New Roman"/>
                <w:snapToGrid w:val="0"/>
                <w:kern w:val="21"/>
                <w:szCs w:val="21"/>
              </w:rPr>
              <w:t>现有工程</w:t>
            </w:r>
          </w:p>
          <w:p>
            <w:pPr>
              <w:pStyle w:val="31"/>
              <w:spacing w:beforeLines="0" w:afterLines="0" w:line="240" w:lineRule="auto"/>
              <w:rPr>
                <w:rFonts w:ascii="Times New Roman"/>
                <w:snapToGrid w:val="0"/>
                <w:kern w:val="21"/>
                <w:szCs w:val="21"/>
              </w:rPr>
            </w:pPr>
            <w:r>
              <w:rPr>
                <w:rFonts w:ascii="Times New Roman"/>
                <w:snapToGrid w:val="0"/>
                <w:kern w:val="21"/>
                <w:szCs w:val="21"/>
              </w:rPr>
              <w:t>许可排放量</w:t>
            </w:r>
          </w:p>
          <w:p>
            <w:pPr>
              <w:pStyle w:val="31"/>
              <w:spacing w:beforeLines="0" w:afterLines="0"/>
              <w:rPr>
                <w:rFonts w:ascii="Times New Roman"/>
                <w:snapToGrid w:val="0"/>
                <w:kern w:val="21"/>
                <w:szCs w:val="21"/>
              </w:rPr>
            </w:pPr>
            <w:r>
              <w:rPr>
                <w:rFonts w:ascii="Times New Roman"/>
                <w:snapToGrid w:val="0"/>
                <w:kern w:val="21"/>
                <w:szCs w:val="21"/>
              </w:rPr>
              <w:fldChar w:fldCharType="begin"/>
            </w:r>
            <w:r>
              <w:rPr>
                <w:rFonts w:ascii="Times New Roman"/>
                <w:snapToGrid w:val="0"/>
                <w:kern w:val="21"/>
                <w:szCs w:val="21"/>
              </w:rPr>
              <w:instrText xml:space="preserve"> = 2 \* GB3 \* MERGEFORMAT </w:instrText>
            </w:r>
            <w:r>
              <w:rPr>
                <w:rFonts w:ascii="Times New Roman"/>
                <w:snapToGrid w:val="0"/>
                <w:kern w:val="21"/>
                <w:szCs w:val="21"/>
              </w:rPr>
              <w:fldChar w:fldCharType="separate"/>
            </w:r>
            <w:r>
              <w:rPr>
                <w:rFonts w:hint="eastAsia" w:hAnsi="宋体" w:cs="宋体"/>
                <w:snapToGrid w:val="0"/>
                <w:kern w:val="21"/>
                <w:szCs w:val="21"/>
              </w:rPr>
              <w:t>②</w:t>
            </w:r>
            <w:r>
              <w:rPr>
                <w:rFonts w:ascii="Times New Roman"/>
                <w:snapToGrid w:val="0"/>
                <w:kern w:val="21"/>
                <w:szCs w:val="21"/>
              </w:rPr>
              <w:fldChar w:fldCharType="end"/>
            </w:r>
          </w:p>
        </w:tc>
        <w:tc>
          <w:tcPr>
            <w:tcW w:w="1701" w:type="dxa"/>
            <w:tcMar>
              <w:left w:w="28" w:type="dxa"/>
              <w:right w:w="28" w:type="dxa"/>
            </w:tcMar>
            <w:vAlign w:val="center"/>
          </w:tcPr>
          <w:p>
            <w:pPr>
              <w:pStyle w:val="31"/>
              <w:spacing w:beforeLines="0" w:afterLines="0" w:line="240" w:lineRule="auto"/>
              <w:rPr>
                <w:rFonts w:ascii="Times New Roman"/>
                <w:snapToGrid w:val="0"/>
                <w:kern w:val="21"/>
                <w:szCs w:val="21"/>
              </w:rPr>
            </w:pPr>
            <w:r>
              <w:rPr>
                <w:rFonts w:ascii="Times New Roman"/>
                <w:snapToGrid w:val="0"/>
                <w:kern w:val="21"/>
                <w:szCs w:val="21"/>
              </w:rPr>
              <w:t>在建工程</w:t>
            </w:r>
          </w:p>
          <w:p>
            <w:pPr>
              <w:pStyle w:val="31"/>
              <w:spacing w:beforeLines="0" w:afterLines="0" w:line="240" w:lineRule="auto"/>
              <w:rPr>
                <w:rFonts w:ascii="Times New Roman"/>
                <w:snapToGrid w:val="0"/>
                <w:kern w:val="21"/>
                <w:szCs w:val="21"/>
              </w:rPr>
            </w:pPr>
            <w:r>
              <w:rPr>
                <w:rFonts w:ascii="Times New Roman"/>
                <w:snapToGrid w:val="0"/>
                <w:kern w:val="21"/>
                <w:szCs w:val="21"/>
              </w:rPr>
              <w:t>排放量（固体废物产生量）</w:t>
            </w:r>
            <w:r>
              <w:rPr>
                <w:rFonts w:ascii="Times New Roman"/>
                <w:snapToGrid w:val="0"/>
                <w:kern w:val="21"/>
                <w:szCs w:val="21"/>
              </w:rPr>
              <w:fldChar w:fldCharType="begin"/>
            </w:r>
            <w:r>
              <w:rPr>
                <w:rFonts w:ascii="Times New Roman"/>
                <w:snapToGrid w:val="0"/>
                <w:kern w:val="21"/>
                <w:szCs w:val="21"/>
              </w:rPr>
              <w:instrText xml:space="preserve"> = 3 \* GB3 \* MERGEFORMAT </w:instrText>
            </w:r>
            <w:r>
              <w:rPr>
                <w:rFonts w:ascii="Times New Roman"/>
                <w:snapToGrid w:val="0"/>
                <w:kern w:val="21"/>
                <w:szCs w:val="21"/>
              </w:rPr>
              <w:fldChar w:fldCharType="separate"/>
            </w:r>
            <w:r>
              <w:rPr>
                <w:rFonts w:hint="eastAsia" w:hAnsi="宋体" w:cs="宋体"/>
                <w:kern w:val="2"/>
                <w:szCs w:val="21"/>
              </w:rPr>
              <w:t>③</w:t>
            </w:r>
            <w:r>
              <w:rPr>
                <w:rFonts w:ascii="Times New Roman"/>
                <w:snapToGrid w:val="0"/>
                <w:kern w:val="21"/>
                <w:szCs w:val="21"/>
              </w:rPr>
              <w:fldChar w:fldCharType="end"/>
            </w:r>
          </w:p>
        </w:tc>
        <w:tc>
          <w:tcPr>
            <w:tcW w:w="1559" w:type="dxa"/>
            <w:tcMar>
              <w:left w:w="28" w:type="dxa"/>
              <w:right w:w="28" w:type="dxa"/>
            </w:tcMar>
            <w:vAlign w:val="center"/>
          </w:tcPr>
          <w:p>
            <w:pPr>
              <w:pStyle w:val="31"/>
              <w:spacing w:beforeLines="0" w:afterLines="0" w:line="240" w:lineRule="auto"/>
              <w:rPr>
                <w:rFonts w:ascii="Times New Roman"/>
                <w:snapToGrid w:val="0"/>
                <w:kern w:val="21"/>
                <w:szCs w:val="21"/>
              </w:rPr>
            </w:pPr>
            <w:r>
              <w:rPr>
                <w:rFonts w:ascii="Times New Roman"/>
                <w:snapToGrid w:val="0"/>
                <w:kern w:val="21"/>
                <w:szCs w:val="21"/>
              </w:rPr>
              <w:t>本项目</w:t>
            </w:r>
          </w:p>
          <w:p>
            <w:pPr>
              <w:pStyle w:val="31"/>
              <w:spacing w:beforeLines="0" w:afterLines="0" w:line="240" w:lineRule="auto"/>
              <w:rPr>
                <w:rFonts w:ascii="Times New Roman"/>
                <w:snapToGrid w:val="0"/>
                <w:kern w:val="21"/>
                <w:szCs w:val="21"/>
              </w:rPr>
            </w:pPr>
            <w:r>
              <w:rPr>
                <w:rFonts w:ascii="Times New Roman"/>
                <w:snapToGrid w:val="0"/>
                <w:kern w:val="21"/>
                <w:szCs w:val="21"/>
              </w:rPr>
              <w:t>排放量（固体废物产生量）</w:t>
            </w:r>
            <w:r>
              <w:rPr>
                <w:rFonts w:ascii="Times New Roman"/>
                <w:snapToGrid w:val="0"/>
                <w:kern w:val="21"/>
                <w:szCs w:val="21"/>
              </w:rPr>
              <w:fldChar w:fldCharType="begin"/>
            </w:r>
            <w:r>
              <w:rPr>
                <w:rFonts w:ascii="Times New Roman"/>
                <w:snapToGrid w:val="0"/>
                <w:kern w:val="21"/>
                <w:szCs w:val="21"/>
              </w:rPr>
              <w:instrText xml:space="preserve"> = 4 \* GB3 \* MERGEFORMAT </w:instrText>
            </w:r>
            <w:r>
              <w:rPr>
                <w:rFonts w:ascii="Times New Roman"/>
                <w:snapToGrid w:val="0"/>
                <w:kern w:val="21"/>
                <w:szCs w:val="21"/>
              </w:rPr>
              <w:fldChar w:fldCharType="separate"/>
            </w:r>
            <w:r>
              <w:rPr>
                <w:rFonts w:hint="eastAsia" w:hAnsi="宋体" w:cs="宋体"/>
                <w:kern w:val="2"/>
                <w:szCs w:val="21"/>
              </w:rPr>
              <w:t>④</w:t>
            </w:r>
            <w:r>
              <w:rPr>
                <w:rFonts w:ascii="Times New Roman"/>
                <w:snapToGrid w:val="0"/>
                <w:kern w:val="21"/>
                <w:szCs w:val="21"/>
              </w:rPr>
              <w:fldChar w:fldCharType="end"/>
            </w:r>
          </w:p>
        </w:tc>
        <w:tc>
          <w:tcPr>
            <w:tcW w:w="1761" w:type="dxa"/>
            <w:tcMar>
              <w:left w:w="28" w:type="dxa"/>
              <w:right w:w="28" w:type="dxa"/>
            </w:tcMar>
            <w:vAlign w:val="center"/>
          </w:tcPr>
          <w:p>
            <w:pPr>
              <w:pStyle w:val="31"/>
              <w:spacing w:beforeLines="0" w:afterLines="0" w:line="240" w:lineRule="auto"/>
              <w:rPr>
                <w:rFonts w:ascii="Times New Roman"/>
                <w:snapToGrid w:val="0"/>
                <w:kern w:val="21"/>
                <w:szCs w:val="21"/>
              </w:rPr>
            </w:pPr>
            <w:r>
              <w:rPr>
                <w:rFonts w:ascii="Times New Roman"/>
                <w:snapToGrid w:val="0"/>
                <w:kern w:val="21"/>
                <w:szCs w:val="21"/>
              </w:rPr>
              <w:t>以新带老削减量</w:t>
            </w:r>
          </w:p>
          <w:p>
            <w:pPr>
              <w:pStyle w:val="31"/>
              <w:spacing w:beforeLines="0" w:afterLines="0" w:line="240" w:lineRule="auto"/>
              <w:rPr>
                <w:rFonts w:ascii="Times New Roman"/>
                <w:snapToGrid w:val="0"/>
                <w:kern w:val="21"/>
                <w:szCs w:val="21"/>
              </w:rPr>
            </w:pPr>
            <w:r>
              <w:rPr>
                <w:rFonts w:ascii="Times New Roman"/>
                <w:snapToGrid w:val="0"/>
                <w:kern w:val="21"/>
                <w:szCs w:val="21"/>
              </w:rPr>
              <w:t>（新建项目不填）</w:t>
            </w:r>
            <w:r>
              <w:rPr>
                <w:rFonts w:ascii="Times New Roman"/>
                <w:snapToGrid w:val="0"/>
                <w:kern w:val="21"/>
                <w:szCs w:val="21"/>
              </w:rPr>
              <w:fldChar w:fldCharType="begin"/>
            </w:r>
            <w:r>
              <w:rPr>
                <w:rFonts w:ascii="Times New Roman"/>
                <w:snapToGrid w:val="0"/>
                <w:kern w:val="21"/>
                <w:szCs w:val="21"/>
              </w:rPr>
              <w:instrText xml:space="preserve"> = 5 \* GB3 \* MERGEFORMAT </w:instrText>
            </w:r>
            <w:r>
              <w:rPr>
                <w:rFonts w:ascii="Times New Roman"/>
                <w:snapToGrid w:val="0"/>
                <w:kern w:val="21"/>
                <w:szCs w:val="21"/>
              </w:rPr>
              <w:fldChar w:fldCharType="separate"/>
            </w:r>
            <w:r>
              <w:rPr>
                <w:rFonts w:hint="eastAsia" w:hAnsi="宋体" w:cs="宋体"/>
                <w:kern w:val="2"/>
                <w:szCs w:val="21"/>
              </w:rPr>
              <w:t>⑤</w:t>
            </w:r>
            <w:r>
              <w:rPr>
                <w:rFonts w:ascii="Times New Roman"/>
                <w:snapToGrid w:val="0"/>
                <w:kern w:val="21"/>
                <w:szCs w:val="21"/>
              </w:rPr>
              <w:fldChar w:fldCharType="end"/>
            </w:r>
          </w:p>
        </w:tc>
        <w:tc>
          <w:tcPr>
            <w:tcW w:w="1511" w:type="dxa"/>
            <w:tcMar>
              <w:left w:w="28" w:type="dxa"/>
              <w:right w:w="28" w:type="dxa"/>
            </w:tcMar>
            <w:vAlign w:val="center"/>
          </w:tcPr>
          <w:p>
            <w:pPr>
              <w:pStyle w:val="31"/>
              <w:spacing w:beforeLines="0" w:afterLines="0" w:line="240" w:lineRule="auto"/>
              <w:rPr>
                <w:rFonts w:ascii="Times New Roman"/>
                <w:snapToGrid w:val="0"/>
                <w:kern w:val="21"/>
                <w:szCs w:val="21"/>
              </w:rPr>
            </w:pPr>
            <w:r>
              <w:rPr>
                <w:rFonts w:ascii="Times New Roman"/>
                <w:snapToGrid w:val="0"/>
                <w:kern w:val="21"/>
                <w:szCs w:val="21"/>
              </w:rPr>
              <w:t>本项目建成后</w:t>
            </w:r>
          </w:p>
          <w:p>
            <w:pPr>
              <w:pStyle w:val="31"/>
              <w:spacing w:beforeLines="0" w:afterLines="0" w:line="240" w:lineRule="auto"/>
              <w:rPr>
                <w:rFonts w:ascii="Times New Roman"/>
                <w:snapToGrid w:val="0"/>
                <w:kern w:val="21"/>
                <w:szCs w:val="21"/>
              </w:rPr>
            </w:pPr>
            <w:r>
              <w:rPr>
                <w:rFonts w:ascii="Times New Roman"/>
                <w:snapToGrid w:val="0"/>
                <w:kern w:val="21"/>
                <w:szCs w:val="21"/>
              </w:rPr>
              <w:t>全厂排放量（固体废物产生量）</w:t>
            </w:r>
            <w:r>
              <w:rPr>
                <w:rFonts w:ascii="Times New Roman"/>
                <w:snapToGrid w:val="0"/>
                <w:kern w:val="21"/>
                <w:szCs w:val="21"/>
              </w:rPr>
              <w:fldChar w:fldCharType="begin"/>
            </w:r>
            <w:r>
              <w:rPr>
                <w:rFonts w:ascii="Times New Roman"/>
                <w:snapToGrid w:val="0"/>
                <w:kern w:val="21"/>
                <w:szCs w:val="21"/>
              </w:rPr>
              <w:instrText xml:space="preserve"> = 6 \* GB3 \* MERGEFORMAT </w:instrText>
            </w:r>
            <w:r>
              <w:rPr>
                <w:rFonts w:ascii="Times New Roman"/>
                <w:snapToGrid w:val="0"/>
                <w:kern w:val="21"/>
                <w:szCs w:val="21"/>
              </w:rPr>
              <w:fldChar w:fldCharType="separate"/>
            </w:r>
            <w:r>
              <w:rPr>
                <w:rFonts w:hint="eastAsia" w:hAnsi="宋体" w:cs="宋体"/>
                <w:kern w:val="2"/>
                <w:szCs w:val="21"/>
              </w:rPr>
              <w:t>⑥</w:t>
            </w:r>
            <w:r>
              <w:rPr>
                <w:rFonts w:ascii="Times New Roman"/>
                <w:snapToGrid w:val="0"/>
                <w:kern w:val="21"/>
                <w:szCs w:val="21"/>
              </w:rPr>
              <w:fldChar w:fldCharType="end"/>
            </w:r>
          </w:p>
        </w:tc>
        <w:tc>
          <w:tcPr>
            <w:tcW w:w="1274" w:type="dxa"/>
            <w:tcMar>
              <w:left w:w="28" w:type="dxa"/>
              <w:right w:w="28" w:type="dxa"/>
            </w:tcMar>
            <w:vAlign w:val="center"/>
          </w:tcPr>
          <w:p>
            <w:pPr>
              <w:pStyle w:val="31"/>
              <w:spacing w:beforeLines="0" w:afterLines="0" w:line="240" w:lineRule="auto"/>
              <w:rPr>
                <w:rFonts w:ascii="Times New Roman"/>
                <w:snapToGrid w:val="0"/>
                <w:kern w:val="21"/>
                <w:szCs w:val="21"/>
              </w:rPr>
            </w:pPr>
            <w:r>
              <w:rPr>
                <w:rFonts w:ascii="Times New Roman"/>
                <w:snapToGrid w:val="0"/>
                <w:kern w:val="21"/>
                <w:szCs w:val="21"/>
              </w:rPr>
              <w:t>变化量</w:t>
            </w:r>
          </w:p>
          <w:p>
            <w:pPr>
              <w:pStyle w:val="31"/>
              <w:spacing w:beforeLines="0" w:afterLines="0" w:line="240" w:lineRule="auto"/>
              <w:rPr>
                <w:rFonts w:ascii="Times New Roman"/>
                <w:snapToGrid w:val="0"/>
                <w:kern w:val="21"/>
                <w:szCs w:val="21"/>
              </w:rPr>
            </w:pPr>
            <w:r>
              <w:rPr>
                <w:rFonts w:ascii="Times New Roman"/>
                <w:snapToGrid w:val="0"/>
                <w:kern w:val="21"/>
                <w:szCs w:val="21"/>
              </w:rPr>
              <w:fldChar w:fldCharType="begin"/>
            </w:r>
            <w:r>
              <w:rPr>
                <w:rFonts w:ascii="Times New Roman"/>
                <w:snapToGrid w:val="0"/>
                <w:kern w:val="21"/>
                <w:szCs w:val="21"/>
              </w:rPr>
              <w:instrText xml:space="preserve"> = 7 \* GB3 \* MERGEFORMAT </w:instrText>
            </w:r>
            <w:r>
              <w:rPr>
                <w:rFonts w:ascii="Times New Roman"/>
                <w:snapToGrid w:val="0"/>
                <w:kern w:val="21"/>
                <w:szCs w:val="21"/>
              </w:rPr>
              <w:fldChar w:fldCharType="separate"/>
            </w:r>
            <w:r>
              <w:rPr>
                <w:rFonts w:hint="eastAsia" w:hAnsi="宋体" w:cs="宋体"/>
                <w:kern w:val="2"/>
                <w:szCs w:val="21"/>
              </w:rPr>
              <w:t>⑦</w:t>
            </w:r>
            <w:r>
              <w:rPr>
                <w:rFonts w:ascii="Times New Roman"/>
                <w:snapToGrid w:val="0"/>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pPr>
              <w:pStyle w:val="31"/>
              <w:spacing w:beforeLines="0" w:afterLines="0" w:line="240" w:lineRule="auto"/>
              <w:rPr>
                <w:rFonts w:ascii="Times New Roman"/>
                <w:snapToGrid w:val="0"/>
                <w:kern w:val="21"/>
                <w:szCs w:val="21"/>
              </w:rPr>
            </w:pPr>
            <w:r>
              <w:rPr>
                <w:rFonts w:ascii="Times New Roman"/>
                <w:snapToGrid w:val="0"/>
                <w:kern w:val="21"/>
                <w:szCs w:val="21"/>
              </w:rPr>
              <w:t>废气</w:t>
            </w: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烟尘</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0.25t/a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0.25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0.25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SO</w:t>
            </w:r>
            <w:r>
              <w:rPr>
                <w:rFonts w:ascii="Times New Roman"/>
                <w:szCs w:val="21"/>
                <w:vertAlign w:val="subscript"/>
              </w:rPr>
              <w:t>2</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0.98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0.98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0.98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NOx</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1.91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1.91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1.91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CO</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1.91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1.91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1.91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HCL</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0.16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0.16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0.16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汞</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0.0003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0.0003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0.0003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二噁英</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19.33</w:t>
            </w:r>
            <w:r>
              <w:rPr>
                <w:rFonts w:ascii="Times New Roman"/>
                <w:szCs w:val="21"/>
              </w:rPr>
              <w:t xml:space="preserve"> mgTEQ/a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19.33</w:t>
            </w:r>
            <w:r>
              <w:rPr>
                <w:rFonts w:ascii="Times New Roman"/>
                <w:szCs w:val="21"/>
              </w:rPr>
              <w:t xml:space="preserve"> mgTEQ/a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19.33</w:t>
            </w:r>
            <w:r>
              <w:rPr>
                <w:rFonts w:ascii="Times New Roman"/>
                <w:szCs w:val="21"/>
              </w:rPr>
              <w:t xml:space="preserve"> mgTEQ/a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pPr>
              <w:pStyle w:val="31"/>
              <w:spacing w:beforeLines="0" w:afterLines="0" w:line="240" w:lineRule="auto"/>
              <w:rPr>
                <w:rFonts w:ascii="Times New Roman"/>
                <w:snapToGrid w:val="0"/>
                <w:kern w:val="21"/>
                <w:szCs w:val="21"/>
              </w:rPr>
            </w:pPr>
            <w:r>
              <w:rPr>
                <w:rFonts w:ascii="Times New Roman"/>
                <w:snapToGrid w:val="0"/>
                <w:kern w:val="21"/>
                <w:szCs w:val="21"/>
              </w:rPr>
              <w:t>废水</w:t>
            </w: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COD</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1.21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1.21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1.21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BOD</w:t>
            </w:r>
            <w:r>
              <w:rPr>
                <w:rFonts w:ascii="Times New Roman"/>
                <w:szCs w:val="21"/>
                <w:vertAlign w:val="subscript"/>
              </w:rPr>
              <w:t>5</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0.64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0.64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0.64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SS</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0.68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0.68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0.68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氨氮</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0.11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0.11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0.11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TP</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0.02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0.02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0.02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zCs w:val="21"/>
              </w:rPr>
            </w:pPr>
            <w:r>
              <w:rPr>
                <w:rFonts w:ascii="Times New Roman"/>
                <w:szCs w:val="21"/>
              </w:rPr>
              <w:t>TN</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zCs w:val="21"/>
              </w:rPr>
            </w:pPr>
            <w:r>
              <w:rPr>
                <w:rFonts w:ascii="Times New Roman" w:eastAsia="等线"/>
                <w:szCs w:val="21"/>
              </w:rPr>
              <w:t>0.12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zCs w:val="21"/>
              </w:rPr>
            </w:pPr>
            <w:r>
              <w:rPr>
                <w:rFonts w:ascii="Times New Roman" w:eastAsia="等线"/>
                <w:szCs w:val="21"/>
              </w:rPr>
              <w:t>0.12 t/a</w:t>
            </w:r>
          </w:p>
        </w:tc>
        <w:tc>
          <w:tcPr>
            <w:tcW w:w="1274" w:type="dxa"/>
            <w:vAlign w:val="center"/>
          </w:tcPr>
          <w:p>
            <w:pPr>
              <w:pStyle w:val="31"/>
              <w:spacing w:beforeLines="0" w:afterLines="0" w:line="240" w:lineRule="auto"/>
              <w:rPr>
                <w:rFonts w:ascii="Times New Roman"/>
                <w:szCs w:val="21"/>
              </w:rPr>
            </w:pPr>
            <w:r>
              <w:rPr>
                <w:rFonts w:ascii="Times New Roman" w:eastAsia="等线"/>
                <w:szCs w:val="21"/>
              </w:rPr>
              <w:t>0.12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zCs w:val="21"/>
              </w:rPr>
            </w:pPr>
            <w:r>
              <w:rPr>
                <w:rFonts w:ascii="Times New Roman"/>
                <w:szCs w:val="21"/>
              </w:rPr>
              <w:t>动植物油</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zCs w:val="21"/>
              </w:rPr>
            </w:pPr>
            <w:r>
              <w:rPr>
                <w:rFonts w:ascii="Times New Roman" w:eastAsia="等线"/>
                <w:szCs w:val="21"/>
              </w:rPr>
              <w:t>0.12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zCs w:val="21"/>
              </w:rPr>
            </w:pPr>
            <w:r>
              <w:rPr>
                <w:rFonts w:ascii="Times New Roman" w:eastAsia="等线"/>
                <w:szCs w:val="21"/>
              </w:rPr>
              <w:t>0.12 t/a</w:t>
            </w:r>
          </w:p>
        </w:tc>
        <w:tc>
          <w:tcPr>
            <w:tcW w:w="1274" w:type="dxa"/>
            <w:vAlign w:val="center"/>
          </w:tcPr>
          <w:p>
            <w:pPr>
              <w:pStyle w:val="31"/>
              <w:spacing w:beforeLines="0" w:afterLines="0" w:line="240" w:lineRule="auto"/>
              <w:rPr>
                <w:rFonts w:ascii="Times New Roman"/>
                <w:szCs w:val="21"/>
              </w:rPr>
            </w:pPr>
            <w:r>
              <w:rPr>
                <w:rFonts w:ascii="Times New Roman" w:eastAsia="等线"/>
                <w:szCs w:val="21"/>
              </w:rPr>
              <w:t>0.12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粪大肠菌群</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0.84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0.84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0.84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总余氯</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0.0017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0.0017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0.0017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pPr>
              <w:pStyle w:val="31"/>
              <w:spacing w:beforeLines="0" w:afterLines="0" w:line="240" w:lineRule="auto"/>
              <w:rPr>
                <w:rFonts w:ascii="Times New Roman"/>
                <w:snapToGrid w:val="0"/>
                <w:kern w:val="21"/>
                <w:szCs w:val="21"/>
              </w:rPr>
            </w:pPr>
            <w:r>
              <w:rPr>
                <w:rFonts w:ascii="Times New Roman"/>
                <w:snapToGrid w:val="0"/>
                <w:kern w:val="21"/>
                <w:szCs w:val="21"/>
              </w:rPr>
              <w:t>一般工业</w:t>
            </w:r>
          </w:p>
          <w:p>
            <w:pPr>
              <w:pStyle w:val="31"/>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1417" w:type="dxa"/>
            <w:vAlign w:val="center"/>
          </w:tcPr>
          <w:p>
            <w:pPr>
              <w:jc w:val="center"/>
              <w:rPr>
                <w:szCs w:val="21"/>
              </w:rPr>
            </w:pPr>
            <w:r>
              <w:rPr>
                <w:szCs w:val="21"/>
              </w:rPr>
              <w:t>生活垃圾</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jc w:val="center"/>
              <w:rPr>
                <w:szCs w:val="21"/>
              </w:rPr>
            </w:pPr>
            <w:r>
              <w:rPr>
                <w:rFonts w:eastAsia="等线"/>
                <w:szCs w:val="21"/>
              </w:rPr>
              <w:t>18.25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jc w:val="center"/>
              <w:rPr>
                <w:szCs w:val="21"/>
              </w:rPr>
            </w:pPr>
            <w:r>
              <w:rPr>
                <w:rFonts w:eastAsia="等线"/>
                <w:szCs w:val="21"/>
              </w:rPr>
              <w:t>18.25 t/a</w:t>
            </w:r>
          </w:p>
        </w:tc>
        <w:tc>
          <w:tcPr>
            <w:tcW w:w="1274" w:type="dxa"/>
            <w:vAlign w:val="center"/>
          </w:tcPr>
          <w:p>
            <w:pPr>
              <w:jc w:val="center"/>
              <w:rPr>
                <w:szCs w:val="21"/>
              </w:rPr>
            </w:pPr>
            <w:r>
              <w:rPr>
                <w:rFonts w:eastAsia="等线"/>
                <w:szCs w:val="21"/>
              </w:rPr>
              <w:t>18.25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jc w:val="center"/>
              <w:rPr>
                <w:szCs w:val="21"/>
              </w:rPr>
            </w:pPr>
            <w:r>
              <w:rPr>
                <w:szCs w:val="21"/>
              </w:rPr>
              <w:t>餐厨垃圾</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jc w:val="center"/>
              <w:rPr>
                <w:szCs w:val="21"/>
              </w:rPr>
            </w:pPr>
            <w:r>
              <w:rPr>
                <w:rFonts w:eastAsia="等线"/>
                <w:szCs w:val="21"/>
              </w:rPr>
              <w:t>5.48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jc w:val="center"/>
              <w:rPr>
                <w:szCs w:val="21"/>
              </w:rPr>
            </w:pPr>
            <w:r>
              <w:rPr>
                <w:rFonts w:eastAsia="等线"/>
                <w:szCs w:val="21"/>
              </w:rPr>
              <w:t>5.48 t/a</w:t>
            </w:r>
          </w:p>
        </w:tc>
        <w:tc>
          <w:tcPr>
            <w:tcW w:w="1274" w:type="dxa"/>
            <w:vAlign w:val="center"/>
          </w:tcPr>
          <w:p>
            <w:pPr>
              <w:jc w:val="center"/>
              <w:rPr>
                <w:szCs w:val="21"/>
              </w:rPr>
            </w:pPr>
            <w:r>
              <w:rPr>
                <w:rFonts w:eastAsia="等线"/>
                <w:szCs w:val="21"/>
              </w:rPr>
              <w:t>5.48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jc w:val="center"/>
              <w:rPr>
                <w:szCs w:val="21"/>
              </w:rPr>
            </w:pPr>
            <w:r>
              <w:rPr>
                <w:szCs w:val="21"/>
              </w:rPr>
              <w:t>遗物焚烧炉和祭祀炉焚烧灰渣</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jc w:val="center"/>
              <w:rPr>
                <w:szCs w:val="21"/>
              </w:rPr>
            </w:pPr>
            <w:r>
              <w:rPr>
                <w:rFonts w:eastAsia="等线"/>
                <w:szCs w:val="21"/>
              </w:rPr>
              <w:t>5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jc w:val="center"/>
              <w:rPr>
                <w:szCs w:val="21"/>
              </w:rPr>
            </w:pPr>
            <w:r>
              <w:rPr>
                <w:rFonts w:eastAsia="等线"/>
                <w:szCs w:val="21"/>
              </w:rPr>
              <w:t>5 t/a</w:t>
            </w:r>
          </w:p>
        </w:tc>
        <w:tc>
          <w:tcPr>
            <w:tcW w:w="1274" w:type="dxa"/>
            <w:vAlign w:val="center"/>
          </w:tcPr>
          <w:p>
            <w:pPr>
              <w:jc w:val="center"/>
              <w:rPr>
                <w:szCs w:val="21"/>
              </w:rPr>
            </w:pPr>
            <w:r>
              <w:rPr>
                <w:rFonts w:eastAsia="等线"/>
                <w:szCs w:val="21"/>
              </w:rPr>
              <w:t>5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jc w:val="center"/>
              <w:rPr>
                <w:szCs w:val="21"/>
              </w:rPr>
            </w:pPr>
            <w:r>
              <w:rPr>
                <w:kern w:val="0"/>
                <w:szCs w:val="21"/>
              </w:rPr>
              <w:t>污泥</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jc w:val="center"/>
              <w:rPr>
                <w:szCs w:val="21"/>
              </w:rPr>
            </w:pPr>
            <w:r>
              <w:rPr>
                <w:rFonts w:eastAsia="等线"/>
                <w:szCs w:val="21"/>
              </w:rPr>
              <w:t>13.79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jc w:val="center"/>
              <w:rPr>
                <w:szCs w:val="21"/>
              </w:rPr>
            </w:pPr>
            <w:r>
              <w:rPr>
                <w:rFonts w:eastAsia="等线"/>
                <w:szCs w:val="21"/>
              </w:rPr>
              <w:t>13.79 t/a</w:t>
            </w:r>
          </w:p>
        </w:tc>
        <w:tc>
          <w:tcPr>
            <w:tcW w:w="1274" w:type="dxa"/>
            <w:vAlign w:val="center"/>
          </w:tcPr>
          <w:p>
            <w:pPr>
              <w:jc w:val="center"/>
              <w:rPr>
                <w:szCs w:val="21"/>
              </w:rPr>
            </w:pPr>
            <w:r>
              <w:rPr>
                <w:rFonts w:eastAsia="等线"/>
                <w:szCs w:val="21"/>
              </w:rPr>
              <w:t>13.79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pPr>
              <w:pStyle w:val="31"/>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1417" w:type="dxa"/>
            <w:vAlign w:val="center"/>
          </w:tcPr>
          <w:p>
            <w:pPr>
              <w:pStyle w:val="31"/>
              <w:spacing w:beforeLines="0" w:afterLines="0" w:line="240" w:lineRule="auto"/>
              <w:rPr>
                <w:rFonts w:ascii="Times New Roman"/>
                <w:snapToGrid w:val="0"/>
                <w:kern w:val="21"/>
                <w:szCs w:val="21"/>
              </w:rPr>
            </w:pPr>
            <w:r>
              <w:rPr>
                <w:rFonts w:ascii="Times New Roman"/>
                <w:szCs w:val="21"/>
              </w:rPr>
              <w:t>除尘器灰渣</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6.46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6.46 t/a</w:t>
            </w:r>
          </w:p>
        </w:tc>
        <w:tc>
          <w:tcPr>
            <w:tcW w:w="1274" w:type="dxa"/>
            <w:vAlign w:val="center"/>
          </w:tcPr>
          <w:p>
            <w:pPr>
              <w:pStyle w:val="31"/>
              <w:spacing w:beforeLines="0" w:afterLines="0" w:line="240" w:lineRule="auto"/>
              <w:rPr>
                <w:rFonts w:ascii="Times New Roman"/>
                <w:snapToGrid w:val="0"/>
                <w:kern w:val="21"/>
                <w:szCs w:val="21"/>
              </w:rPr>
            </w:pPr>
            <w:r>
              <w:rPr>
                <w:rFonts w:ascii="Times New Roman" w:eastAsia="等线"/>
                <w:szCs w:val="21"/>
              </w:rPr>
              <w:t>6.46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zCs w:val="21"/>
              </w:rPr>
            </w:pPr>
            <w:r>
              <w:rPr>
                <w:rFonts w:ascii="Times New Roman"/>
                <w:szCs w:val="21"/>
              </w:rPr>
              <w:t>废活性炭</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zCs w:val="21"/>
              </w:rPr>
            </w:pPr>
            <w:r>
              <w:rPr>
                <w:rFonts w:ascii="Times New Roman" w:eastAsia="等线"/>
                <w:szCs w:val="21"/>
              </w:rPr>
              <w:t>3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zCs w:val="21"/>
              </w:rPr>
            </w:pPr>
            <w:r>
              <w:rPr>
                <w:rFonts w:ascii="Times New Roman" w:eastAsia="等线"/>
                <w:szCs w:val="21"/>
              </w:rPr>
              <w:t>3 t/a</w:t>
            </w:r>
          </w:p>
        </w:tc>
        <w:tc>
          <w:tcPr>
            <w:tcW w:w="1274" w:type="dxa"/>
            <w:vAlign w:val="center"/>
          </w:tcPr>
          <w:p>
            <w:pPr>
              <w:pStyle w:val="31"/>
              <w:spacing w:beforeLines="0" w:afterLines="0" w:line="240" w:lineRule="auto"/>
              <w:rPr>
                <w:rFonts w:ascii="Times New Roman"/>
                <w:szCs w:val="21"/>
              </w:rPr>
            </w:pPr>
            <w:r>
              <w:rPr>
                <w:rFonts w:ascii="Times New Roman" w:eastAsia="等线"/>
                <w:szCs w:val="21"/>
              </w:rPr>
              <w:t>3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1"/>
              <w:spacing w:beforeLines="0" w:afterLines="0" w:line="240" w:lineRule="auto"/>
              <w:rPr>
                <w:rFonts w:ascii="Times New Roman"/>
                <w:snapToGrid w:val="0"/>
                <w:kern w:val="21"/>
                <w:szCs w:val="21"/>
              </w:rPr>
            </w:pPr>
          </w:p>
        </w:tc>
        <w:tc>
          <w:tcPr>
            <w:tcW w:w="1417" w:type="dxa"/>
            <w:vAlign w:val="center"/>
          </w:tcPr>
          <w:p>
            <w:pPr>
              <w:pStyle w:val="31"/>
              <w:spacing w:beforeLines="0" w:afterLines="0" w:line="240" w:lineRule="auto"/>
              <w:rPr>
                <w:rFonts w:ascii="Times New Roman"/>
                <w:szCs w:val="21"/>
              </w:rPr>
            </w:pPr>
            <w:r>
              <w:rPr>
                <w:rFonts w:ascii="Times New Roman"/>
                <w:szCs w:val="21"/>
              </w:rPr>
              <w:t>解剖废物</w:t>
            </w:r>
          </w:p>
        </w:tc>
        <w:tc>
          <w:tcPr>
            <w:tcW w:w="1701" w:type="dxa"/>
            <w:vAlign w:val="center"/>
          </w:tcPr>
          <w:p>
            <w:pPr>
              <w:pStyle w:val="31"/>
              <w:spacing w:beforeLines="0" w:afterLines="0" w:line="240" w:lineRule="auto"/>
              <w:rPr>
                <w:rFonts w:ascii="Times New Roman"/>
                <w:snapToGrid w:val="0"/>
                <w:kern w:val="21"/>
                <w:szCs w:val="21"/>
              </w:rPr>
            </w:pPr>
          </w:p>
        </w:tc>
        <w:tc>
          <w:tcPr>
            <w:tcW w:w="1276" w:type="dxa"/>
            <w:vAlign w:val="center"/>
          </w:tcPr>
          <w:p>
            <w:pPr>
              <w:pStyle w:val="31"/>
              <w:spacing w:beforeLines="0" w:afterLines="0" w:line="240" w:lineRule="auto"/>
              <w:rPr>
                <w:rFonts w:ascii="Times New Roman"/>
                <w:snapToGrid w:val="0"/>
                <w:kern w:val="21"/>
                <w:szCs w:val="21"/>
              </w:rPr>
            </w:pPr>
          </w:p>
        </w:tc>
        <w:tc>
          <w:tcPr>
            <w:tcW w:w="1701" w:type="dxa"/>
            <w:vAlign w:val="center"/>
          </w:tcPr>
          <w:p>
            <w:pPr>
              <w:pStyle w:val="31"/>
              <w:spacing w:beforeLines="0" w:afterLines="0" w:line="240" w:lineRule="auto"/>
              <w:rPr>
                <w:rFonts w:ascii="Times New Roman"/>
                <w:snapToGrid w:val="0"/>
                <w:kern w:val="21"/>
                <w:szCs w:val="21"/>
              </w:rPr>
            </w:pPr>
          </w:p>
        </w:tc>
        <w:tc>
          <w:tcPr>
            <w:tcW w:w="1559" w:type="dxa"/>
            <w:vAlign w:val="center"/>
          </w:tcPr>
          <w:p>
            <w:pPr>
              <w:pStyle w:val="31"/>
              <w:spacing w:beforeLines="0" w:afterLines="0" w:line="240" w:lineRule="auto"/>
              <w:rPr>
                <w:rFonts w:ascii="Times New Roman"/>
                <w:szCs w:val="21"/>
              </w:rPr>
            </w:pPr>
            <w:r>
              <w:rPr>
                <w:rFonts w:ascii="Times New Roman" w:eastAsia="等线"/>
                <w:szCs w:val="21"/>
              </w:rPr>
              <w:t>0.2 t/a</w:t>
            </w:r>
          </w:p>
        </w:tc>
        <w:tc>
          <w:tcPr>
            <w:tcW w:w="1761" w:type="dxa"/>
            <w:vAlign w:val="center"/>
          </w:tcPr>
          <w:p>
            <w:pPr>
              <w:pStyle w:val="31"/>
              <w:spacing w:beforeLines="0" w:afterLines="0" w:line="240" w:lineRule="auto"/>
              <w:rPr>
                <w:rFonts w:ascii="Times New Roman"/>
                <w:snapToGrid w:val="0"/>
                <w:kern w:val="21"/>
                <w:szCs w:val="21"/>
              </w:rPr>
            </w:pPr>
          </w:p>
        </w:tc>
        <w:tc>
          <w:tcPr>
            <w:tcW w:w="1511" w:type="dxa"/>
            <w:vAlign w:val="center"/>
          </w:tcPr>
          <w:p>
            <w:pPr>
              <w:pStyle w:val="31"/>
              <w:spacing w:beforeLines="0" w:afterLines="0" w:line="240" w:lineRule="auto"/>
              <w:rPr>
                <w:rFonts w:ascii="Times New Roman"/>
                <w:szCs w:val="21"/>
              </w:rPr>
            </w:pPr>
            <w:r>
              <w:rPr>
                <w:rFonts w:ascii="Times New Roman" w:eastAsia="等线"/>
                <w:szCs w:val="21"/>
              </w:rPr>
              <w:t>0.2 t/a</w:t>
            </w:r>
          </w:p>
        </w:tc>
        <w:tc>
          <w:tcPr>
            <w:tcW w:w="1274" w:type="dxa"/>
            <w:vAlign w:val="center"/>
          </w:tcPr>
          <w:p>
            <w:pPr>
              <w:pStyle w:val="31"/>
              <w:spacing w:beforeLines="0" w:afterLines="0" w:line="240" w:lineRule="auto"/>
              <w:rPr>
                <w:rFonts w:ascii="Times New Roman"/>
                <w:szCs w:val="21"/>
              </w:rPr>
            </w:pPr>
            <w:r>
              <w:rPr>
                <w:rFonts w:ascii="Times New Roman" w:eastAsia="等线"/>
                <w:szCs w:val="21"/>
              </w:rPr>
              <w:t>0.2 t/a</w:t>
            </w:r>
          </w:p>
        </w:tc>
      </w:tr>
    </w:tbl>
    <w:p>
      <w:pPr>
        <w:pStyle w:val="31"/>
        <w:spacing w:beforeLines="80" w:after="24"/>
        <w:jc w:val="left"/>
        <w:rPr>
          <w:rFonts w:ascii="Times New Roman"/>
          <w:snapToGrid w:val="0"/>
          <w:kern w:val="21"/>
          <w:szCs w:val="21"/>
        </w:rPr>
      </w:pPr>
      <w:r>
        <w:rPr>
          <w:rFonts w:ascii="Times New Roman"/>
          <w:snapToGrid w:val="0"/>
          <w:kern w:val="21"/>
          <w:szCs w:val="21"/>
        </w:rPr>
        <w:t>注：</w:t>
      </w:r>
      <w:r>
        <w:rPr>
          <w:rFonts w:ascii="Times New Roman"/>
          <w:snapToGrid w:val="0"/>
          <w:kern w:val="21"/>
          <w:szCs w:val="21"/>
        </w:rPr>
        <w:fldChar w:fldCharType="begin"/>
      </w:r>
      <w:r>
        <w:rPr>
          <w:rFonts w:ascii="Times New Roman"/>
          <w:snapToGrid w:val="0"/>
          <w:kern w:val="21"/>
          <w:szCs w:val="21"/>
        </w:rPr>
        <w:instrText xml:space="preserve"> = 6 \* GB3 \* MERGEFORMAT </w:instrText>
      </w:r>
      <w:r>
        <w:rPr>
          <w:rFonts w:ascii="Times New Roman"/>
          <w:snapToGrid w:val="0"/>
          <w:kern w:val="21"/>
          <w:szCs w:val="21"/>
        </w:rPr>
        <w:fldChar w:fldCharType="separate"/>
      </w:r>
      <w:r>
        <w:rPr>
          <w:rFonts w:hint="eastAsia" w:hAnsi="宋体" w:cs="宋体"/>
          <w:szCs w:val="21"/>
        </w:rPr>
        <w:t>⑥</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1 \* GB3 \* MERGEFORMAT </w:instrText>
      </w:r>
      <w:r>
        <w:rPr>
          <w:rFonts w:ascii="Times New Roman"/>
          <w:snapToGrid w:val="0"/>
          <w:kern w:val="21"/>
          <w:szCs w:val="21"/>
        </w:rPr>
        <w:fldChar w:fldCharType="separate"/>
      </w:r>
      <w:r>
        <w:rPr>
          <w:rFonts w:hint="eastAsia" w:hAnsi="宋体" w:cs="宋体"/>
          <w:szCs w:val="21"/>
        </w:rPr>
        <w:t>①</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3 \* GB3 \* MERGEFORMAT </w:instrText>
      </w:r>
      <w:r>
        <w:rPr>
          <w:rFonts w:ascii="Times New Roman"/>
          <w:snapToGrid w:val="0"/>
          <w:kern w:val="21"/>
          <w:szCs w:val="21"/>
        </w:rPr>
        <w:fldChar w:fldCharType="separate"/>
      </w:r>
      <w:r>
        <w:rPr>
          <w:rFonts w:hint="eastAsia" w:hAnsi="宋体" w:cs="宋体"/>
          <w:szCs w:val="21"/>
        </w:rPr>
        <w:t>③</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4 \* GB3 \* MERGEFORMAT </w:instrText>
      </w:r>
      <w:r>
        <w:rPr>
          <w:rFonts w:ascii="Times New Roman"/>
          <w:snapToGrid w:val="0"/>
          <w:kern w:val="21"/>
          <w:szCs w:val="21"/>
        </w:rPr>
        <w:fldChar w:fldCharType="separate"/>
      </w:r>
      <w:r>
        <w:rPr>
          <w:rFonts w:hint="eastAsia" w:hAnsi="宋体" w:cs="宋体"/>
          <w:szCs w:val="21"/>
        </w:rPr>
        <w:t>④</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5 \* GB3 \* MERGEFORMAT </w:instrText>
      </w:r>
      <w:r>
        <w:rPr>
          <w:rFonts w:ascii="Times New Roman"/>
          <w:snapToGrid w:val="0"/>
          <w:kern w:val="21"/>
          <w:szCs w:val="21"/>
        </w:rPr>
        <w:fldChar w:fldCharType="separate"/>
      </w:r>
      <w:r>
        <w:rPr>
          <w:rFonts w:hint="eastAsia" w:hAnsi="宋体" w:cs="宋体"/>
          <w:szCs w:val="21"/>
        </w:rPr>
        <w:t>⑤</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7 \* GB3 \* MERGEFORMAT </w:instrText>
      </w:r>
      <w:r>
        <w:rPr>
          <w:rFonts w:ascii="Times New Roman"/>
          <w:snapToGrid w:val="0"/>
          <w:kern w:val="21"/>
          <w:szCs w:val="21"/>
        </w:rPr>
        <w:fldChar w:fldCharType="separate"/>
      </w:r>
      <w:r>
        <w:rPr>
          <w:rFonts w:hint="eastAsia" w:hAnsi="宋体" w:cs="宋体"/>
          <w:szCs w:val="21"/>
        </w:rPr>
        <w:t>⑦</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6 \* GB3 \* MERGEFORMAT </w:instrText>
      </w:r>
      <w:r>
        <w:rPr>
          <w:rFonts w:ascii="Times New Roman"/>
          <w:snapToGrid w:val="0"/>
          <w:kern w:val="21"/>
          <w:szCs w:val="21"/>
        </w:rPr>
        <w:fldChar w:fldCharType="separate"/>
      </w:r>
      <w:r>
        <w:rPr>
          <w:rFonts w:hint="eastAsia" w:hAnsi="宋体" w:cs="宋体"/>
          <w:szCs w:val="21"/>
        </w:rPr>
        <w:t>⑥</w:t>
      </w:r>
      <w:r>
        <w:rPr>
          <w:rFonts w:ascii="Times New Roman"/>
          <w:snapToGrid w:val="0"/>
          <w:kern w:val="21"/>
          <w:szCs w:val="21"/>
        </w:rPr>
        <w:fldChar w:fldCharType="end"/>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1 \* GB3 \* MERGEFORMAT </w:instrText>
      </w:r>
      <w:r>
        <w:rPr>
          <w:rFonts w:ascii="Times New Roman"/>
          <w:snapToGrid w:val="0"/>
          <w:kern w:val="21"/>
          <w:szCs w:val="21"/>
        </w:rPr>
        <w:fldChar w:fldCharType="separate"/>
      </w:r>
      <w:r>
        <w:rPr>
          <w:rFonts w:hint="eastAsia" w:hAnsi="宋体" w:cs="宋体"/>
          <w:szCs w:val="21"/>
        </w:rPr>
        <w:t>①</w:t>
      </w:r>
      <w:r>
        <w:rPr>
          <w:rFonts w:ascii="Times New Roman"/>
          <w:snapToGrid w:val="0"/>
          <w:kern w:val="21"/>
          <w:szCs w:val="21"/>
        </w:rPr>
        <w:fldChar w:fldCharType="end"/>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等线">
    <w:altName w:val="Arial Unicode MS"/>
    <w:panose1 w:val="00000000000000000000"/>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fldChar w:fldCharType="begin"/>
    </w:r>
    <w:r>
      <w:rPr>
        <w:rStyle w:val="21"/>
      </w:rPr>
      <w:instrText xml:space="preserve">PAGE  </w:instrText>
    </w:r>
    <w:r>
      <w:fldChar w:fldCharType="end"/>
    </w:r>
  </w:p>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rPr>
        <w:rStyle w:val="21"/>
        <w:rFonts w:ascii="宋体" w:hAnsi="宋体"/>
        <w:sz w:val="28"/>
        <w:szCs w:val="28"/>
      </w:rPr>
    </w:pPr>
    <w:r>
      <w:rPr>
        <w:rStyle w:val="21"/>
        <w:rFonts w:hint="eastAsia" w:ascii="宋体" w:hAnsi="宋体"/>
        <w:sz w:val="28"/>
        <w:szCs w:val="28"/>
      </w:rPr>
      <w:t>—</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1</w:t>
    </w:r>
    <w:r>
      <w:rPr>
        <w:rStyle w:val="21"/>
        <w:rFonts w:ascii="宋体" w:hAnsi="宋体"/>
        <w:sz w:val="26"/>
        <w:szCs w:val="26"/>
      </w:rPr>
      <w:fldChar w:fldCharType="end"/>
    </w:r>
    <w:r>
      <w:rPr>
        <w:rStyle w:val="21"/>
        <w:rFonts w:hint="eastAsia" w:ascii="宋体" w:hAnsi="宋体"/>
        <w:sz w:val="28"/>
        <w:szCs w:val="28"/>
      </w:rPr>
      <w:t>—</w:t>
    </w:r>
  </w:p>
  <w:p>
    <w:pPr>
      <w:pStyle w:val="1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rPr>
        <w:rStyle w:val="21"/>
        <w:rFonts w:ascii="宋体" w:hAnsi="宋体"/>
        <w:sz w:val="28"/>
        <w:szCs w:val="28"/>
      </w:rPr>
    </w:pPr>
    <w:r>
      <w:rPr>
        <w:rStyle w:val="21"/>
        <w:rFonts w:hint="eastAsia" w:ascii="宋体" w:hAnsi="宋体"/>
        <w:sz w:val="28"/>
        <w:szCs w:val="28"/>
      </w:rPr>
      <w:t>—</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55</w:t>
    </w:r>
    <w:r>
      <w:rPr>
        <w:rStyle w:val="21"/>
        <w:rFonts w:ascii="宋体" w:hAnsi="宋体"/>
        <w:sz w:val="26"/>
        <w:szCs w:val="26"/>
      </w:rPr>
      <w:fldChar w:fldCharType="end"/>
    </w:r>
    <w:r>
      <w:rPr>
        <w:rStyle w:val="21"/>
        <w:rFonts w:hint="eastAsia" w:ascii="宋体" w:hAnsi="宋体"/>
        <w:sz w:val="28"/>
        <w:szCs w:val="28"/>
      </w:rPr>
      <w:t>—</w:t>
    </w:r>
  </w:p>
  <w:p>
    <w:pPr>
      <w:pStyle w:val="1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F1115"/>
    <w:multiLevelType w:val="multilevel"/>
    <w:tmpl w:val="1FCF1115"/>
    <w:lvl w:ilvl="0" w:tentative="0">
      <w:start w:val="1"/>
      <w:numFmt w:val="decimal"/>
      <w:pStyle w:val="49"/>
      <w:lvlText w:val="表%1"/>
      <w:lvlJc w:val="left"/>
      <w:pPr>
        <w:ind w:left="420" w:hanging="420"/>
      </w:pPr>
      <w:rPr>
        <w:rFonts w:hint="default" w:ascii="Times New Roman" w:hAnsi="Times New Roman" w:eastAsia="宋体"/>
        <w:b/>
        <w:i w:val="0"/>
        <w:color w:val="000000"/>
        <w:sz w:val="21"/>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表%7"/>
      <w:lvlJc w:val="center"/>
      <w:pPr>
        <w:ind w:left="2940" w:hanging="420"/>
      </w:pPr>
      <w:rPr>
        <w:rFonts w:hint="eastAsia"/>
      </w:r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I4MWEzOTc1N2U2NmM3NDZiM2ZjNzIxZDdjZjAzMDYifQ=="/>
  </w:docVars>
  <w:rsids>
    <w:rsidRoot w:val="00A14947"/>
    <w:rsid w:val="00000240"/>
    <w:rsid w:val="000008A1"/>
    <w:rsid w:val="00001ADE"/>
    <w:rsid w:val="0000246E"/>
    <w:rsid w:val="000024E3"/>
    <w:rsid w:val="0000386E"/>
    <w:rsid w:val="00003C57"/>
    <w:rsid w:val="00005464"/>
    <w:rsid w:val="000060B3"/>
    <w:rsid w:val="00006519"/>
    <w:rsid w:val="000072DD"/>
    <w:rsid w:val="0000749C"/>
    <w:rsid w:val="000100FD"/>
    <w:rsid w:val="00010348"/>
    <w:rsid w:val="0001036F"/>
    <w:rsid w:val="0001051A"/>
    <w:rsid w:val="0001054C"/>
    <w:rsid w:val="000105CC"/>
    <w:rsid w:val="00012370"/>
    <w:rsid w:val="000128D5"/>
    <w:rsid w:val="00012A54"/>
    <w:rsid w:val="00012D6F"/>
    <w:rsid w:val="0001391D"/>
    <w:rsid w:val="0001471B"/>
    <w:rsid w:val="000149D1"/>
    <w:rsid w:val="00015651"/>
    <w:rsid w:val="00015DB5"/>
    <w:rsid w:val="00017397"/>
    <w:rsid w:val="000174A9"/>
    <w:rsid w:val="00021024"/>
    <w:rsid w:val="0002122A"/>
    <w:rsid w:val="00022C0D"/>
    <w:rsid w:val="0002333B"/>
    <w:rsid w:val="00023BB2"/>
    <w:rsid w:val="000242CD"/>
    <w:rsid w:val="000243AA"/>
    <w:rsid w:val="00025070"/>
    <w:rsid w:val="00025A40"/>
    <w:rsid w:val="0002671D"/>
    <w:rsid w:val="00027149"/>
    <w:rsid w:val="00027D11"/>
    <w:rsid w:val="0003053D"/>
    <w:rsid w:val="000308D1"/>
    <w:rsid w:val="00031786"/>
    <w:rsid w:val="00032399"/>
    <w:rsid w:val="00032FEF"/>
    <w:rsid w:val="000335C2"/>
    <w:rsid w:val="00033A32"/>
    <w:rsid w:val="00033A9F"/>
    <w:rsid w:val="00033C46"/>
    <w:rsid w:val="00035399"/>
    <w:rsid w:val="00035AB5"/>
    <w:rsid w:val="00036893"/>
    <w:rsid w:val="000373F2"/>
    <w:rsid w:val="0003775D"/>
    <w:rsid w:val="00037D36"/>
    <w:rsid w:val="0004034F"/>
    <w:rsid w:val="00042814"/>
    <w:rsid w:val="00042DA7"/>
    <w:rsid w:val="0004364B"/>
    <w:rsid w:val="00043966"/>
    <w:rsid w:val="00043C8B"/>
    <w:rsid w:val="000453D0"/>
    <w:rsid w:val="00045C70"/>
    <w:rsid w:val="0004663F"/>
    <w:rsid w:val="00046F2B"/>
    <w:rsid w:val="00047E49"/>
    <w:rsid w:val="00047F26"/>
    <w:rsid w:val="00050421"/>
    <w:rsid w:val="00050A9A"/>
    <w:rsid w:val="00050DAC"/>
    <w:rsid w:val="00051478"/>
    <w:rsid w:val="00051B94"/>
    <w:rsid w:val="00052A27"/>
    <w:rsid w:val="00052E9F"/>
    <w:rsid w:val="000545D2"/>
    <w:rsid w:val="00054809"/>
    <w:rsid w:val="0005597D"/>
    <w:rsid w:val="00055AC0"/>
    <w:rsid w:val="0005701D"/>
    <w:rsid w:val="00057262"/>
    <w:rsid w:val="000575AA"/>
    <w:rsid w:val="0006004C"/>
    <w:rsid w:val="00060D76"/>
    <w:rsid w:val="000615D2"/>
    <w:rsid w:val="000616D5"/>
    <w:rsid w:val="00061B1F"/>
    <w:rsid w:val="00064479"/>
    <w:rsid w:val="000645D1"/>
    <w:rsid w:val="00067190"/>
    <w:rsid w:val="00067631"/>
    <w:rsid w:val="00067969"/>
    <w:rsid w:val="000723AB"/>
    <w:rsid w:val="00072417"/>
    <w:rsid w:val="00073010"/>
    <w:rsid w:val="000733C4"/>
    <w:rsid w:val="00073AC8"/>
    <w:rsid w:val="000742AB"/>
    <w:rsid w:val="00074418"/>
    <w:rsid w:val="00074783"/>
    <w:rsid w:val="000749B3"/>
    <w:rsid w:val="000751AF"/>
    <w:rsid w:val="00076E35"/>
    <w:rsid w:val="00077B34"/>
    <w:rsid w:val="000800BA"/>
    <w:rsid w:val="0008070B"/>
    <w:rsid w:val="00080D59"/>
    <w:rsid w:val="000810AC"/>
    <w:rsid w:val="00081192"/>
    <w:rsid w:val="00081A02"/>
    <w:rsid w:val="00082231"/>
    <w:rsid w:val="000823A1"/>
    <w:rsid w:val="00083F9E"/>
    <w:rsid w:val="000840C3"/>
    <w:rsid w:val="0008490A"/>
    <w:rsid w:val="00084F32"/>
    <w:rsid w:val="000851FF"/>
    <w:rsid w:val="00085902"/>
    <w:rsid w:val="00086589"/>
    <w:rsid w:val="00086C7F"/>
    <w:rsid w:val="000904D0"/>
    <w:rsid w:val="00090BFD"/>
    <w:rsid w:val="00091167"/>
    <w:rsid w:val="00091680"/>
    <w:rsid w:val="00091DE8"/>
    <w:rsid w:val="000923BB"/>
    <w:rsid w:val="00092D38"/>
    <w:rsid w:val="00093542"/>
    <w:rsid w:val="0009377B"/>
    <w:rsid w:val="00094A91"/>
    <w:rsid w:val="000A01C4"/>
    <w:rsid w:val="000A0365"/>
    <w:rsid w:val="000A056C"/>
    <w:rsid w:val="000A20C9"/>
    <w:rsid w:val="000A280C"/>
    <w:rsid w:val="000A2EFF"/>
    <w:rsid w:val="000A4086"/>
    <w:rsid w:val="000A596B"/>
    <w:rsid w:val="000A6E27"/>
    <w:rsid w:val="000A7160"/>
    <w:rsid w:val="000A71AF"/>
    <w:rsid w:val="000B058F"/>
    <w:rsid w:val="000B1974"/>
    <w:rsid w:val="000B1D23"/>
    <w:rsid w:val="000B2C46"/>
    <w:rsid w:val="000B4467"/>
    <w:rsid w:val="000B4BBF"/>
    <w:rsid w:val="000B4C4E"/>
    <w:rsid w:val="000B4DB9"/>
    <w:rsid w:val="000B5374"/>
    <w:rsid w:val="000B577A"/>
    <w:rsid w:val="000B5BAE"/>
    <w:rsid w:val="000C0492"/>
    <w:rsid w:val="000C09AC"/>
    <w:rsid w:val="000C0BA8"/>
    <w:rsid w:val="000C10C7"/>
    <w:rsid w:val="000C181F"/>
    <w:rsid w:val="000C1E28"/>
    <w:rsid w:val="000C2879"/>
    <w:rsid w:val="000C2A7A"/>
    <w:rsid w:val="000C3C2F"/>
    <w:rsid w:val="000C40A1"/>
    <w:rsid w:val="000C4BC8"/>
    <w:rsid w:val="000C524B"/>
    <w:rsid w:val="000C5991"/>
    <w:rsid w:val="000C6A34"/>
    <w:rsid w:val="000C767F"/>
    <w:rsid w:val="000D0A1E"/>
    <w:rsid w:val="000D0AEA"/>
    <w:rsid w:val="000D1C23"/>
    <w:rsid w:val="000D2469"/>
    <w:rsid w:val="000D30FA"/>
    <w:rsid w:val="000D32F4"/>
    <w:rsid w:val="000D3B4E"/>
    <w:rsid w:val="000D3EB0"/>
    <w:rsid w:val="000D4772"/>
    <w:rsid w:val="000D4908"/>
    <w:rsid w:val="000D5405"/>
    <w:rsid w:val="000D5A44"/>
    <w:rsid w:val="000D6423"/>
    <w:rsid w:val="000D6D3C"/>
    <w:rsid w:val="000D758F"/>
    <w:rsid w:val="000E1032"/>
    <w:rsid w:val="000E12FD"/>
    <w:rsid w:val="000E1A91"/>
    <w:rsid w:val="000E24B0"/>
    <w:rsid w:val="000E3ABA"/>
    <w:rsid w:val="000E3ED2"/>
    <w:rsid w:val="000E426D"/>
    <w:rsid w:val="000E4830"/>
    <w:rsid w:val="000E4E42"/>
    <w:rsid w:val="000E6840"/>
    <w:rsid w:val="000F0CD2"/>
    <w:rsid w:val="000F1034"/>
    <w:rsid w:val="000F16C8"/>
    <w:rsid w:val="000F16D3"/>
    <w:rsid w:val="000F2210"/>
    <w:rsid w:val="000F291C"/>
    <w:rsid w:val="000F3F84"/>
    <w:rsid w:val="000F52A6"/>
    <w:rsid w:val="000F5907"/>
    <w:rsid w:val="000F59CF"/>
    <w:rsid w:val="000F5E06"/>
    <w:rsid w:val="000F6126"/>
    <w:rsid w:val="000F7697"/>
    <w:rsid w:val="0010023E"/>
    <w:rsid w:val="001004BA"/>
    <w:rsid w:val="00100D8F"/>
    <w:rsid w:val="001013F1"/>
    <w:rsid w:val="00101472"/>
    <w:rsid w:val="00101714"/>
    <w:rsid w:val="00105408"/>
    <w:rsid w:val="00105718"/>
    <w:rsid w:val="00105D5F"/>
    <w:rsid w:val="00105E26"/>
    <w:rsid w:val="00105F0B"/>
    <w:rsid w:val="001060B7"/>
    <w:rsid w:val="00106E21"/>
    <w:rsid w:val="001072DC"/>
    <w:rsid w:val="00107CC6"/>
    <w:rsid w:val="001116B5"/>
    <w:rsid w:val="0011366D"/>
    <w:rsid w:val="001150D0"/>
    <w:rsid w:val="0011512D"/>
    <w:rsid w:val="0011577D"/>
    <w:rsid w:val="00115850"/>
    <w:rsid w:val="00115A82"/>
    <w:rsid w:val="00116401"/>
    <w:rsid w:val="0011758C"/>
    <w:rsid w:val="00117BF0"/>
    <w:rsid w:val="00121E8D"/>
    <w:rsid w:val="00122013"/>
    <w:rsid w:val="00123AA2"/>
    <w:rsid w:val="00123FB2"/>
    <w:rsid w:val="0012498F"/>
    <w:rsid w:val="00124AC6"/>
    <w:rsid w:val="00125F4F"/>
    <w:rsid w:val="00126A2F"/>
    <w:rsid w:val="00126C97"/>
    <w:rsid w:val="00126E58"/>
    <w:rsid w:val="00126F79"/>
    <w:rsid w:val="001301CB"/>
    <w:rsid w:val="00130675"/>
    <w:rsid w:val="0013189D"/>
    <w:rsid w:val="00131D90"/>
    <w:rsid w:val="00131F42"/>
    <w:rsid w:val="001321B6"/>
    <w:rsid w:val="00132AFB"/>
    <w:rsid w:val="00133F38"/>
    <w:rsid w:val="0013434F"/>
    <w:rsid w:val="001350D8"/>
    <w:rsid w:val="0013552C"/>
    <w:rsid w:val="001357F1"/>
    <w:rsid w:val="00137838"/>
    <w:rsid w:val="0014015E"/>
    <w:rsid w:val="001401DF"/>
    <w:rsid w:val="00140333"/>
    <w:rsid w:val="00140408"/>
    <w:rsid w:val="00140AE7"/>
    <w:rsid w:val="00140FA8"/>
    <w:rsid w:val="001421A3"/>
    <w:rsid w:val="00142FEB"/>
    <w:rsid w:val="001435C7"/>
    <w:rsid w:val="00143A2D"/>
    <w:rsid w:val="00144F33"/>
    <w:rsid w:val="00145A41"/>
    <w:rsid w:val="00146C9B"/>
    <w:rsid w:val="00146EAF"/>
    <w:rsid w:val="001472BF"/>
    <w:rsid w:val="001479E9"/>
    <w:rsid w:val="00151675"/>
    <w:rsid w:val="00151FB9"/>
    <w:rsid w:val="001535A0"/>
    <w:rsid w:val="00153BB9"/>
    <w:rsid w:val="001542A5"/>
    <w:rsid w:val="00154867"/>
    <w:rsid w:val="00154C87"/>
    <w:rsid w:val="00155BDE"/>
    <w:rsid w:val="001570F6"/>
    <w:rsid w:val="00157435"/>
    <w:rsid w:val="00157670"/>
    <w:rsid w:val="00160C00"/>
    <w:rsid w:val="00161811"/>
    <w:rsid w:val="00162565"/>
    <w:rsid w:val="001639EF"/>
    <w:rsid w:val="00164173"/>
    <w:rsid w:val="00167F62"/>
    <w:rsid w:val="0017078A"/>
    <w:rsid w:val="0017080F"/>
    <w:rsid w:val="00170DD2"/>
    <w:rsid w:val="00171244"/>
    <w:rsid w:val="00171D1B"/>
    <w:rsid w:val="00173C66"/>
    <w:rsid w:val="00173D4A"/>
    <w:rsid w:val="001744B6"/>
    <w:rsid w:val="00174D7C"/>
    <w:rsid w:val="0017504D"/>
    <w:rsid w:val="00175E88"/>
    <w:rsid w:val="00176125"/>
    <w:rsid w:val="0017671A"/>
    <w:rsid w:val="001768C5"/>
    <w:rsid w:val="00176A18"/>
    <w:rsid w:val="00176E5E"/>
    <w:rsid w:val="00177422"/>
    <w:rsid w:val="001806A5"/>
    <w:rsid w:val="00180B19"/>
    <w:rsid w:val="00181BCD"/>
    <w:rsid w:val="00182C77"/>
    <w:rsid w:val="00183110"/>
    <w:rsid w:val="001837F7"/>
    <w:rsid w:val="00183BAB"/>
    <w:rsid w:val="001844D3"/>
    <w:rsid w:val="00184590"/>
    <w:rsid w:val="00184878"/>
    <w:rsid w:val="00185391"/>
    <w:rsid w:val="00185759"/>
    <w:rsid w:val="001870D1"/>
    <w:rsid w:val="0018781E"/>
    <w:rsid w:val="00190599"/>
    <w:rsid w:val="0019065C"/>
    <w:rsid w:val="001914E4"/>
    <w:rsid w:val="0019262D"/>
    <w:rsid w:val="00192A05"/>
    <w:rsid w:val="00192D4A"/>
    <w:rsid w:val="0019394D"/>
    <w:rsid w:val="00194FD2"/>
    <w:rsid w:val="0019593E"/>
    <w:rsid w:val="00197DB3"/>
    <w:rsid w:val="001A1B35"/>
    <w:rsid w:val="001A1C73"/>
    <w:rsid w:val="001A48A2"/>
    <w:rsid w:val="001A4F06"/>
    <w:rsid w:val="001A555E"/>
    <w:rsid w:val="001A55BE"/>
    <w:rsid w:val="001A67EC"/>
    <w:rsid w:val="001A6F61"/>
    <w:rsid w:val="001A773F"/>
    <w:rsid w:val="001B28F5"/>
    <w:rsid w:val="001B2A4F"/>
    <w:rsid w:val="001B2ED8"/>
    <w:rsid w:val="001B4A6A"/>
    <w:rsid w:val="001B4E85"/>
    <w:rsid w:val="001B522B"/>
    <w:rsid w:val="001B58F3"/>
    <w:rsid w:val="001B5FB2"/>
    <w:rsid w:val="001B6E27"/>
    <w:rsid w:val="001B72B8"/>
    <w:rsid w:val="001C01C4"/>
    <w:rsid w:val="001C0B39"/>
    <w:rsid w:val="001C0C79"/>
    <w:rsid w:val="001C2542"/>
    <w:rsid w:val="001C2923"/>
    <w:rsid w:val="001C29FD"/>
    <w:rsid w:val="001C2CBA"/>
    <w:rsid w:val="001C4A4E"/>
    <w:rsid w:val="001C5FB7"/>
    <w:rsid w:val="001C69B3"/>
    <w:rsid w:val="001C69E9"/>
    <w:rsid w:val="001C70A7"/>
    <w:rsid w:val="001C7902"/>
    <w:rsid w:val="001D1635"/>
    <w:rsid w:val="001D1C3E"/>
    <w:rsid w:val="001D380E"/>
    <w:rsid w:val="001D3964"/>
    <w:rsid w:val="001D3F63"/>
    <w:rsid w:val="001D4447"/>
    <w:rsid w:val="001D4F3F"/>
    <w:rsid w:val="001D5595"/>
    <w:rsid w:val="001D6E11"/>
    <w:rsid w:val="001D7874"/>
    <w:rsid w:val="001D7EA5"/>
    <w:rsid w:val="001D7F22"/>
    <w:rsid w:val="001E07CE"/>
    <w:rsid w:val="001E0915"/>
    <w:rsid w:val="001E0D25"/>
    <w:rsid w:val="001E1E53"/>
    <w:rsid w:val="001E27AD"/>
    <w:rsid w:val="001E2EEB"/>
    <w:rsid w:val="001E3E05"/>
    <w:rsid w:val="001E4F61"/>
    <w:rsid w:val="001E53CB"/>
    <w:rsid w:val="001F00CE"/>
    <w:rsid w:val="001F0ADC"/>
    <w:rsid w:val="001F0C20"/>
    <w:rsid w:val="001F0D54"/>
    <w:rsid w:val="001F0F17"/>
    <w:rsid w:val="001F173E"/>
    <w:rsid w:val="001F182A"/>
    <w:rsid w:val="001F2777"/>
    <w:rsid w:val="001F3347"/>
    <w:rsid w:val="001F361B"/>
    <w:rsid w:val="001F427A"/>
    <w:rsid w:val="001F43F3"/>
    <w:rsid w:val="001F524E"/>
    <w:rsid w:val="001F6183"/>
    <w:rsid w:val="001F69E4"/>
    <w:rsid w:val="001F70C7"/>
    <w:rsid w:val="001F71B6"/>
    <w:rsid w:val="00200744"/>
    <w:rsid w:val="0020291C"/>
    <w:rsid w:val="002037D6"/>
    <w:rsid w:val="00204185"/>
    <w:rsid w:val="0020497D"/>
    <w:rsid w:val="00206E0B"/>
    <w:rsid w:val="00206FBA"/>
    <w:rsid w:val="0020700C"/>
    <w:rsid w:val="00210270"/>
    <w:rsid w:val="00210AC4"/>
    <w:rsid w:val="00210DD6"/>
    <w:rsid w:val="002114E2"/>
    <w:rsid w:val="00211776"/>
    <w:rsid w:val="00212239"/>
    <w:rsid w:val="002125B4"/>
    <w:rsid w:val="00213FDA"/>
    <w:rsid w:val="00214937"/>
    <w:rsid w:val="002155B8"/>
    <w:rsid w:val="0021566D"/>
    <w:rsid w:val="00215945"/>
    <w:rsid w:val="002166E1"/>
    <w:rsid w:val="002167F7"/>
    <w:rsid w:val="002202F4"/>
    <w:rsid w:val="0022287C"/>
    <w:rsid w:val="00223586"/>
    <w:rsid w:val="0022385A"/>
    <w:rsid w:val="0022443C"/>
    <w:rsid w:val="00224655"/>
    <w:rsid w:val="0022468D"/>
    <w:rsid w:val="00224839"/>
    <w:rsid w:val="002249B2"/>
    <w:rsid w:val="00224A64"/>
    <w:rsid w:val="002251DC"/>
    <w:rsid w:val="00225672"/>
    <w:rsid w:val="00226574"/>
    <w:rsid w:val="00227577"/>
    <w:rsid w:val="00227585"/>
    <w:rsid w:val="002278EC"/>
    <w:rsid w:val="00232356"/>
    <w:rsid w:val="00232669"/>
    <w:rsid w:val="0023280E"/>
    <w:rsid w:val="0023323D"/>
    <w:rsid w:val="00233575"/>
    <w:rsid w:val="00233EA4"/>
    <w:rsid w:val="002347DB"/>
    <w:rsid w:val="00234AD1"/>
    <w:rsid w:val="00234F1F"/>
    <w:rsid w:val="00235702"/>
    <w:rsid w:val="00235CAE"/>
    <w:rsid w:val="00235ECB"/>
    <w:rsid w:val="00235FE1"/>
    <w:rsid w:val="0023692D"/>
    <w:rsid w:val="002371A9"/>
    <w:rsid w:val="002377D1"/>
    <w:rsid w:val="00240DC1"/>
    <w:rsid w:val="002411E6"/>
    <w:rsid w:val="00241290"/>
    <w:rsid w:val="00241C77"/>
    <w:rsid w:val="0024309A"/>
    <w:rsid w:val="00244312"/>
    <w:rsid w:val="00245D94"/>
    <w:rsid w:val="00246642"/>
    <w:rsid w:val="0024666B"/>
    <w:rsid w:val="002472B1"/>
    <w:rsid w:val="0024747D"/>
    <w:rsid w:val="002476CA"/>
    <w:rsid w:val="00250390"/>
    <w:rsid w:val="002506BC"/>
    <w:rsid w:val="00250D07"/>
    <w:rsid w:val="00250F64"/>
    <w:rsid w:val="00251E34"/>
    <w:rsid w:val="002528D2"/>
    <w:rsid w:val="00252C63"/>
    <w:rsid w:val="0025323D"/>
    <w:rsid w:val="00253E55"/>
    <w:rsid w:val="00254345"/>
    <w:rsid w:val="0025468A"/>
    <w:rsid w:val="00255161"/>
    <w:rsid w:val="00255557"/>
    <w:rsid w:val="00255638"/>
    <w:rsid w:val="00256DDA"/>
    <w:rsid w:val="0026078C"/>
    <w:rsid w:val="00263675"/>
    <w:rsid w:val="00264557"/>
    <w:rsid w:val="002660D5"/>
    <w:rsid w:val="00266932"/>
    <w:rsid w:val="002671BB"/>
    <w:rsid w:val="00270935"/>
    <w:rsid w:val="00271417"/>
    <w:rsid w:val="002721B7"/>
    <w:rsid w:val="00272586"/>
    <w:rsid w:val="002729FE"/>
    <w:rsid w:val="00273ECF"/>
    <w:rsid w:val="00275018"/>
    <w:rsid w:val="00275986"/>
    <w:rsid w:val="002759CF"/>
    <w:rsid w:val="00276180"/>
    <w:rsid w:val="0027630B"/>
    <w:rsid w:val="0027665D"/>
    <w:rsid w:val="00276897"/>
    <w:rsid w:val="00276D4E"/>
    <w:rsid w:val="00277196"/>
    <w:rsid w:val="00277252"/>
    <w:rsid w:val="00277A51"/>
    <w:rsid w:val="002805AB"/>
    <w:rsid w:val="00280BE1"/>
    <w:rsid w:val="002838FD"/>
    <w:rsid w:val="00283A0C"/>
    <w:rsid w:val="00284204"/>
    <w:rsid w:val="00284D66"/>
    <w:rsid w:val="002867FA"/>
    <w:rsid w:val="002868A6"/>
    <w:rsid w:val="00286BEE"/>
    <w:rsid w:val="00286ECA"/>
    <w:rsid w:val="00287DB2"/>
    <w:rsid w:val="00290242"/>
    <w:rsid w:val="0029167F"/>
    <w:rsid w:val="00291773"/>
    <w:rsid w:val="00292922"/>
    <w:rsid w:val="00292F15"/>
    <w:rsid w:val="0029404E"/>
    <w:rsid w:val="0029409E"/>
    <w:rsid w:val="002944F0"/>
    <w:rsid w:val="00294AB8"/>
    <w:rsid w:val="00294F2C"/>
    <w:rsid w:val="002950B7"/>
    <w:rsid w:val="00295633"/>
    <w:rsid w:val="00295B8C"/>
    <w:rsid w:val="00296AA7"/>
    <w:rsid w:val="00296EA3"/>
    <w:rsid w:val="0029768F"/>
    <w:rsid w:val="002A1559"/>
    <w:rsid w:val="002A15D6"/>
    <w:rsid w:val="002A168C"/>
    <w:rsid w:val="002A2D12"/>
    <w:rsid w:val="002A2D57"/>
    <w:rsid w:val="002A3239"/>
    <w:rsid w:val="002A3DC7"/>
    <w:rsid w:val="002A3DE0"/>
    <w:rsid w:val="002A4181"/>
    <w:rsid w:val="002A4499"/>
    <w:rsid w:val="002A4500"/>
    <w:rsid w:val="002A5318"/>
    <w:rsid w:val="002A5CAB"/>
    <w:rsid w:val="002A69EA"/>
    <w:rsid w:val="002A78EC"/>
    <w:rsid w:val="002B0796"/>
    <w:rsid w:val="002B0ED2"/>
    <w:rsid w:val="002B0F39"/>
    <w:rsid w:val="002B13EA"/>
    <w:rsid w:val="002B287E"/>
    <w:rsid w:val="002B2A3D"/>
    <w:rsid w:val="002B39A8"/>
    <w:rsid w:val="002B3ADB"/>
    <w:rsid w:val="002B49E2"/>
    <w:rsid w:val="002B4BDB"/>
    <w:rsid w:val="002B50F3"/>
    <w:rsid w:val="002B55EF"/>
    <w:rsid w:val="002B5932"/>
    <w:rsid w:val="002B5A6C"/>
    <w:rsid w:val="002B5C8F"/>
    <w:rsid w:val="002B628A"/>
    <w:rsid w:val="002B73FC"/>
    <w:rsid w:val="002B7B00"/>
    <w:rsid w:val="002B7C44"/>
    <w:rsid w:val="002C010C"/>
    <w:rsid w:val="002C054D"/>
    <w:rsid w:val="002C0557"/>
    <w:rsid w:val="002C1482"/>
    <w:rsid w:val="002C208A"/>
    <w:rsid w:val="002C2246"/>
    <w:rsid w:val="002C2B17"/>
    <w:rsid w:val="002C3211"/>
    <w:rsid w:val="002C327E"/>
    <w:rsid w:val="002C52FB"/>
    <w:rsid w:val="002C5927"/>
    <w:rsid w:val="002C5B69"/>
    <w:rsid w:val="002C63DA"/>
    <w:rsid w:val="002C6655"/>
    <w:rsid w:val="002C66CD"/>
    <w:rsid w:val="002C76A1"/>
    <w:rsid w:val="002C7B28"/>
    <w:rsid w:val="002C7E15"/>
    <w:rsid w:val="002C7FB2"/>
    <w:rsid w:val="002D010A"/>
    <w:rsid w:val="002D11E4"/>
    <w:rsid w:val="002D12D4"/>
    <w:rsid w:val="002D1841"/>
    <w:rsid w:val="002D18CD"/>
    <w:rsid w:val="002D2668"/>
    <w:rsid w:val="002D30C1"/>
    <w:rsid w:val="002D330F"/>
    <w:rsid w:val="002D3DD0"/>
    <w:rsid w:val="002D60A8"/>
    <w:rsid w:val="002E15F6"/>
    <w:rsid w:val="002E195B"/>
    <w:rsid w:val="002E1F3A"/>
    <w:rsid w:val="002E2167"/>
    <w:rsid w:val="002E25B8"/>
    <w:rsid w:val="002E298A"/>
    <w:rsid w:val="002E2B04"/>
    <w:rsid w:val="002E5319"/>
    <w:rsid w:val="002F110C"/>
    <w:rsid w:val="002F1732"/>
    <w:rsid w:val="002F2468"/>
    <w:rsid w:val="002F2919"/>
    <w:rsid w:val="002F2B4E"/>
    <w:rsid w:val="002F346B"/>
    <w:rsid w:val="002F3A93"/>
    <w:rsid w:val="002F3FBE"/>
    <w:rsid w:val="002F46F7"/>
    <w:rsid w:val="002F4A0C"/>
    <w:rsid w:val="002F5D2F"/>
    <w:rsid w:val="0030084E"/>
    <w:rsid w:val="003009A9"/>
    <w:rsid w:val="00301978"/>
    <w:rsid w:val="00301A02"/>
    <w:rsid w:val="0030332C"/>
    <w:rsid w:val="0030399F"/>
    <w:rsid w:val="003051C2"/>
    <w:rsid w:val="00305624"/>
    <w:rsid w:val="003076FB"/>
    <w:rsid w:val="00307AC8"/>
    <w:rsid w:val="00310CD9"/>
    <w:rsid w:val="003112D6"/>
    <w:rsid w:val="0031150A"/>
    <w:rsid w:val="00312296"/>
    <w:rsid w:val="00312388"/>
    <w:rsid w:val="0031244B"/>
    <w:rsid w:val="00312BA9"/>
    <w:rsid w:val="00312C32"/>
    <w:rsid w:val="0031313E"/>
    <w:rsid w:val="00314F0E"/>
    <w:rsid w:val="00315053"/>
    <w:rsid w:val="00315243"/>
    <w:rsid w:val="00315493"/>
    <w:rsid w:val="003157B4"/>
    <w:rsid w:val="00316631"/>
    <w:rsid w:val="00317CF3"/>
    <w:rsid w:val="00321D8E"/>
    <w:rsid w:val="00322314"/>
    <w:rsid w:val="00322D43"/>
    <w:rsid w:val="003230F6"/>
    <w:rsid w:val="0032348F"/>
    <w:rsid w:val="00325928"/>
    <w:rsid w:val="00325D77"/>
    <w:rsid w:val="003264A9"/>
    <w:rsid w:val="00326EF1"/>
    <w:rsid w:val="00326F11"/>
    <w:rsid w:val="00327F2F"/>
    <w:rsid w:val="003305EB"/>
    <w:rsid w:val="00330CAB"/>
    <w:rsid w:val="00331928"/>
    <w:rsid w:val="00331E18"/>
    <w:rsid w:val="00332863"/>
    <w:rsid w:val="00332987"/>
    <w:rsid w:val="00333309"/>
    <w:rsid w:val="00333C99"/>
    <w:rsid w:val="00333DC4"/>
    <w:rsid w:val="003344BE"/>
    <w:rsid w:val="003347A2"/>
    <w:rsid w:val="003363A4"/>
    <w:rsid w:val="003364F6"/>
    <w:rsid w:val="0033684D"/>
    <w:rsid w:val="00336AF0"/>
    <w:rsid w:val="00337B42"/>
    <w:rsid w:val="00340BD7"/>
    <w:rsid w:val="00340C34"/>
    <w:rsid w:val="003414FB"/>
    <w:rsid w:val="003415FD"/>
    <w:rsid w:val="00341B42"/>
    <w:rsid w:val="00341E3F"/>
    <w:rsid w:val="00341FE0"/>
    <w:rsid w:val="00342F28"/>
    <w:rsid w:val="0034348F"/>
    <w:rsid w:val="0034352A"/>
    <w:rsid w:val="00343664"/>
    <w:rsid w:val="00343AB7"/>
    <w:rsid w:val="00343D96"/>
    <w:rsid w:val="0034471F"/>
    <w:rsid w:val="00344F7B"/>
    <w:rsid w:val="003503FC"/>
    <w:rsid w:val="00351AD5"/>
    <w:rsid w:val="00351C97"/>
    <w:rsid w:val="00351D80"/>
    <w:rsid w:val="0035339E"/>
    <w:rsid w:val="003533F6"/>
    <w:rsid w:val="003542C8"/>
    <w:rsid w:val="003544A7"/>
    <w:rsid w:val="003559E8"/>
    <w:rsid w:val="00356653"/>
    <w:rsid w:val="0035743F"/>
    <w:rsid w:val="00357BE2"/>
    <w:rsid w:val="00357F8F"/>
    <w:rsid w:val="00360738"/>
    <w:rsid w:val="00361636"/>
    <w:rsid w:val="0036170C"/>
    <w:rsid w:val="00361E73"/>
    <w:rsid w:val="00362527"/>
    <w:rsid w:val="00362B04"/>
    <w:rsid w:val="0036468B"/>
    <w:rsid w:val="00365047"/>
    <w:rsid w:val="00366167"/>
    <w:rsid w:val="00366E0F"/>
    <w:rsid w:val="0036708C"/>
    <w:rsid w:val="00371815"/>
    <w:rsid w:val="003718AC"/>
    <w:rsid w:val="00371CB5"/>
    <w:rsid w:val="00371FE0"/>
    <w:rsid w:val="003724B8"/>
    <w:rsid w:val="00372AAD"/>
    <w:rsid w:val="00373124"/>
    <w:rsid w:val="00373534"/>
    <w:rsid w:val="003742AB"/>
    <w:rsid w:val="0037485F"/>
    <w:rsid w:val="0037675B"/>
    <w:rsid w:val="0037717D"/>
    <w:rsid w:val="00377552"/>
    <w:rsid w:val="00377658"/>
    <w:rsid w:val="00377FDF"/>
    <w:rsid w:val="00380F35"/>
    <w:rsid w:val="00381933"/>
    <w:rsid w:val="00381A72"/>
    <w:rsid w:val="00383895"/>
    <w:rsid w:val="00383988"/>
    <w:rsid w:val="00384676"/>
    <w:rsid w:val="003848A3"/>
    <w:rsid w:val="00384A66"/>
    <w:rsid w:val="00385106"/>
    <w:rsid w:val="003860B6"/>
    <w:rsid w:val="00386A7A"/>
    <w:rsid w:val="00386B09"/>
    <w:rsid w:val="003874B4"/>
    <w:rsid w:val="00387BBB"/>
    <w:rsid w:val="00387DAD"/>
    <w:rsid w:val="00390475"/>
    <w:rsid w:val="00390581"/>
    <w:rsid w:val="00390857"/>
    <w:rsid w:val="0039155F"/>
    <w:rsid w:val="00391AA8"/>
    <w:rsid w:val="00391C05"/>
    <w:rsid w:val="003928C7"/>
    <w:rsid w:val="00392910"/>
    <w:rsid w:val="00392F22"/>
    <w:rsid w:val="00393C14"/>
    <w:rsid w:val="0039432E"/>
    <w:rsid w:val="00394BFA"/>
    <w:rsid w:val="00395815"/>
    <w:rsid w:val="00395886"/>
    <w:rsid w:val="003A0589"/>
    <w:rsid w:val="003A0A17"/>
    <w:rsid w:val="003A20BC"/>
    <w:rsid w:val="003A2B09"/>
    <w:rsid w:val="003A2DAC"/>
    <w:rsid w:val="003A38C1"/>
    <w:rsid w:val="003A4034"/>
    <w:rsid w:val="003A4BF3"/>
    <w:rsid w:val="003A5666"/>
    <w:rsid w:val="003A5738"/>
    <w:rsid w:val="003A58E8"/>
    <w:rsid w:val="003A645B"/>
    <w:rsid w:val="003B0392"/>
    <w:rsid w:val="003B043C"/>
    <w:rsid w:val="003B06C9"/>
    <w:rsid w:val="003B0B1B"/>
    <w:rsid w:val="003B0E2A"/>
    <w:rsid w:val="003B0FD8"/>
    <w:rsid w:val="003B188F"/>
    <w:rsid w:val="003B1AA8"/>
    <w:rsid w:val="003B1E83"/>
    <w:rsid w:val="003B2108"/>
    <w:rsid w:val="003B2189"/>
    <w:rsid w:val="003B372C"/>
    <w:rsid w:val="003B37AC"/>
    <w:rsid w:val="003B38C4"/>
    <w:rsid w:val="003B420D"/>
    <w:rsid w:val="003B4F60"/>
    <w:rsid w:val="003B6559"/>
    <w:rsid w:val="003B6E1D"/>
    <w:rsid w:val="003C08DA"/>
    <w:rsid w:val="003C08F0"/>
    <w:rsid w:val="003C0944"/>
    <w:rsid w:val="003C0BA2"/>
    <w:rsid w:val="003C0C2E"/>
    <w:rsid w:val="003C0C72"/>
    <w:rsid w:val="003C1610"/>
    <w:rsid w:val="003C1B3A"/>
    <w:rsid w:val="003C314B"/>
    <w:rsid w:val="003C3606"/>
    <w:rsid w:val="003C3657"/>
    <w:rsid w:val="003C40F0"/>
    <w:rsid w:val="003C459B"/>
    <w:rsid w:val="003C4EA9"/>
    <w:rsid w:val="003C56FC"/>
    <w:rsid w:val="003C5D70"/>
    <w:rsid w:val="003C6AA3"/>
    <w:rsid w:val="003C6C16"/>
    <w:rsid w:val="003C7A13"/>
    <w:rsid w:val="003D09CD"/>
    <w:rsid w:val="003D0BF7"/>
    <w:rsid w:val="003D0EC0"/>
    <w:rsid w:val="003D1348"/>
    <w:rsid w:val="003D16AD"/>
    <w:rsid w:val="003D18E0"/>
    <w:rsid w:val="003D2B17"/>
    <w:rsid w:val="003D388F"/>
    <w:rsid w:val="003D40A6"/>
    <w:rsid w:val="003D44EC"/>
    <w:rsid w:val="003D44F8"/>
    <w:rsid w:val="003D45BD"/>
    <w:rsid w:val="003D473C"/>
    <w:rsid w:val="003D5323"/>
    <w:rsid w:val="003D5813"/>
    <w:rsid w:val="003D5C81"/>
    <w:rsid w:val="003D6846"/>
    <w:rsid w:val="003D69B6"/>
    <w:rsid w:val="003D6AFF"/>
    <w:rsid w:val="003D7569"/>
    <w:rsid w:val="003D794D"/>
    <w:rsid w:val="003D7A42"/>
    <w:rsid w:val="003D7EE4"/>
    <w:rsid w:val="003D7F6C"/>
    <w:rsid w:val="003E0E81"/>
    <w:rsid w:val="003E1431"/>
    <w:rsid w:val="003E148C"/>
    <w:rsid w:val="003E3058"/>
    <w:rsid w:val="003E37B5"/>
    <w:rsid w:val="003E3877"/>
    <w:rsid w:val="003E56A8"/>
    <w:rsid w:val="003E57B6"/>
    <w:rsid w:val="003E6057"/>
    <w:rsid w:val="003E7269"/>
    <w:rsid w:val="003E76A9"/>
    <w:rsid w:val="003E78DC"/>
    <w:rsid w:val="003E7BD3"/>
    <w:rsid w:val="003F01BF"/>
    <w:rsid w:val="003F046E"/>
    <w:rsid w:val="003F0487"/>
    <w:rsid w:val="003F0809"/>
    <w:rsid w:val="003F0F01"/>
    <w:rsid w:val="003F1811"/>
    <w:rsid w:val="003F1D57"/>
    <w:rsid w:val="003F2227"/>
    <w:rsid w:val="003F3C93"/>
    <w:rsid w:val="003F4462"/>
    <w:rsid w:val="003F4588"/>
    <w:rsid w:val="003F4DBA"/>
    <w:rsid w:val="003F5439"/>
    <w:rsid w:val="003F5FBA"/>
    <w:rsid w:val="003F6107"/>
    <w:rsid w:val="003F615F"/>
    <w:rsid w:val="003F64B0"/>
    <w:rsid w:val="003F6774"/>
    <w:rsid w:val="003F67FB"/>
    <w:rsid w:val="003F6A8C"/>
    <w:rsid w:val="003F6FFD"/>
    <w:rsid w:val="003F755C"/>
    <w:rsid w:val="003F7582"/>
    <w:rsid w:val="003F7875"/>
    <w:rsid w:val="00400274"/>
    <w:rsid w:val="004002E6"/>
    <w:rsid w:val="00401461"/>
    <w:rsid w:val="00402303"/>
    <w:rsid w:val="00403F55"/>
    <w:rsid w:val="00404015"/>
    <w:rsid w:val="00404AAF"/>
    <w:rsid w:val="00404F7C"/>
    <w:rsid w:val="00405B37"/>
    <w:rsid w:val="00405C68"/>
    <w:rsid w:val="00405EDB"/>
    <w:rsid w:val="00406B7D"/>
    <w:rsid w:val="00406F01"/>
    <w:rsid w:val="00411142"/>
    <w:rsid w:val="004111AD"/>
    <w:rsid w:val="00412792"/>
    <w:rsid w:val="00412C60"/>
    <w:rsid w:val="00412F42"/>
    <w:rsid w:val="004133FD"/>
    <w:rsid w:val="00414DA9"/>
    <w:rsid w:val="004153AB"/>
    <w:rsid w:val="00416D50"/>
    <w:rsid w:val="00416FD5"/>
    <w:rsid w:val="00417494"/>
    <w:rsid w:val="00417772"/>
    <w:rsid w:val="00420E6A"/>
    <w:rsid w:val="004212F3"/>
    <w:rsid w:val="00422AD4"/>
    <w:rsid w:val="004230FB"/>
    <w:rsid w:val="00423223"/>
    <w:rsid w:val="00423520"/>
    <w:rsid w:val="00424070"/>
    <w:rsid w:val="00424168"/>
    <w:rsid w:val="004242BD"/>
    <w:rsid w:val="00424A95"/>
    <w:rsid w:val="00425A9E"/>
    <w:rsid w:val="00426D5C"/>
    <w:rsid w:val="00426D6B"/>
    <w:rsid w:val="00426DC1"/>
    <w:rsid w:val="004273FC"/>
    <w:rsid w:val="00427D46"/>
    <w:rsid w:val="00430423"/>
    <w:rsid w:val="00431474"/>
    <w:rsid w:val="00431532"/>
    <w:rsid w:val="004316EF"/>
    <w:rsid w:val="0043183D"/>
    <w:rsid w:val="00431E6C"/>
    <w:rsid w:val="0043330E"/>
    <w:rsid w:val="0043347A"/>
    <w:rsid w:val="004339EF"/>
    <w:rsid w:val="00433CE7"/>
    <w:rsid w:val="00433F93"/>
    <w:rsid w:val="00434238"/>
    <w:rsid w:val="00435348"/>
    <w:rsid w:val="0043554F"/>
    <w:rsid w:val="0043559F"/>
    <w:rsid w:val="00435DDB"/>
    <w:rsid w:val="00436A69"/>
    <w:rsid w:val="00437D45"/>
    <w:rsid w:val="00440276"/>
    <w:rsid w:val="00440A44"/>
    <w:rsid w:val="00440FE9"/>
    <w:rsid w:val="00441187"/>
    <w:rsid w:val="00442C10"/>
    <w:rsid w:val="0044314A"/>
    <w:rsid w:val="00443969"/>
    <w:rsid w:val="00443EFA"/>
    <w:rsid w:val="0044449D"/>
    <w:rsid w:val="0044475E"/>
    <w:rsid w:val="0044494D"/>
    <w:rsid w:val="00444A48"/>
    <w:rsid w:val="004451D9"/>
    <w:rsid w:val="004453AA"/>
    <w:rsid w:val="004461EC"/>
    <w:rsid w:val="00446654"/>
    <w:rsid w:val="00446A80"/>
    <w:rsid w:val="00447D03"/>
    <w:rsid w:val="00450E12"/>
    <w:rsid w:val="00451507"/>
    <w:rsid w:val="00451DFD"/>
    <w:rsid w:val="00452651"/>
    <w:rsid w:val="0045270C"/>
    <w:rsid w:val="00452738"/>
    <w:rsid w:val="00453293"/>
    <w:rsid w:val="00453854"/>
    <w:rsid w:val="00453C88"/>
    <w:rsid w:val="00454BD3"/>
    <w:rsid w:val="00456091"/>
    <w:rsid w:val="00456460"/>
    <w:rsid w:val="004569CB"/>
    <w:rsid w:val="0045703B"/>
    <w:rsid w:val="004603E2"/>
    <w:rsid w:val="00460EFC"/>
    <w:rsid w:val="0046117A"/>
    <w:rsid w:val="00462F4B"/>
    <w:rsid w:val="004639C0"/>
    <w:rsid w:val="00463C73"/>
    <w:rsid w:val="00464760"/>
    <w:rsid w:val="00465079"/>
    <w:rsid w:val="00465B16"/>
    <w:rsid w:val="00466321"/>
    <w:rsid w:val="004664E3"/>
    <w:rsid w:val="004676B7"/>
    <w:rsid w:val="00467702"/>
    <w:rsid w:val="00467830"/>
    <w:rsid w:val="0047015F"/>
    <w:rsid w:val="00470528"/>
    <w:rsid w:val="00470B79"/>
    <w:rsid w:val="00470E64"/>
    <w:rsid w:val="00471520"/>
    <w:rsid w:val="00472E42"/>
    <w:rsid w:val="00472EFE"/>
    <w:rsid w:val="00474AAA"/>
    <w:rsid w:val="00474B5E"/>
    <w:rsid w:val="004755EE"/>
    <w:rsid w:val="00476375"/>
    <w:rsid w:val="00476431"/>
    <w:rsid w:val="00476891"/>
    <w:rsid w:val="004777F1"/>
    <w:rsid w:val="00477A09"/>
    <w:rsid w:val="00480E59"/>
    <w:rsid w:val="00483CBD"/>
    <w:rsid w:val="00484B9B"/>
    <w:rsid w:val="00484C08"/>
    <w:rsid w:val="00484CF4"/>
    <w:rsid w:val="004850D2"/>
    <w:rsid w:val="004855F6"/>
    <w:rsid w:val="00485740"/>
    <w:rsid w:val="0048577C"/>
    <w:rsid w:val="00485789"/>
    <w:rsid w:val="0048661E"/>
    <w:rsid w:val="00486703"/>
    <w:rsid w:val="00486CD2"/>
    <w:rsid w:val="00487006"/>
    <w:rsid w:val="0048721F"/>
    <w:rsid w:val="004877FF"/>
    <w:rsid w:val="0049025D"/>
    <w:rsid w:val="004908F6"/>
    <w:rsid w:val="00490908"/>
    <w:rsid w:val="004914DA"/>
    <w:rsid w:val="004918D0"/>
    <w:rsid w:val="00491B2D"/>
    <w:rsid w:val="00493AA7"/>
    <w:rsid w:val="00494670"/>
    <w:rsid w:val="00495039"/>
    <w:rsid w:val="00496234"/>
    <w:rsid w:val="0049664B"/>
    <w:rsid w:val="004A181F"/>
    <w:rsid w:val="004A1E0C"/>
    <w:rsid w:val="004A2518"/>
    <w:rsid w:val="004A2ECB"/>
    <w:rsid w:val="004A31DC"/>
    <w:rsid w:val="004A3823"/>
    <w:rsid w:val="004A3F04"/>
    <w:rsid w:val="004A4798"/>
    <w:rsid w:val="004A4AD4"/>
    <w:rsid w:val="004A50C7"/>
    <w:rsid w:val="004A5394"/>
    <w:rsid w:val="004A53C2"/>
    <w:rsid w:val="004A55D6"/>
    <w:rsid w:val="004A5DE7"/>
    <w:rsid w:val="004A5FDB"/>
    <w:rsid w:val="004A6997"/>
    <w:rsid w:val="004A6A73"/>
    <w:rsid w:val="004A6D20"/>
    <w:rsid w:val="004A6EA6"/>
    <w:rsid w:val="004A7965"/>
    <w:rsid w:val="004B0907"/>
    <w:rsid w:val="004B0A67"/>
    <w:rsid w:val="004B18ED"/>
    <w:rsid w:val="004B261D"/>
    <w:rsid w:val="004B2D6E"/>
    <w:rsid w:val="004B3808"/>
    <w:rsid w:val="004B48E4"/>
    <w:rsid w:val="004B4A79"/>
    <w:rsid w:val="004B4E91"/>
    <w:rsid w:val="004B6550"/>
    <w:rsid w:val="004B6D76"/>
    <w:rsid w:val="004B797A"/>
    <w:rsid w:val="004B7BD8"/>
    <w:rsid w:val="004B7C5B"/>
    <w:rsid w:val="004C0863"/>
    <w:rsid w:val="004C1196"/>
    <w:rsid w:val="004C24A3"/>
    <w:rsid w:val="004C5AAA"/>
    <w:rsid w:val="004C7435"/>
    <w:rsid w:val="004C7DCF"/>
    <w:rsid w:val="004D0592"/>
    <w:rsid w:val="004D1625"/>
    <w:rsid w:val="004D1AB1"/>
    <w:rsid w:val="004D2ACB"/>
    <w:rsid w:val="004D2C0E"/>
    <w:rsid w:val="004D30C4"/>
    <w:rsid w:val="004D340E"/>
    <w:rsid w:val="004D3D11"/>
    <w:rsid w:val="004D4257"/>
    <w:rsid w:val="004D6B5F"/>
    <w:rsid w:val="004D70C5"/>
    <w:rsid w:val="004D7552"/>
    <w:rsid w:val="004D7684"/>
    <w:rsid w:val="004D7E74"/>
    <w:rsid w:val="004E03A9"/>
    <w:rsid w:val="004E086F"/>
    <w:rsid w:val="004E09C3"/>
    <w:rsid w:val="004E0AE9"/>
    <w:rsid w:val="004E134C"/>
    <w:rsid w:val="004E145B"/>
    <w:rsid w:val="004E1AB1"/>
    <w:rsid w:val="004E1E1C"/>
    <w:rsid w:val="004E30B8"/>
    <w:rsid w:val="004E39DB"/>
    <w:rsid w:val="004E4B05"/>
    <w:rsid w:val="004E6946"/>
    <w:rsid w:val="004E6AD7"/>
    <w:rsid w:val="004E76D4"/>
    <w:rsid w:val="004E77EF"/>
    <w:rsid w:val="004E7B4C"/>
    <w:rsid w:val="004F021B"/>
    <w:rsid w:val="004F1AD8"/>
    <w:rsid w:val="004F32A7"/>
    <w:rsid w:val="004F3FFE"/>
    <w:rsid w:val="004F543A"/>
    <w:rsid w:val="004F5A2D"/>
    <w:rsid w:val="004F6577"/>
    <w:rsid w:val="004F730E"/>
    <w:rsid w:val="00500245"/>
    <w:rsid w:val="005009D8"/>
    <w:rsid w:val="00501786"/>
    <w:rsid w:val="0050192D"/>
    <w:rsid w:val="00501A26"/>
    <w:rsid w:val="005028BC"/>
    <w:rsid w:val="005039CB"/>
    <w:rsid w:val="005039F8"/>
    <w:rsid w:val="0050480E"/>
    <w:rsid w:val="0050486A"/>
    <w:rsid w:val="00504C8A"/>
    <w:rsid w:val="0050558F"/>
    <w:rsid w:val="0050587F"/>
    <w:rsid w:val="00505B7C"/>
    <w:rsid w:val="00506286"/>
    <w:rsid w:val="005065C9"/>
    <w:rsid w:val="00506CB9"/>
    <w:rsid w:val="00506FCA"/>
    <w:rsid w:val="005077FF"/>
    <w:rsid w:val="0051028B"/>
    <w:rsid w:val="00510716"/>
    <w:rsid w:val="00510813"/>
    <w:rsid w:val="00511990"/>
    <w:rsid w:val="00511DE0"/>
    <w:rsid w:val="00511E5F"/>
    <w:rsid w:val="0051235B"/>
    <w:rsid w:val="00513070"/>
    <w:rsid w:val="005133C8"/>
    <w:rsid w:val="005145BF"/>
    <w:rsid w:val="00514726"/>
    <w:rsid w:val="00514870"/>
    <w:rsid w:val="00514B9B"/>
    <w:rsid w:val="005153B6"/>
    <w:rsid w:val="005166D0"/>
    <w:rsid w:val="00516F9C"/>
    <w:rsid w:val="005170B6"/>
    <w:rsid w:val="005178F1"/>
    <w:rsid w:val="00517F02"/>
    <w:rsid w:val="00517F48"/>
    <w:rsid w:val="00520070"/>
    <w:rsid w:val="00521005"/>
    <w:rsid w:val="00521AB0"/>
    <w:rsid w:val="00521FCD"/>
    <w:rsid w:val="0052241C"/>
    <w:rsid w:val="0052243F"/>
    <w:rsid w:val="00524303"/>
    <w:rsid w:val="00524348"/>
    <w:rsid w:val="00524732"/>
    <w:rsid w:val="00524860"/>
    <w:rsid w:val="005251B1"/>
    <w:rsid w:val="005258A2"/>
    <w:rsid w:val="00526321"/>
    <w:rsid w:val="00526BCD"/>
    <w:rsid w:val="00527D73"/>
    <w:rsid w:val="00530592"/>
    <w:rsid w:val="00531A3B"/>
    <w:rsid w:val="00531A9A"/>
    <w:rsid w:val="00531D57"/>
    <w:rsid w:val="00533247"/>
    <w:rsid w:val="00533325"/>
    <w:rsid w:val="00533892"/>
    <w:rsid w:val="00534316"/>
    <w:rsid w:val="005360B7"/>
    <w:rsid w:val="00537202"/>
    <w:rsid w:val="005372FE"/>
    <w:rsid w:val="00537474"/>
    <w:rsid w:val="00537D97"/>
    <w:rsid w:val="005401AE"/>
    <w:rsid w:val="00540349"/>
    <w:rsid w:val="00541FE1"/>
    <w:rsid w:val="00542982"/>
    <w:rsid w:val="00542E07"/>
    <w:rsid w:val="00543353"/>
    <w:rsid w:val="00543945"/>
    <w:rsid w:val="00543E83"/>
    <w:rsid w:val="0054441F"/>
    <w:rsid w:val="005449C0"/>
    <w:rsid w:val="00544DA9"/>
    <w:rsid w:val="00544EDF"/>
    <w:rsid w:val="00545424"/>
    <w:rsid w:val="0054571F"/>
    <w:rsid w:val="00546116"/>
    <w:rsid w:val="00546686"/>
    <w:rsid w:val="0054675E"/>
    <w:rsid w:val="00546A1B"/>
    <w:rsid w:val="00546C93"/>
    <w:rsid w:val="005478AB"/>
    <w:rsid w:val="00547DC9"/>
    <w:rsid w:val="00547E26"/>
    <w:rsid w:val="005504E7"/>
    <w:rsid w:val="00550ACF"/>
    <w:rsid w:val="0055159C"/>
    <w:rsid w:val="00551864"/>
    <w:rsid w:val="00552273"/>
    <w:rsid w:val="00552E3E"/>
    <w:rsid w:val="005534EC"/>
    <w:rsid w:val="00553EF8"/>
    <w:rsid w:val="00554A7B"/>
    <w:rsid w:val="0055572C"/>
    <w:rsid w:val="00555928"/>
    <w:rsid w:val="00557993"/>
    <w:rsid w:val="005605FF"/>
    <w:rsid w:val="0056106A"/>
    <w:rsid w:val="005635FB"/>
    <w:rsid w:val="00563B61"/>
    <w:rsid w:val="0056692F"/>
    <w:rsid w:val="00566B5C"/>
    <w:rsid w:val="00567469"/>
    <w:rsid w:val="005677B1"/>
    <w:rsid w:val="0057127B"/>
    <w:rsid w:val="0057164F"/>
    <w:rsid w:val="00571D12"/>
    <w:rsid w:val="00571ED2"/>
    <w:rsid w:val="005720AE"/>
    <w:rsid w:val="00572262"/>
    <w:rsid w:val="00572C57"/>
    <w:rsid w:val="005734A8"/>
    <w:rsid w:val="005735D7"/>
    <w:rsid w:val="0057423D"/>
    <w:rsid w:val="00574B97"/>
    <w:rsid w:val="00574E2A"/>
    <w:rsid w:val="0057529B"/>
    <w:rsid w:val="00575EF6"/>
    <w:rsid w:val="0057637C"/>
    <w:rsid w:val="005777DB"/>
    <w:rsid w:val="00577ABA"/>
    <w:rsid w:val="00581CB6"/>
    <w:rsid w:val="00581E12"/>
    <w:rsid w:val="00582127"/>
    <w:rsid w:val="00582A54"/>
    <w:rsid w:val="0058335B"/>
    <w:rsid w:val="00584116"/>
    <w:rsid w:val="00584A6D"/>
    <w:rsid w:val="00585964"/>
    <w:rsid w:val="00585A11"/>
    <w:rsid w:val="00585AFD"/>
    <w:rsid w:val="00585B17"/>
    <w:rsid w:val="005862ED"/>
    <w:rsid w:val="00586AB7"/>
    <w:rsid w:val="00586F34"/>
    <w:rsid w:val="005904F0"/>
    <w:rsid w:val="005911E5"/>
    <w:rsid w:val="005932F2"/>
    <w:rsid w:val="005933E1"/>
    <w:rsid w:val="0059353D"/>
    <w:rsid w:val="00593E46"/>
    <w:rsid w:val="00594BE0"/>
    <w:rsid w:val="00594D77"/>
    <w:rsid w:val="005956B7"/>
    <w:rsid w:val="005960CE"/>
    <w:rsid w:val="005963A3"/>
    <w:rsid w:val="005969E4"/>
    <w:rsid w:val="00596B20"/>
    <w:rsid w:val="005A06B7"/>
    <w:rsid w:val="005A06F7"/>
    <w:rsid w:val="005A13A7"/>
    <w:rsid w:val="005A14B5"/>
    <w:rsid w:val="005A1759"/>
    <w:rsid w:val="005A18C9"/>
    <w:rsid w:val="005A1A29"/>
    <w:rsid w:val="005A268C"/>
    <w:rsid w:val="005A28B5"/>
    <w:rsid w:val="005A2FA9"/>
    <w:rsid w:val="005A3F43"/>
    <w:rsid w:val="005A485B"/>
    <w:rsid w:val="005A4C16"/>
    <w:rsid w:val="005A4E20"/>
    <w:rsid w:val="005A58C7"/>
    <w:rsid w:val="005A5BFE"/>
    <w:rsid w:val="005A68A7"/>
    <w:rsid w:val="005A6931"/>
    <w:rsid w:val="005A6AE8"/>
    <w:rsid w:val="005A6C1A"/>
    <w:rsid w:val="005A6C71"/>
    <w:rsid w:val="005A7FE6"/>
    <w:rsid w:val="005B062C"/>
    <w:rsid w:val="005B0D39"/>
    <w:rsid w:val="005B1214"/>
    <w:rsid w:val="005B1BB8"/>
    <w:rsid w:val="005B1D24"/>
    <w:rsid w:val="005B24F2"/>
    <w:rsid w:val="005B282F"/>
    <w:rsid w:val="005B2AEE"/>
    <w:rsid w:val="005B2CBC"/>
    <w:rsid w:val="005B2D39"/>
    <w:rsid w:val="005B2E32"/>
    <w:rsid w:val="005B33BD"/>
    <w:rsid w:val="005B3E83"/>
    <w:rsid w:val="005B3FAB"/>
    <w:rsid w:val="005B4109"/>
    <w:rsid w:val="005B4BDD"/>
    <w:rsid w:val="005B4DFB"/>
    <w:rsid w:val="005B5BF7"/>
    <w:rsid w:val="005B6D2E"/>
    <w:rsid w:val="005B7614"/>
    <w:rsid w:val="005B773E"/>
    <w:rsid w:val="005C0916"/>
    <w:rsid w:val="005C1CE7"/>
    <w:rsid w:val="005C2A6F"/>
    <w:rsid w:val="005C2F77"/>
    <w:rsid w:val="005C60BD"/>
    <w:rsid w:val="005C65DA"/>
    <w:rsid w:val="005C6707"/>
    <w:rsid w:val="005C6728"/>
    <w:rsid w:val="005C7B75"/>
    <w:rsid w:val="005D0ABC"/>
    <w:rsid w:val="005D0C57"/>
    <w:rsid w:val="005D2623"/>
    <w:rsid w:val="005D344F"/>
    <w:rsid w:val="005D36AB"/>
    <w:rsid w:val="005D3CD0"/>
    <w:rsid w:val="005D4157"/>
    <w:rsid w:val="005D5031"/>
    <w:rsid w:val="005D554C"/>
    <w:rsid w:val="005D56D9"/>
    <w:rsid w:val="005D5784"/>
    <w:rsid w:val="005D6B30"/>
    <w:rsid w:val="005D6B61"/>
    <w:rsid w:val="005D6CA9"/>
    <w:rsid w:val="005E00FB"/>
    <w:rsid w:val="005E0BFC"/>
    <w:rsid w:val="005E178E"/>
    <w:rsid w:val="005E1B02"/>
    <w:rsid w:val="005E1F7C"/>
    <w:rsid w:val="005E3D3C"/>
    <w:rsid w:val="005E52ED"/>
    <w:rsid w:val="005E5C10"/>
    <w:rsid w:val="005E64B9"/>
    <w:rsid w:val="005E77D9"/>
    <w:rsid w:val="005F0A8B"/>
    <w:rsid w:val="005F0BFA"/>
    <w:rsid w:val="005F1D95"/>
    <w:rsid w:val="005F2E3B"/>
    <w:rsid w:val="005F35C1"/>
    <w:rsid w:val="005F3B6D"/>
    <w:rsid w:val="005F4F9A"/>
    <w:rsid w:val="005F5CF4"/>
    <w:rsid w:val="005F5EE8"/>
    <w:rsid w:val="005F63D2"/>
    <w:rsid w:val="005F67CB"/>
    <w:rsid w:val="005F720B"/>
    <w:rsid w:val="005F77B0"/>
    <w:rsid w:val="005F7B14"/>
    <w:rsid w:val="00600107"/>
    <w:rsid w:val="0060175F"/>
    <w:rsid w:val="006022E2"/>
    <w:rsid w:val="00603728"/>
    <w:rsid w:val="00603C54"/>
    <w:rsid w:val="00604CC5"/>
    <w:rsid w:val="00604E32"/>
    <w:rsid w:val="0060578A"/>
    <w:rsid w:val="006062DB"/>
    <w:rsid w:val="006072B4"/>
    <w:rsid w:val="0060745D"/>
    <w:rsid w:val="006076F8"/>
    <w:rsid w:val="00607DD1"/>
    <w:rsid w:val="006106E8"/>
    <w:rsid w:val="00610B3A"/>
    <w:rsid w:val="00610BD7"/>
    <w:rsid w:val="00610D1B"/>
    <w:rsid w:val="00611C00"/>
    <w:rsid w:val="00611CA0"/>
    <w:rsid w:val="00612861"/>
    <w:rsid w:val="00613644"/>
    <w:rsid w:val="006149A6"/>
    <w:rsid w:val="00615CDD"/>
    <w:rsid w:val="00615F1F"/>
    <w:rsid w:val="00616C92"/>
    <w:rsid w:val="0061742B"/>
    <w:rsid w:val="0061799B"/>
    <w:rsid w:val="00617CC3"/>
    <w:rsid w:val="006218C3"/>
    <w:rsid w:val="0062191A"/>
    <w:rsid w:val="00623195"/>
    <w:rsid w:val="0062406D"/>
    <w:rsid w:val="00625042"/>
    <w:rsid w:val="006254C4"/>
    <w:rsid w:val="00626137"/>
    <w:rsid w:val="0062714B"/>
    <w:rsid w:val="0062750C"/>
    <w:rsid w:val="00631439"/>
    <w:rsid w:val="0063154E"/>
    <w:rsid w:val="00631623"/>
    <w:rsid w:val="0063199D"/>
    <w:rsid w:val="00633445"/>
    <w:rsid w:val="006350FE"/>
    <w:rsid w:val="0063517B"/>
    <w:rsid w:val="00635314"/>
    <w:rsid w:val="00637033"/>
    <w:rsid w:val="00637090"/>
    <w:rsid w:val="006377A6"/>
    <w:rsid w:val="00637A3D"/>
    <w:rsid w:val="00637CE2"/>
    <w:rsid w:val="00637DB8"/>
    <w:rsid w:val="0064005E"/>
    <w:rsid w:val="006405C4"/>
    <w:rsid w:val="00640976"/>
    <w:rsid w:val="00640B0E"/>
    <w:rsid w:val="006411EF"/>
    <w:rsid w:val="00642E34"/>
    <w:rsid w:val="00643281"/>
    <w:rsid w:val="006437CE"/>
    <w:rsid w:val="00643892"/>
    <w:rsid w:val="00644C08"/>
    <w:rsid w:val="00644CAD"/>
    <w:rsid w:val="00644FF8"/>
    <w:rsid w:val="006456BC"/>
    <w:rsid w:val="00645861"/>
    <w:rsid w:val="00645DCC"/>
    <w:rsid w:val="00645E4B"/>
    <w:rsid w:val="006501D7"/>
    <w:rsid w:val="00652533"/>
    <w:rsid w:val="00652FA4"/>
    <w:rsid w:val="00653285"/>
    <w:rsid w:val="006544C3"/>
    <w:rsid w:val="00654A0F"/>
    <w:rsid w:val="00655184"/>
    <w:rsid w:val="0065603C"/>
    <w:rsid w:val="00656C80"/>
    <w:rsid w:val="00656DF5"/>
    <w:rsid w:val="0065763F"/>
    <w:rsid w:val="00660413"/>
    <w:rsid w:val="00661049"/>
    <w:rsid w:val="00661051"/>
    <w:rsid w:val="00661EC8"/>
    <w:rsid w:val="00661FB1"/>
    <w:rsid w:val="0066305E"/>
    <w:rsid w:val="00663A80"/>
    <w:rsid w:val="00664141"/>
    <w:rsid w:val="006663BF"/>
    <w:rsid w:val="006674F6"/>
    <w:rsid w:val="00670295"/>
    <w:rsid w:val="006717B7"/>
    <w:rsid w:val="00672F8D"/>
    <w:rsid w:val="00673C7C"/>
    <w:rsid w:val="0067406F"/>
    <w:rsid w:val="006746C9"/>
    <w:rsid w:val="006748B8"/>
    <w:rsid w:val="00674939"/>
    <w:rsid w:val="00675768"/>
    <w:rsid w:val="00676A67"/>
    <w:rsid w:val="006775C3"/>
    <w:rsid w:val="00677788"/>
    <w:rsid w:val="00677893"/>
    <w:rsid w:val="006801D5"/>
    <w:rsid w:val="00681282"/>
    <w:rsid w:val="00681675"/>
    <w:rsid w:val="00682241"/>
    <w:rsid w:val="00682355"/>
    <w:rsid w:val="006854FB"/>
    <w:rsid w:val="006855C4"/>
    <w:rsid w:val="00685923"/>
    <w:rsid w:val="006861A0"/>
    <w:rsid w:val="006861D5"/>
    <w:rsid w:val="00686456"/>
    <w:rsid w:val="00687BB1"/>
    <w:rsid w:val="006901CD"/>
    <w:rsid w:val="00691350"/>
    <w:rsid w:val="0069290A"/>
    <w:rsid w:val="00692CF2"/>
    <w:rsid w:val="006930D1"/>
    <w:rsid w:val="00695D92"/>
    <w:rsid w:val="00696920"/>
    <w:rsid w:val="00696DDB"/>
    <w:rsid w:val="00697269"/>
    <w:rsid w:val="006972B2"/>
    <w:rsid w:val="0069775A"/>
    <w:rsid w:val="00697813"/>
    <w:rsid w:val="006A281D"/>
    <w:rsid w:val="006A2917"/>
    <w:rsid w:val="006A35E6"/>
    <w:rsid w:val="006A3EE8"/>
    <w:rsid w:val="006A4038"/>
    <w:rsid w:val="006A486A"/>
    <w:rsid w:val="006A533B"/>
    <w:rsid w:val="006A5679"/>
    <w:rsid w:val="006A56E3"/>
    <w:rsid w:val="006A59ED"/>
    <w:rsid w:val="006A6018"/>
    <w:rsid w:val="006A6028"/>
    <w:rsid w:val="006A6318"/>
    <w:rsid w:val="006A711E"/>
    <w:rsid w:val="006A717B"/>
    <w:rsid w:val="006A72BF"/>
    <w:rsid w:val="006A73FB"/>
    <w:rsid w:val="006A76DE"/>
    <w:rsid w:val="006A7F40"/>
    <w:rsid w:val="006B0088"/>
    <w:rsid w:val="006B03F2"/>
    <w:rsid w:val="006B1312"/>
    <w:rsid w:val="006B2495"/>
    <w:rsid w:val="006B2A89"/>
    <w:rsid w:val="006B30C7"/>
    <w:rsid w:val="006B32E5"/>
    <w:rsid w:val="006B37DC"/>
    <w:rsid w:val="006B419E"/>
    <w:rsid w:val="006B4A22"/>
    <w:rsid w:val="006B4DCE"/>
    <w:rsid w:val="006B4F68"/>
    <w:rsid w:val="006B5B82"/>
    <w:rsid w:val="006B6C65"/>
    <w:rsid w:val="006B6D6B"/>
    <w:rsid w:val="006B7798"/>
    <w:rsid w:val="006B779C"/>
    <w:rsid w:val="006C02DB"/>
    <w:rsid w:val="006C0592"/>
    <w:rsid w:val="006C0A3E"/>
    <w:rsid w:val="006C0EF1"/>
    <w:rsid w:val="006C18A7"/>
    <w:rsid w:val="006C1EE9"/>
    <w:rsid w:val="006C272E"/>
    <w:rsid w:val="006C2E27"/>
    <w:rsid w:val="006C335D"/>
    <w:rsid w:val="006C47CC"/>
    <w:rsid w:val="006C5479"/>
    <w:rsid w:val="006C653F"/>
    <w:rsid w:val="006C731D"/>
    <w:rsid w:val="006C7BDF"/>
    <w:rsid w:val="006D0195"/>
    <w:rsid w:val="006D02EC"/>
    <w:rsid w:val="006D03F6"/>
    <w:rsid w:val="006D0791"/>
    <w:rsid w:val="006D13B5"/>
    <w:rsid w:val="006D1C3B"/>
    <w:rsid w:val="006D1F4C"/>
    <w:rsid w:val="006D3F88"/>
    <w:rsid w:val="006D54BC"/>
    <w:rsid w:val="006D5C3E"/>
    <w:rsid w:val="006D72B2"/>
    <w:rsid w:val="006E0023"/>
    <w:rsid w:val="006E0078"/>
    <w:rsid w:val="006E00A8"/>
    <w:rsid w:val="006E044D"/>
    <w:rsid w:val="006E1152"/>
    <w:rsid w:val="006E12FF"/>
    <w:rsid w:val="006E148A"/>
    <w:rsid w:val="006E1971"/>
    <w:rsid w:val="006E19E1"/>
    <w:rsid w:val="006E1CC8"/>
    <w:rsid w:val="006E4871"/>
    <w:rsid w:val="006E529D"/>
    <w:rsid w:val="006E5E0B"/>
    <w:rsid w:val="006E6033"/>
    <w:rsid w:val="006E607E"/>
    <w:rsid w:val="006E6F60"/>
    <w:rsid w:val="006E6F89"/>
    <w:rsid w:val="006E7908"/>
    <w:rsid w:val="006E7991"/>
    <w:rsid w:val="006F05E6"/>
    <w:rsid w:val="006F0B4D"/>
    <w:rsid w:val="006F0D43"/>
    <w:rsid w:val="006F118C"/>
    <w:rsid w:val="006F2183"/>
    <w:rsid w:val="006F2635"/>
    <w:rsid w:val="006F2863"/>
    <w:rsid w:val="006F2E69"/>
    <w:rsid w:val="006F371E"/>
    <w:rsid w:val="006F435C"/>
    <w:rsid w:val="006F44F4"/>
    <w:rsid w:val="006F6965"/>
    <w:rsid w:val="006F7BCF"/>
    <w:rsid w:val="0070010E"/>
    <w:rsid w:val="00700663"/>
    <w:rsid w:val="00700E60"/>
    <w:rsid w:val="007026B2"/>
    <w:rsid w:val="007026E7"/>
    <w:rsid w:val="00702DBE"/>
    <w:rsid w:val="00702ECA"/>
    <w:rsid w:val="00703658"/>
    <w:rsid w:val="00703951"/>
    <w:rsid w:val="00703F3C"/>
    <w:rsid w:val="007044F0"/>
    <w:rsid w:val="00705028"/>
    <w:rsid w:val="00706839"/>
    <w:rsid w:val="00706C5D"/>
    <w:rsid w:val="00706D2F"/>
    <w:rsid w:val="00707B04"/>
    <w:rsid w:val="00707C4B"/>
    <w:rsid w:val="00707FC1"/>
    <w:rsid w:val="0071086D"/>
    <w:rsid w:val="00710D4B"/>
    <w:rsid w:val="007112E2"/>
    <w:rsid w:val="007113B7"/>
    <w:rsid w:val="00712BDC"/>
    <w:rsid w:val="007139FB"/>
    <w:rsid w:val="0071403F"/>
    <w:rsid w:val="007152F9"/>
    <w:rsid w:val="007153C8"/>
    <w:rsid w:val="007155C5"/>
    <w:rsid w:val="0071733E"/>
    <w:rsid w:val="00717BED"/>
    <w:rsid w:val="00720A0C"/>
    <w:rsid w:val="007233DD"/>
    <w:rsid w:val="00723B84"/>
    <w:rsid w:val="00723E29"/>
    <w:rsid w:val="00724801"/>
    <w:rsid w:val="00725A2A"/>
    <w:rsid w:val="00726B2F"/>
    <w:rsid w:val="00726F21"/>
    <w:rsid w:val="0073069B"/>
    <w:rsid w:val="00730863"/>
    <w:rsid w:val="00731425"/>
    <w:rsid w:val="00731949"/>
    <w:rsid w:val="00732152"/>
    <w:rsid w:val="007322CC"/>
    <w:rsid w:val="00732922"/>
    <w:rsid w:val="00733086"/>
    <w:rsid w:val="00733709"/>
    <w:rsid w:val="00735170"/>
    <w:rsid w:val="00736C63"/>
    <w:rsid w:val="00737225"/>
    <w:rsid w:val="007379AD"/>
    <w:rsid w:val="00737E10"/>
    <w:rsid w:val="00740B79"/>
    <w:rsid w:val="00740F36"/>
    <w:rsid w:val="00741885"/>
    <w:rsid w:val="00741E1C"/>
    <w:rsid w:val="007445ED"/>
    <w:rsid w:val="00746AE4"/>
    <w:rsid w:val="00746BC1"/>
    <w:rsid w:val="00746CF1"/>
    <w:rsid w:val="007477ED"/>
    <w:rsid w:val="00747D33"/>
    <w:rsid w:val="0075162E"/>
    <w:rsid w:val="007517A3"/>
    <w:rsid w:val="00751AF2"/>
    <w:rsid w:val="00752A2D"/>
    <w:rsid w:val="00752A6B"/>
    <w:rsid w:val="00752B1A"/>
    <w:rsid w:val="00753145"/>
    <w:rsid w:val="00753B1C"/>
    <w:rsid w:val="00753B92"/>
    <w:rsid w:val="00754034"/>
    <w:rsid w:val="007559CB"/>
    <w:rsid w:val="00755AA7"/>
    <w:rsid w:val="00756556"/>
    <w:rsid w:val="00757CD7"/>
    <w:rsid w:val="007601E0"/>
    <w:rsid w:val="007618C4"/>
    <w:rsid w:val="00763E76"/>
    <w:rsid w:val="007647A9"/>
    <w:rsid w:val="007667A3"/>
    <w:rsid w:val="00766C09"/>
    <w:rsid w:val="00767980"/>
    <w:rsid w:val="007704AE"/>
    <w:rsid w:val="00770B19"/>
    <w:rsid w:val="00771256"/>
    <w:rsid w:val="00773824"/>
    <w:rsid w:val="0077463F"/>
    <w:rsid w:val="00775BE3"/>
    <w:rsid w:val="00777ED1"/>
    <w:rsid w:val="00781468"/>
    <w:rsid w:val="00781853"/>
    <w:rsid w:val="00782040"/>
    <w:rsid w:val="007824F4"/>
    <w:rsid w:val="00782E2D"/>
    <w:rsid w:val="007830BD"/>
    <w:rsid w:val="007836EA"/>
    <w:rsid w:val="00784183"/>
    <w:rsid w:val="00784CDA"/>
    <w:rsid w:val="007850BF"/>
    <w:rsid w:val="00786BE9"/>
    <w:rsid w:val="007873E7"/>
    <w:rsid w:val="0078793B"/>
    <w:rsid w:val="007906C4"/>
    <w:rsid w:val="00790859"/>
    <w:rsid w:val="00791309"/>
    <w:rsid w:val="00792771"/>
    <w:rsid w:val="00793FC1"/>
    <w:rsid w:val="007940EA"/>
    <w:rsid w:val="007944A7"/>
    <w:rsid w:val="007944F9"/>
    <w:rsid w:val="00795023"/>
    <w:rsid w:val="007951F5"/>
    <w:rsid w:val="00795817"/>
    <w:rsid w:val="00795944"/>
    <w:rsid w:val="007967E8"/>
    <w:rsid w:val="00796CFD"/>
    <w:rsid w:val="00797898"/>
    <w:rsid w:val="00797C5F"/>
    <w:rsid w:val="007A0353"/>
    <w:rsid w:val="007A1D6B"/>
    <w:rsid w:val="007A2170"/>
    <w:rsid w:val="007A22BF"/>
    <w:rsid w:val="007A2933"/>
    <w:rsid w:val="007A2CEB"/>
    <w:rsid w:val="007A3323"/>
    <w:rsid w:val="007A4530"/>
    <w:rsid w:val="007A6155"/>
    <w:rsid w:val="007A6757"/>
    <w:rsid w:val="007A7207"/>
    <w:rsid w:val="007A7E44"/>
    <w:rsid w:val="007B0B95"/>
    <w:rsid w:val="007B114B"/>
    <w:rsid w:val="007B12DC"/>
    <w:rsid w:val="007B1A24"/>
    <w:rsid w:val="007B21E3"/>
    <w:rsid w:val="007B246D"/>
    <w:rsid w:val="007B2B12"/>
    <w:rsid w:val="007B2BA4"/>
    <w:rsid w:val="007B2CC7"/>
    <w:rsid w:val="007B434D"/>
    <w:rsid w:val="007B48ED"/>
    <w:rsid w:val="007B52C8"/>
    <w:rsid w:val="007B58AD"/>
    <w:rsid w:val="007B5D0F"/>
    <w:rsid w:val="007B72B8"/>
    <w:rsid w:val="007B73BB"/>
    <w:rsid w:val="007B7713"/>
    <w:rsid w:val="007B7A58"/>
    <w:rsid w:val="007C0B88"/>
    <w:rsid w:val="007C1489"/>
    <w:rsid w:val="007C19DF"/>
    <w:rsid w:val="007C21B5"/>
    <w:rsid w:val="007C2C04"/>
    <w:rsid w:val="007C3004"/>
    <w:rsid w:val="007C30F6"/>
    <w:rsid w:val="007C37B7"/>
    <w:rsid w:val="007C4F54"/>
    <w:rsid w:val="007C5079"/>
    <w:rsid w:val="007C5AC8"/>
    <w:rsid w:val="007C645A"/>
    <w:rsid w:val="007C6734"/>
    <w:rsid w:val="007C6E46"/>
    <w:rsid w:val="007C6ECD"/>
    <w:rsid w:val="007C6F64"/>
    <w:rsid w:val="007D07DE"/>
    <w:rsid w:val="007D0EC1"/>
    <w:rsid w:val="007D1687"/>
    <w:rsid w:val="007D17DE"/>
    <w:rsid w:val="007D2449"/>
    <w:rsid w:val="007D2996"/>
    <w:rsid w:val="007D3B31"/>
    <w:rsid w:val="007D4288"/>
    <w:rsid w:val="007D4973"/>
    <w:rsid w:val="007D4C79"/>
    <w:rsid w:val="007D4E87"/>
    <w:rsid w:val="007D51AB"/>
    <w:rsid w:val="007D6BFA"/>
    <w:rsid w:val="007D6D15"/>
    <w:rsid w:val="007E03C4"/>
    <w:rsid w:val="007E1513"/>
    <w:rsid w:val="007E1EA8"/>
    <w:rsid w:val="007E2EE2"/>
    <w:rsid w:val="007E363E"/>
    <w:rsid w:val="007E418B"/>
    <w:rsid w:val="007E47AF"/>
    <w:rsid w:val="007E4B4D"/>
    <w:rsid w:val="007E4BD2"/>
    <w:rsid w:val="007E5012"/>
    <w:rsid w:val="007E53B8"/>
    <w:rsid w:val="007E559F"/>
    <w:rsid w:val="007E59F0"/>
    <w:rsid w:val="007E68F7"/>
    <w:rsid w:val="007E6B2E"/>
    <w:rsid w:val="007F0446"/>
    <w:rsid w:val="007F2782"/>
    <w:rsid w:val="007F286D"/>
    <w:rsid w:val="007F28B1"/>
    <w:rsid w:val="007F3499"/>
    <w:rsid w:val="007F47AA"/>
    <w:rsid w:val="007F5044"/>
    <w:rsid w:val="007F553B"/>
    <w:rsid w:val="007F595A"/>
    <w:rsid w:val="007F5E74"/>
    <w:rsid w:val="007F6891"/>
    <w:rsid w:val="007F6E1F"/>
    <w:rsid w:val="007F7CDE"/>
    <w:rsid w:val="00801393"/>
    <w:rsid w:val="008020A0"/>
    <w:rsid w:val="00802782"/>
    <w:rsid w:val="00802F88"/>
    <w:rsid w:val="00803313"/>
    <w:rsid w:val="00804048"/>
    <w:rsid w:val="00805EA1"/>
    <w:rsid w:val="00805F63"/>
    <w:rsid w:val="008062C1"/>
    <w:rsid w:val="00806CCA"/>
    <w:rsid w:val="0080737F"/>
    <w:rsid w:val="00807824"/>
    <w:rsid w:val="00807A32"/>
    <w:rsid w:val="00810707"/>
    <w:rsid w:val="00811148"/>
    <w:rsid w:val="0081293E"/>
    <w:rsid w:val="0081323C"/>
    <w:rsid w:val="0081425B"/>
    <w:rsid w:val="0081442C"/>
    <w:rsid w:val="00814B6C"/>
    <w:rsid w:val="00815465"/>
    <w:rsid w:val="0081559B"/>
    <w:rsid w:val="00816B4B"/>
    <w:rsid w:val="00816C53"/>
    <w:rsid w:val="00816DCF"/>
    <w:rsid w:val="00817E9A"/>
    <w:rsid w:val="00820837"/>
    <w:rsid w:val="00820B01"/>
    <w:rsid w:val="00822198"/>
    <w:rsid w:val="0082379A"/>
    <w:rsid w:val="008240A4"/>
    <w:rsid w:val="0082659A"/>
    <w:rsid w:val="00826B38"/>
    <w:rsid w:val="0082795A"/>
    <w:rsid w:val="00827B9E"/>
    <w:rsid w:val="00827BCB"/>
    <w:rsid w:val="0083008D"/>
    <w:rsid w:val="00830368"/>
    <w:rsid w:val="0083061B"/>
    <w:rsid w:val="008306BD"/>
    <w:rsid w:val="00831284"/>
    <w:rsid w:val="00831A80"/>
    <w:rsid w:val="00831E75"/>
    <w:rsid w:val="008329EC"/>
    <w:rsid w:val="00832AFB"/>
    <w:rsid w:val="00832E22"/>
    <w:rsid w:val="00833743"/>
    <w:rsid w:val="00833AA4"/>
    <w:rsid w:val="00833B9D"/>
    <w:rsid w:val="008340A4"/>
    <w:rsid w:val="008341DA"/>
    <w:rsid w:val="00837ACB"/>
    <w:rsid w:val="00841495"/>
    <w:rsid w:val="00841B15"/>
    <w:rsid w:val="00841E74"/>
    <w:rsid w:val="0084209C"/>
    <w:rsid w:val="00842BEF"/>
    <w:rsid w:val="008434A4"/>
    <w:rsid w:val="008441FF"/>
    <w:rsid w:val="0084461F"/>
    <w:rsid w:val="00844F7E"/>
    <w:rsid w:val="008468A8"/>
    <w:rsid w:val="00846F2E"/>
    <w:rsid w:val="00847CC0"/>
    <w:rsid w:val="00850AC9"/>
    <w:rsid w:val="00851356"/>
    <w:rsid w:val="0085188F"/>
    <w:rsid w:val="00852EF4"/>
    <w:rsid w:val="00852FFC"/>
    <w:rsid w:val="00853EA0"/>
    <w:rsid w:val="00854796"/>
    <w:rsid w:val="00854E00"/>
    <w:rsid w:val="00855BF2"/>
    <w:rsid w:val="00855C41"/>
    <w:rsid w:val="00856694"/>
    <w:rsid w:val="00857081"/>
    <w:rsid w:val="008577FA"/>
    <w:rsid w:val="00860246"/>
    <w:rsid w:val="0086122E"/>
    <w:rsid w:val="008618DD"/>
    <w:rsid w:val="00861904"/>
    <w:rsid w:val="00862573"/>
    <w:rsid w:val="00862837"/>
    <w:rsid w:val="0086294E"/>
    <w:rsid w:val="00863397"/>
    <w:rsid w:val="008636C6"/>
    <w:rsid w:val="00863BEA"/>
    <w:rsid w:val="008641CB"/>
    <w:rsid w:val="00865C85"/>
    <w:rsid w:val="00866214"/>
    <w:rsid w:val="0086705B"/>
    <w:rsid w:val="008704F1"/>
    <w:rsid w:val="0087135F"/>
    <w:rsid w:val="00872125"/>
    <w:rsid w:val="008721B6"/>
    <w:rsid w:val="00872D94"/>
    <w:rsid w:val="00873988"/>
    <w:rsid w:val="00873A8F"/>
    <w:rsid w:val="00874CEF"/>
    <w:rsid w:val="00875151"/>
    <w:rsid w:val="00876C2C"/>
    <w:rsid w:val="00880186"/>
    <w:rsid w:val="00880364"/>
    <w:rsid w:val="008818AE"/>
    <w:rsid w:val="00882063"/>
    <w:rsid w:val="008823E7"/>
    <w:rsid w:val="0088292D"/>
    <w:rsid w:val="00883C84"/>
    <w:rsid w:val="00883E84"/>
    <w:rsid w:val="00886B83"/>
    <w:rsid w:val="00886D73"/>
    <w:rsid w:val="00887E76"/>
    <w:rsid w:val="0089101F"/>
    <w:rsid w:val="008911D2"/>
    <w:rsid w:val="00891592"/>
    <w:rsid w:val="00891E9E"/>
    <w:rsid w:val="00891F54"/>
    <w:rsid w:val="00892065"/>
    <w:rsid w:val="00892093"/>
    <w:rsid w:val="0089271A"/>
    <w:rsid w:val="008943E5"/>
    <w:rsid w:val="008959A4"/>
    <w:rsid w:val="008961A9"/>
    <w:rsid w:val="00897686"/>
    <w:rsid w:val="00897A04"/>
    <w:rsid w:val="00897FCD"/>
    <w:rsid w:val="008A08B6"/>
    <w:rsid w:val="008A15BB"/>
    <w:rsid w:val="008A15F2"/>
    <w:rsid w:val="008A1709"/>
    <w:rsid w:val="008A1B30"/>
    <w:rsid w:val="008A1C24"/>
    <w:rsid w:val="008A217B"/>
    <w:rsid w:val="008A230F"/>
    <w:rsid w:val="008A2F68"/>
    <w:rsid w:val="008A30A9"/>
    <w:rsid w:val="008A3362"/>
    <w:rsid w:val="008A3904"/>
    <w:rsid w:val="008A4202"/>
    <w:rsid w:val="008A4C5C"/>
    <w:rsid w:val="008A4F7F"/>
    <w:rsid w:val="008A5981"/>
    <w:rsid w:val="008A5AE1"/>
    <w:rsid w:val="008A61A1"/>
    <w:rsid w:val="008A6979"/>
    <w:rsid w:val="008A6FC1"/>
    <w:rsid w:val="008B0E20"/>
    <w:rsid w:val="008B1359"/>
    <w:rsid w:val="008B4B27"/>
    <w:rsid w:val="008B4FA6"/>
    <w:rsid w:val="008B5282"/>
    <w:rsid w:val="008B5E8D"/>
    <w:rsid w:val="008B646F"/>
    <w:rsid w:val="008B78C7"/>
    <w:rsid w:val="008B7C17"/>
    <w:rsid w:val="008C01A4"/>
    <w:rsid w:val="008C03AD"/>
    <w:rsid w:val="008C050E"/>
    <w:rsid w:val="008C1027"/>
    <w:rsid w:val="008C163D"/>
    <w:rsid w:val="008C18F4"/>
    <w:rsid w:val="008C1EE8"/>
    <w:rsid w:val="008C239C"/>
    <w:rsid w:val="008C2969"/>
    <w:rsid w:val="008C2D01"/>
    <w:rsid w:val="008C3224"/>
    <w:rsid w:val="008C40E6"/>
    <w:rsid w:val="008C41AB"/>
    <w:rsid w:val="008C4818"/>
    <w:rsid w:val="008C684D"/>
    <w:rsid w:val="008D0593"/>
    <w:rsid w:val="008D0F7A"/>
    <w:rsid w:val="008D1C38"/>
    <w:rsid w:val="008D2A30"/>
    <w:rsid w:val="008D2F4E"/>
    <w:rsid w:val="008D338D"/>
    <w:rsid w:val="008D343A"/>
    <w:rsid w:val="008D5104"/>
    <w:rsid w:val="008D5135"/>
    <w:rsid w:val="008D561C"/>
    <w:rsid w:val="008D62FD"/>
    <w:rsid w:val="008D67B1"/>
    <w:rsid w:val="008D68B9"/>
    <w:rsid w:val="008D68E4"/>
    <w:rsid w:val="008D6CEF"/>
    <w:rsid w:val="008D747F"/>
    <w:rsid w:val="008D777B"/>
    <w:rsid w:val="008E04CD"/>
    <w:rsid w:val="008E0506"/>
    <w:rsid w:val="008E0CFF"/>
    <w:rsid w:val="008E0ED4"/>
    <w:rsid w:val="008E2075"/>
    <w:rsid w:val="008E3529"/>
    <w:rsid w:val="008E4C69"/>
    <w:rsid w:val="008E5D6B"/>
    <w:rsid w:val="008E61B2"/>
    <w:rsid w:val="008E66A4"/>
    <w:rsid w:val="008E76F0"/>
    <w:rsid w:val="008E7C35"/>
    <w:rsid w:val="008E7EC2"/>
    <w:rsid w:val="008F09B1"/>
    <w:rsid w:val="008F0E24"/>
    <w:rsid w:val="008F15FE"/>
    <w:rsid w:val="008F1651"/>
    <w:rsid w:val="008F1A63"/>
    <w:rsid w:val="008F1DC3"/>
    <w:rsid w:val="008F1F5C"/>
    <w:rsid w:val="008F20F6"/>
    <w:rsid w:val="008F2D29"/>
    <w:rsid w:val="008F2E50"/>
    <w:rsid w:val="008F4467"/>
    <w:rsid w:val="008F5016"/>
    <w:rsid w:val="008F5187"/>
    <w:rsid w:val="008F5227"/>
    <w:rsid w:val="008F52C7"/>
    <w:rsid w:val="008F60D8"/>
    <w:rsid w:val="008F62E4"/>
    <w:rsid w:val="008F63CC"/>
    <w:rsid w:val="008F69F3"/>
    <w:rsid w:val="008F6EC6"/>
    <w:rsid w:val="0090066E"/>
    <w:rsid w:val="00901216"/>
    <w:rsid w:val="00901E60"/>
    <w:rsid w:val="009023C9"/>
    <w:rsid w:val="00902727"/>
    <w:rsid w:val="0090312B"/>
    <w:rsid w:val="009035C8"/>
    <w:rsid w:val="00904768"/>
    <w:rsid w:val="00904C1D"/>
    <w:rsid w:val="00905FD9"/>
    <w:rsid w:val="00906B43"/>
    <w:rsid w:val="00910471"/>
    <w:rsid w:val="00910A12"/>
    <w:rsid w:val="00910BC1"/>
    <w:rsid w:val="00910CBC"/>
    <w:rsid w:val="00911D87"/>
    <w:rsid w:val="00912C66"/>
    <w:rsid w:val="00913E42"/>
    <w:rsid w:val="00913EDC"/>
    <w:rsid w:val="009151FB"/>
    <w:rsid w:val="00915DF6"/>
    <w:rsid w:val="009168AC"/>
    <w:rsid w:val="00916FB8"/>
    <w:rsid w:val="0091736D"/>
    <w:rsid w:val="0092081B"/>
    <w:rsid w:val="0092085B"/>
    <w:rsid w:val="0092177A"/>
    <w:rsid w:val="009224CE"/>
    <w:rsid w:val="009224D0"/>
    <w:rsid w:val="00922607"/>
    <w:rsid w:val="0092364C"/>
    <w:rsid w:val="00923BC7"/>
    <w:rsid w:val="00923EEF"/>
    <w:rsid w:val="009241C1"/>
    <w:rsid w:val="0092512B"/>
    <w:rsid w:val="00925641"/>
    <w:rsid w:val="009267C2"/>
    <w:rsid w:val="00926B4B"/>
    <w:rsid w:val="00927214"/>
    <w:rsid w:val="009279A2"/>
    <w:rsid w:val="00927E3C"/>
    <w:rsid w:val="0093037A"/>
    <w:rsid w:val="00930723"/>
    <w:rsid w:val="00931354"/>
    <w:rsid w:val="0093139B"/>
    <w:rsid w:val="00931D53"/>
    <w:rsid w:val="00931F92"/>
    <w:rsid w:val="00932D17"/>
    <w:rsid w:val="00933354"/>
    <w:rsid w:val="009342D8"/>
    <w:rsid w:val="0093433E"/>
    <w:rsid w:val="00934512"/>
    <w:rsid w:val="009352FC"/>
    <w:rsid w:val="0093652C"/>
    <w:rsid w:val="00936549"/>
    <w:rsid w:val="00936A7F"/>
    <w:rsid w:val="009375D8"/>
    <w:rsid w:val="009378D3"/>
    <w:rsid w:val="009406D4"/>
    <w:rsid w:val="0094154D"/>
    <w:rsid w:val="0094181C"/>
    <w:rsid w:val="00941D3A"/>
    <w:rsid w:val="009435FD"/>
    <w:rsid w:val="00946A4F"/>
    <w:rsid w:val="009500B3"/>
    <w:rsid w:val="00950328"/>
    <w:rsid w:val="00950CD1"/>
    <w:rsid w:val="009510E8"/>
    <w:rsid w:val="0095155F"/>
    <w:rsid w:val="00951CCC"/>
    <w:rsid w:val="00952490"/>
    <w:rsid w:val="00952E39"/>
    <w:rsid w:val="00954429"/>
    <w:rsid w:val="00954ED2"/>
    <w:rsid w:val="009563CE"/>
    <w:rsid w:val="00956E6A"/>
    <w:rsid w:val="00957E64"/>
    <w:rsid w:val="009609D0"/>
    <w:rsid w:val="00960A16"/>
    <w:rsid w:val="00961784"/>
    <w:rsid w:val="00961C0D"/>
    <w:rsid w:val="00961E49"/>
    <w:rsid w:val="00962176"/>
    <w:rsid w:val="009621C8"/>
    <w:rsid w:val="0096244A"/>
    <w:rsid w:val="0096277A"/>
    <w:rsid w:val="00962827"/>
    <w:rsid w:val="00962EFF"/>
    <w:rsid w:val="00963056"/>
    <w:rsid w:val="009638DE"/>
    <w:rsid w:val="00963C28"/>
    <w:rsid w:val="0096472D"/>
    <w:rsid w:val="009661A4"/>
    <w:rsid w:val="00967C2B"/>
    <w:rsid w:val="00970711"/>
    <w:rsid w:val="0097097C"/>
    <w:rsid w:val="00970E6E"/>
    <w:rsid w:val="00971992"/>
    <w:rsid w:val="00972090"/>
    <w:rsid w:val="00972B67"/>
    <w:rsid w:val="0097332F"/>
    <w:rsid w:val="009745C0"/>
    <w:rsid w:val="009748A6"/>
    <w:rsid w:val="00975958"/>
    <w:rsid w:val="00976328"/>
    <w:rsid w:val="0097680D"/>
    <w:rsid w:val="0097771D"/>
    <w:rsid w:val="0097792C"/>
    <w:rsid w:val="009804D4"/>
    <w:rsid w:val="009806BA"/>
    <w:rsid w:val="00980D40"/>
    <w:rsid w:val="00980FF9"/>
    <w:rsid w:val="009812AB"/>
    <w:rsid w:val="009816D5"/>
    <w:rsid w:val="00981FAF"/>
    <w:rsid w:val="00982438"/>
    <w:rsid w:val="009825F4"/>
    <w:rsid w:val="00982A36"/>
    <w:rsid w:val="009835B8"/>
    <w:rsid w:val="009835E9"/>
    <w:rsid w:val="00984013"/>
    <w:rsid w:val="0098404C"/>
    <w:rsid w:val="009846E9"/>
    <w:rsid w:val="00985283"/>
    <w:rsid w:val="00985C42"/>
    <w:rsid w:val="00985CFF"/>
    <w:rsid w:val="00985F48"/>
    <w:rsid w:val="0098633A"/>
    <w:rsid w:val="00986739"/>
    <w:rsid w:val="00986EA7"/>
    <w:rsid w:val="00986F5B"/>
    <w:rsid w:val="009877F7"/>
    <w:rsid w:val="00990BC5"/>
    <w:rsid w:val="00990C08"/>
    <w:rsid w:val="009912EB"/>
    <w:rsid w:val="00992194"/>
    <w:rsid w:val="00993F8A"/>
    <w:rsid w:val="009946B4"/>
    <w:rsid w:val="0099520B"/>
    <w:rsid w:val="00995237"/>
    <w:rsid w:val="009952E2"/>
    <w:rsid w:val="00995992"/>
    <w:rsid w:val="00995D37"/>
    <w:rsid w:val="009A00C5"/>
    <w:rsid w:val="009A02EE"/>
    <w:rsid w:val="009A03E5"/>
    <w:rsid w:val="009A079F"/>
    <w:rsid w:val="009A0F3B"/>
    <w:rsid w:val="009A118F"/>
    <w:rsid w:val="009A18A8"/>
    <w:rsid w:val="009A1A74"/>
    <w:rsid w:val="009A1BB4"/>
    <w:rsid w:val="009A2628"/>
    <w:rsid w:val="009A2A54"/>
    <w:rsid w:val="009A3200"/>
    <w:rsid w:val="009A32EA"/>
    <w:rsid w:val="009A3F31"/>
    <w:rsid w:val="009A5BF3"/>
    <w:rsid w:val="009A6957"/>
    <w:rsid w:val="009A7F5A"/>
    <w:rsid w:val="009B0897"/>
    <w:rsid w:val="009B12CD"/>
    <w:rsid w:val="009B2418"/>
    <w:rsid w:val="009B2F82"/>
    <w:rsid w:val="009B3106"/>
    <w:rsid w:val="009B5008"/>
    <w:rsid w:val="009B6234"/>
    <w:rsid w:val="009B6305"/>
    <w:rsid w:val="009B6332"/>
    <w:rsid w:val="009B7BD9"/>
    <w:rsid w:val="009B7D64"/>
    <w:rsid w:val="009B7E1A"/>
    <w:rsid w:val="009C0F3D"/>
    <w:rsid w:val="009C1F55"/>
    <w:rsid w:val="009C2272"/>
    <w:rsid w:val="009C2B98"/>
    <w:rsid w:val="009C3255"/>
    <w:rsid w:val="009C39CB"/>
    <w:rsid w:val="009C4E0F"/>
    <w:rsid w:val="009C4E1B"/>
    <w:rsid w:val="009C5A70"/>
    <w:rsid w:val="009C5F22"/>
    <w:rsid w:val="009C7887"/>
    <w:rsid w:val="009C7897"/>
    <w:rsid w:val="009C7DD5"/>
    <w:rsid w:val="009D014B"/>
    <w:rsid w:val="009D2588"/>
    <w:rsid w:val="009D2FA4"/>
    <w:rsid w:val="009D3505"/>
    <w:rsid w:val="009D4376"/>
    <w:rsid w:val="009D4769"/>
    <w:rsid w:val="009D4AE5"/>
    <w:rsid w:val="009D5A61"/>
    <w:rsid w:val="009D5F80"/>
    <w:rsid w:val="009D6521"/>
    <w:rsid w:val="009D6994"/>
    <w:rsid w:val="009D728D"/>
    <w:rsid w:val="009D7EA8"/>
    <w:rsid w:val="009E09CB"/>
    <w:rsid w:val="009E11CE"/>
    <w:rsid w:val="009E227D"/>
    <w:rsid w:val="009E30C8"/>
    <w:rsid w:val="009E38AB"/>
    <w:rsid w:val="009E5019"/>
    <w:rsid w:val="009E60C2"/>
    <w:rsid w:val="009E64F6"/>
    <w:rsid w:val="009E680F"/>
    <w:rsid w:val="009E7675"/>
    <w:rsid w:val="009E7B9D"/>
    <w:rsid w:val="009F00A1"/>
    <w:rsid w:val="009F06F5"/>
    <w:rsid w:val="009F1B00"/>
    <w:rsid w:val="009F1E5F"/>
    <w:rsid w:val="009F28A0"/>
    <w:rsid w:val="009F2C51"/>
    <w:rsid w:val="009F2C8E"/>
    <w:rsid w:val="009F34AA"/>
    <w:rsid w:val="009F3EFD"/>
    <w:rsid w:val="009F4814"/>
    <w:rsid w:val="009F5195"/>
    <w:rsid w:val="009F6111"/>
    <w:rsid w:val="009F7061"/>
    <w:rsid w:val="009F751D"/>
    <w:rsid w:val="00A00105"/>
    <w:rsid w:val="00A0157D"/>
    <w:rsid w:val="00A028D5"/>
    <w:rsid w:val="00A03C9E"/>
    <w:rsid w:val="00A04CE0"/>
    <w:rsid w:val="00A04F1B"/>
    <w:rsid w:val="00A0501B"/>
    <w:rsid w:val="00A056D7"/>
    <w:rsid w:val="00A06396"/>
    <w:rsid w:val="00A06B4C"/>
    <w:rsid w:val="00A06D69"/>
    <w:rsid w:val="00A076BC"/>
    <w:rsid w:val="00A1104C"/>
    <w:rsid w:val="00A11F8C"/>
    <w:rsid w:val="00A12433"/>
    <w:rsid w:val="00A13300"/>
    <w:rsid w:val="00A142D9"/>
    <w:rsid w:val="00A14947"/>
    <w:rsid w:val="00A1512A"/>
    <w:rsid w:val="00A1565B"/>
    <w:rsid w:val="00A1580B"/>
    <w:rsid w:val="00A168BA"/>
    <w:rsid w:val="00A1759A"/>
    <w:rsid w:val="00A204F9"/>
    <w:rsid w:val="00A21234"/>
    <w:rsid w:val="00A23010"/>
    <w:rsid w:val="00A23435"/>
    <w:rsid w:val="00A23C5D"/>
    <w:rsid w:val="00A24166"/>
    <w:rsid w:val="00A2444E"/>
    <w:rsid w:val="00A24852"/>
    <w:rsid w:val="00A24F52"/>
    <w:rsid w:val="00A25697"/>
    <w:rsid w:val="00A26C3E"/>
    <w:rsid w:val="00A26E3B"/>
    <w:rsid w:val="00A309C9"/>
    <w:rsid w:val="00A313A7"/>
    <w:rsid w:val="00A321E0"/>
    <w:rsid w:val="00A32A83"/>
    <w:rsid w:val="00A337DD"/>
    <w:rsid w:val="00A33B20"/>
    <w:rsid w:val="00A33D57"/>
    <w:rsid w:val="00A345BE"/>
    <w:rsid w:val="00A34C96"/>
    <w:rsid w:val="00A3602E"/>
    <w:rsid w:val="00A368DB"/>
    <w:rsid w:val="00A36DD5"/>
    <w:rsid w:val="00A36E16"/>
    <w:rsid w:val="00A37C7B"/>
    <w:rsid w:val="00A408C1"/>
    <w:rsid w:val="00A40B06"/>
    <w:rsid w:val="00A41592"/>
    <w:rsid w:val="00A423AA"/>
    <w:rsid w:val="00A433C2"/>
    <w:rsid w:val="00A43E1C"/>
    <w:rsid w:val="00A44711"/>
    <w:rsid w:val="00A44C2F"/>
    <w:rsid w:val="00A44C7F"/>
    <w:rsid w:val="00A4508B"/>
    <w:rsid w:val="00A4510F"/>
    <w:rsid w:val="00A452D3"/>
    <w:rsid w:val="00A46FB1"/>
    <w:rsid w:val="00A50114"/>
    <w:rsid w:val="00A50996"/>
    <w:rsid w:val="00A50F3D"/>
    <w:rsid w:val="00A5110E"/>
    <w:rsid w:val="00A51559"/>
    <w:rsid w:val="00A515AA"/>
    <w:rsid w:val="00A51CAD"/>
    <w:rsid w:val="00A52D4A"/>
    <w:rsid w:val="00A53255"/>
    <w:rsid w:val="00A5355F"/>
    <w:rsid w:val="00A5360E"/>
    <w:rsid w:val="00A53B0A"/>
    <w:rsid w:val="00A53EC6"/>
    <w:rsid w:val="00A54A30"/>
    <w:rsid w:val="00A55C0F"/>
    <w:rsid w:val="00A55E32"/>
    <w:rsid w:val="00A56039"/>
    <w:rsid w:val="00A56246"/>
    <w:rsid w:val="00A567AA"/>
    <w:rsid w:val="00A60356"/>
    <w:rsid w:val="00A61842"/>
    <w:rsid w:val="00A618D8"/>
    <w:rsid w:val="00A62D58"/>
    <w:rsid w:val="00A63C93"/>
    <w:rsid w:val="00A63E83"/>
    <w:rsid w:val="00A641EF"/>
    <w:rsid w:val="00A64397"/>
    <w:rsid w:val="00A6654A"/>
    <w:rsid w:val="00A667F5"/>
    <w:rsid w:val="00A66A4F"/>
    <w:rsid w:val="00A66BE1"/>
    <w:rsid w:val="00A6784E"/>
    <w:rsid w:val="00A67A79"/>
    <w:rsid w:val="00A72761"/>
    <w:rsid w:val="00A72D25"/>
    <w:rsid w:val="00A73C6C"/>
    <w:rsid w:val="00A73D95"/>
    <w:rsid w:val="00A73DAD"/>
    <w:rsid w:val="00A73EF0"/>
    <w:rsid w:val="00A7417C"/>
    <w:rsid w:val="00A743C8"/>
    <w:rsid w:val="00A7666E"/>
    <w:rsid w:val="00A76D3A"/>
    <w:rsid w:val="00A775CB"/>
    <w:rsid w:val="00A7769A"/>
    <w:rsid w:val="00A777EB"/>
    <w:rsid w:val="00A8031E"/>
    <w:rsid w:val="00A80465"/>
    <w:rsid w:val="00A80A96"/>
    <w:rsid w:val="00A80B36"/>
    <w:rsid w:val="00A80FCA"/>
    <w:rsid w:val="00A81669"/>
    <w:rsid w:val="00A834EB"/>
    <w:rsid w:val="00A83C91"/>
    <w:rsid w:val="00A83F11"/>
    <w:rsid w:val="00A83F6C"/>
    <w:rsid w:val="00A84580"/>
    <w:rsid w:val="00A84D63"/>
    <w:rsid w:val="00A8579A"/>
    <w:rsid w:val="00A86772"/>
    <w:rsid w:val="00A86A6E"/>
    <w:rsid w:val="00A8713F"/>
    <w:rsid w:val="00A873E6"/>
    <w:rsid w:val="00A87C20"/>
    <w:rsid w:val="00A9021B"/>
    <w:rsid w:val="00A90BA1"/>
    <w:rsid w:val="00A91195"/>
    <w:rsid w:val="00A914B0"/>
    <w:rsid w:val="00A92356"/>
    <w:rsid w:val="00A92896"/>
    <w:rsid w:val="00A929CD"/>
    <w:rsid w:val="00A931F1"/>
    <w:rsid w:val="00A93AE2"/>
    <w:rsid w:val="00A93C4C"/>
    <w:rsid w:val="00A93F95"/>
    <w:rsid w:val="00A94E34"/>
    <w:rsid w:val="00A965BB"/>
    <w:rsid w:val="00A97A03"/>
    <w:rsid w:val="00A97A04"/>
    <w:rsid w:val="00A97A9A"/>
    <w:rsid w:val="00AA0671"/>
    <w:rsid w:val="00AA2531"/>
    <w:rsid w:val="00AA413F"/>
    <w:rsid w:val="00AA5CDB"/>
    <w:rsid w:val="00AA5E12"/>
    <w:rsid w:val="00AA6FB0"/>
    <w:rsid w:val="00AA78A0"/>
    <w:rsid w:val="00AB0712"/>
    <w:rsid w:val="00AB1752"/>
    <w:rsid w:val="00AB1E09"/>
    <w:rsid w:val="00AB2211"/>
    <w:rsid w:val="00AB3399"/>
    <w:rsid w:val="00AB3562"/>
    <w:rsid w:val="00AB3C38"/>
    <w:rsid w:val="00AB40F5"/>
    <w:rsid w:val="00AB459B"/>
    <w:rsid w:val="00AB4F3A"/>
    <w:rsid w:val="00AB4FFC"/>
    <w:rsid w:val="00AB5127"/>
    <w:rsid w:val="00AB5330"/>
    <w:rsid w:val="00AB66B6"/>
    <w:rsid w:val="00AB69D2"/>
    <w:rsid w:val="00AB69FF"/>
    <w:rsid w:val="00AB6B6A"/>
    <w:rsid w:val="00AB6C85"/>
    <w:rsid w:val="00AB72EB"/>
    <w:rsid w:val="00AB7747"/>
    <w:rsid w:val="00AC00CF"/>
    <w:rsid w:val="00AC0130"/>
    <w:rsid w:val="00AC0834"/>
    <w:rsid w:val="00AC0AAA"/>
    <w:rsid w:val="00AC0C7D"/>
    <w:rsid w:val="00AC0E3C"/>
    <w:rsid w:val="00AC14CE"/>
    <w:rsid w:val="00AC262D"/>
    <w:rsid w:val="00AC2A56"/>
    <w:rsid w:val="00AC2AA0"/>
    <w:rsid w:val="00AC3AB8"/>
    <w:rsid w:val="00AC559E"/>
    <w:rsid w:val="00AC5CAF"/>
    <w:rsid w:val="00AC69D3"/>
    <w:rsid w:val="00AC6A4A"/>
    <w:rsid w:val="00AC764F"/>
    <w:rsid w:val="00AC76A9"/>
    <w:rsid w:val="00AD055E"/>
    <w:rsid w:val="00AD1396"/>
    <w:rsid w:val="00AD1B7C"/>
    <w:rsid w:val="00AD1DA0"/>
    <w:rsid w:val="00AD1FDE"/>
    <w:rsid w:val="00AD210B"/>
    <w:rsid w:val="00AD2ACB"/>
    <w:rsid w:val="00AD311D"/>
    <w:rsid w:val="00AD47A7"/>
    <w:rsid w:val="00AD568A"/>
    <w:rsid w:val="00AD5B08"/>
    <w:rsid w:val="00AD66ED"/>
    <w:rsid w:val="00AD6E57"/>
    <w:rsid w:val="00AD7945"/>
    <w:rsid w:val="00AD79AD"/>
    <w:rsid w:val="00AE11C2"/>
    <w:rsid w:val="00AE2360"/>
    <w:rsid w:val="00AE2EA0"/>
    <w:rsid w:val="00AE32ED"/>
    <w:rsid w:val="00AE3363"/>
    <w:rsid w:val="00AE4188"/>
    <w:rsid w:val="00AE49A8"/>
    <w:rsid w:val="00AE5877"/>
    <w:rsid w:val="00AF0120"/>
    <w:rsid w:val="00AF0281"/>
    <w:rsid w:val="00AF0CBF"/>
    <w:rsid w:val="00AF1537"/>
    <w:rsid w:val="00AF1B42"/>
    <w:rsid w:val="00AF2016"/>
    <w:rsid w:val="00AF257F"/>
    <w:rsid w:val="00AF33CF"/>
    <w:rsid w:val="00AF3AC8"/>
    <w:rsid w:val="00AF3DAD"/>
    <w:rsid w:val="00AF48AA"/>
    <w:rsid w:val="00AF4B15"/>
    <w:rsid w:val="00AF4D50"/>
    <w:rsid w:val="00AF5AE5"/>
    <w:rsid w:val="00AF5C14"/>
    <w:rsid w:val="00AF6179"/>
    <w:rsid w:val="00AF7CE2"/>
    <w:rsid w:val="00AF7E16"/>
    <w:rsid w:val="00B0047D"/>
    <w:rsid w:val="00B0105D"/>
    <w:rsid w:val="00B0146A"/>
    <w:rsid w:val="00B0236D"/>
    <w:rsid w:val="00B02C30"/>
    <w:rsid w:val="00B03218"/>
    <w:rsid w:val="00B03899"/>
    <w:rsid w:val="00B047BE"/>
    <w:rsid w:val="00B04FDD"/>
    <w:rsid w:val="00B07006"/>
    <w:rsid w:val="00B07396"/>
    <w:rsid w:val="00B07EBC"/>
    <w:rsid w:val="00B100C1"/>
    <w:rsid w:val="00B1086E"/>
    <w:rsid w:val="00B10A26"/>
    <w:rsid w:val="00B10B1F"/>
    <w:rsid w:val="00B10EEE"/>
    <w:rsid w:val="00B1194F"/>
    <w:rsid w:val="00B12264"/>
    <w:rsid w:val="00B1295A"/>
    <w:rsid w:val="00B12ACD"/>
    <w:rsid w:val="00B12E06"/>
    <w:rsid w:val="00B12FF1"/>
    <w:rsid w:val="00B13164"/>
    <w:rsid w:val="00B13740"/>
    <w:rsid w:val="00B14079"/>
    <w:rsid w:val="00B14661"/>
    <w:rsid w:val="00B15289"/>
    <w:rsid w:val="00B16F88"/>
    <w:rsid w:val="00B17328"/>
    <w:rsid w:val="00B179DB"/>
    <w:rsid w:val="00B17C38"/>
    <w:rsid w:val="00B17F08"/>
    <w:rsid w:val="00B20258"/>
    <w:rsid w:val="00B20A00"/>
    <w:rsid w:val="00B20A45"/>
    <w:rsid w:val="00B21015"/>
    <w:rsid w:val="00B2164A"/>
    <w:rsid w:val="00B22585"/>
    <w:rsid w:val="00B22732"/>
    <w:rsid w:val="00B22792"/>
    <w:rsid w:val="00B22912"/>
    <w:rsid w:val="00B22C5C"/>
    <w:rsid w:val="00B22D27"/>
    <w:rsid w:val="00B22E36"/>
    <w:rsid w:val="00B23834"/>
    <w:rsid w:val="00B24F30"/>
    <w:rsid w:val="00B251F7"/>
    <w:rsid w:val="00B25D1E"/>
    <w:rsid w:val="00B260CE"/>
    <w:rsid w:val="00B26267"/>
    <w:rsid w:val="00B30359"/>
    <w:rsid w:val="00B30B33"/>
    <w:rsid w:val="00B31847"/>
    <w:rsid w:val="00B31ABF"/>
    <w:rsid w:val="00B32B09"/>
    <w:rsid w:val="00B32F29"/>
    <w:rsid w:val="00B33BE3"/>
    <w:rsid w:val="00B34938"/>
    <w:rsid w:val="00B350F3"/>
    <w:rsid w:val="00B3557D"/>
    <w:rsid w:val="00B36199"/>
    <w:rsid w:val="00B37BDC"/>
    <w:rsid w:val="00B402A3"/>
    <w:rsid w:val="00B40CB6"/>
    <w:rsid w:val="00B41519"/>
    <w:rsid w:val="00B41553"/>
    <w:rsid w:val="00B42B6C"/>
    <w:rsid w:val="00B4307D"/>
    <w:rsid w:val="00B433B9"/>
    <w:rsid w:val="00B43EF9"/>
    <w:rsid w:val="00B4496A"/>
    <w:rsid w:val="00B4531A"/>
    <w:rsid w:val="00B45918"/>
    <w:rsid w:val="00B460FF"/>
    <w:rsid w:val="00B4671C"/>
    <w:rsid w:val="00B47341"/>
    <w:rsid w:val="00B5003E"/>
    <w:rsid w:val="00B50C85"/>
    <w:rsid w:val="00B53490"/>
    <w:rsid w:val="00B53B5D"/>
    <w:rsid w:val="00B54178"/>
    <w:rsid w:val="00B54586"/>
    <w:rsid w:val="00B54EA1"/>
    <w:rsid w:val="00B5589F"/>
    <w:rsid w:val="00B5684D"/>
    <w:rsid w:val="00B56B15"/>
    <w:rsid w:val="00B6055E"/>
    <w:rsid w:val="00B6098D"/>
    <w:rsid w:val="00B60E80"/>
    <w:rsid w:val="00B61E15"/>
    <w:rsid w:val="00B62149"/>
    <w:rsid w:val="00B62A54"/>
    <w:rsid w:val="00B62B36"/>
    <w:rsid w:val="00B6317D"/>
    <w:rsid w:val="00B643B7"/>
    <w:rsid w:val="00B6450A"/>
    <w:rsid w:val="00B6609E"/>
    <w:rsid w:val="00B668B8"/>
    <w:rsid w:val="00B6732E"/>
    <w:rsid w:val="00B67F61"/>
    <w:rsid w:val="00B707DA"/>
    <w:rsid w:val="00B7082B"/>
    <w:rsid w:val="00B709E2"/>
    <w:rsid w:val="00B713AC"/>
    <w:rsid w:val="00B72825"/>
    <w:rsid w:val="00B72A52"/>
    <w:rsid w:val="00B738E9"/>
    <w:rsid w:val="00B73DBA"/>
    <w:rsid w:val="00B74CB0"/>
    <w:rsid w:val="00B754D6"/>
    <w:rsid w:val="00B757D5"/>
    <w:rsid w:val="00B75C9C"/>
    <w:rsid w:val="00B7723F"/>
    <w:rsid w:val="00B77317"/>
    <w:rsid w:val="00B77E39"/>
    <w:rsid w:val="00B77EAD"/>
    <w:rsid w:val="00B80534"/>
    <w:rsid w:val="00B80E02"/>
    <w:rsid w:val="00B80ED9"/>
    <w:rsid w:val="00B82A62"/>
    <w:rsid w:val="00B83017"/>
    <w:rsid w:val="00B83A2F"/>
    <w:rsid w:val="00B8433C"/>
    <w:rsid w:val="00B845E0"/>
    <w:rsid w:val="00B8472D"/>
    <w:rsid w:val="00B85226"/>
    <w:rsid w:val="00B86860"/>
    <w:rsid w:val="00B87491"/>
    <w:rsid w:val="00B90118"/>
    <w:rsid w:val="00B9053E"/>
    <w:rsid w:val="00B91486"/>
    <w:rsid w:val="00B918A3"/>
    <w:rsid w:val="00B91974"/>
    <w:rsid w:val="00B92FF8"/>
    <w:rsid w:val="00B94230"/>
    <w:rsid w:val="00B96934"/>
    <w:rsid w:val="00B97A28"/>
    <w:rsid w:val="00BA1547"/>
    <w:rsid w:val="00BA1B17"/>
    <w:rsid w:val="00BA2494"/>
    <w:rsid w:val="00BA29E9"/>
    <w:rsid w:val="00BA3C9E"/>
    <w:rsid w:val="00BA3F94"/>
    <w:rsid w:val="00BA4D45"/>
    <w:rsid w:val="00BA567D"/>
    <w:rsid w:val="00BA5CF5"/>
    <w:rsid w:val="00BA6187"/>
    <w:rsid w:val="00BA7142"/>
    <w:rsid w:val="00BA75FD"/>
    <w:rsid w:val="00BA7DC9"/>
    <w:rsid w:val="00BB0C77"/>
    <w:rsid w:val="00BB14B5"/>
    <w:rsid w:val="00BB164F"/>
    <w:rsid w:val="00BB237C"/>
    <w:rsid w:val="00BB41A3"/>
    <w:rsid w:val="00BB6238"/>
    <w:rsid w:val="00BB6B11"/>
    <w:rsid w:val="00BB7206"/>
    <w:rsid w:val="00BB7E9A"/>
    <w:rsid w:val="00BC0292"/>
    <w:rsid w:val="00BC0CA3"/>
    <w:rsid w:val="00BC0DCD"/>
    <w:rsid w:val="00BC2D70"/>
    <w:rsid w:val="00BC32DC"/>
    <w:rsid w:val="00BC35B6"/>
    <w:rsid w:val="00BC3CCF"/>
    <w:rsid w:val="00BC3D2C"/>
    <w:rsid w:val="00BC3E81"/>
    <w:rsid w:val="00BC4569"/>
    <w:rsid w:val="00BC4939"/>
    <w:rsid w:val="00BC5288"/>
    <w:rsid w:val="00BC538F"/>
    <w:rsid w:val="00BC5BA3"/>
    <w:rsid w:val="00BC659F"/>
    <w:rsid w:val="00BC6B91"/>
    <w:rsid w:val="00BC72BC"/>
    <w:rsid w:val="00BC75F6"/>
    <w:rsid w:val="00BC7914"/>
    <w:rsid w:val="00BC7D0A"/>
    <w:rsid w:val="00BD011D"/>
    <w:rsid w:val="00BD01A2"/>
    <w:rsid w:val="00BD01BE"/>
    <w:rsid w:val="00BD01FB"/>
    <w:rsid w:val="00BD07EA"/>
    <w:rsid w:val="00BD0C31"/>
    <w:rsid w:val="00BD124D"/>
    <w:rsid w:val="00BD1B51"/>
    <w:rsid w:val="00BD22B0"/>
    <w:rsid w:val="00BD296D"/>
    <w:rsid w:val="00BD34A3"/>
    <w:rsid w:val="00BD3A89"/>
    <w:rsid w:val="00BD4596"/>
    <w:rsid w:val="00BD4F65"/>
    <w:rsid w:val="00BD5276"/>
    <w:rsid w:val="00BD5F52"/>
    <w:rsid w:val="00BD65FB"/>
    <w:rsid w:val="00BD6F1F"/>
    <w:rsid w:val="00BD7C87"/>
    <w:rsid w:val="00BE020D"/>
    <w:rsid w:val="00BE0407"/>
    <w:rsid w:val="00BE1405"/>
    <w:rsid w:val="00BE1B33"/>
    <w:rsid w:val="00BE2179"/>
    <w:rsid w:val="00BE23FD"/>
    <w:rsid w:val="00BE3044"/>
    <w:rsid w:val="00BE312D"/>
    <w:rsid w:val="00BE32D8"/>
    <w:rsid w:val="00BE3AAD"/>
    <w:rsid w:val="00BE416A"/>
    <w:rsid w:val="00BE479F"/>
    <w:rsid w:val="00BE5331"/>
    <w:rsid w:val="00BE551C"/>
    <w:rsid w:val="00BE5945"/>
    <w:rsid w:val="00BE5C24"/>
    <w:rsid w:val="00BE692A"/>
    <w:rsid w:val="00BE797A"/>
    <w:rsid w:val="00BF07E0"/>
    <w:rsid w:val="00BF1886"/>
    <w:rsid w:val="00BF1C20"/>
    <w:rsid w:val="00BF3599"/>
    <w:rsid w:val="00BF36E9"/>
    <w:rsid w:val="00BF3894"/>
    <w:rsid w:val="00BF3AD7"/>
    <w:rsid w:val="00BF44E4"/>
    <w:rsid w:val="00BF5329"/>
    <w:rsid w:val="00BF546A"/>
    <w:rsid w:val="00BF5FF9"/>
    <w:rsid w:val="00BF629B"/>
    <w:rsid w:val="00BF6526"/>
    <w:rsid w:val="00BF6CD7"/>
    <w:rsid w:val="00C01E08"/>
    <w:rsid w:val="00C01E7B"/>
    <w:rsid w:val="00C0210C"/>
    <w:rsid w:val="00C02EF9"/>
    <w:rsid w:val="00C062AC"/>
    <w:rsid w:val="00C06BCD"/>
    <w:rsid w:val="00C06CF9"/>
    <w:rsid w:val="00C06DAF"/>
    <w:rsid w:val="00C07178"/>
    <w:rsid w:val="00C078AA"/>
    <w:rsid w:val="00C07ED8"/>
    <w:rsid w:val="00C101DD"/>
    <w:rsid w:val="00C1028A"/>
    <w:rsid w:val="00C103B0"/>
    <w:rsid w:val="00C10578"/>
    <w:rsid w:val="00C10681"/>
    <w:rsid w:val="00C1103B"/>
    <w:rsid w:val="00C117ED"/>
    <w:rsid w:val="00C12BF9"/>
    <w:rsid w:val="00C12C33"/>
    <w:rsid w:val="00C12CD1"/>
    <w:rsid w:val="00C13149"/>
    <w:rsid w:val="00C133CF"/>
    <w:rsid w:val="00C135BC"/>
    <w:rsid w:val="00C13DB4"/>
    <w:rsid w:val="00C14339"/>
    <w:rsid w:val="00C14774"/>
    <w:rsid w:val="00C15714"/>
    <w:rsid w:val="00C15A6C"/>
    <w:rsid w:val="00C15C95"/>
    <w:rsid w:val="00C16157"/>
    <w:rsid w:val="00C16B6D"/>
    <w:rsid w:val="00C17EF1"/>
    <w:rsid w:val="00C203CB"/>
    <w:rsid w:val="00C21F32"/>
    <w:rsid w:val="00C22BE6"/>
    <w:rsid w:val="00C22EB7"/>
    <w:rsid w:val="00C23607"/>
    <w:rsid w:val="00C23908"/>
    <w:rsid w:val="00C25407"/>
    <w:rsid w:val="00C2596A"/>
    <w:rsid w:val="00C25B7C"/>
    <w:rsid w:val="00C25E77"/>
    <w:rsid w:val="00C26D6B"/>
    <w:rsid w:val="00C272C1"/>
    <w:rsid w:val="00C27537"/>
    <w:rsid w:val="00C2783D"/>
    <w:rsid w:val="00C27D30"/>
    <w:rsid w:val="00C30B2B"/>
    <w:rsid w:val="00C3108A"/>
    <w:rsid w:val="00C3244B"/>
    <w:rsid w:val="00C32837"/>
    <w:rsid w:val="00C328FE"/>
    <w:rsid w:val="00C33507"/>
    <w:rsid w:val="00C3430D"/>
    <w:rsid w:val="00C34B55"/>
    <w:rsid w:val="00C35ED7"/>
    <w:rsid w:val="00C4025D"/>
    <w:rsid w:val="00C402B7"/>
    <w:rsid w:val="00C42772"/>
    <w:rsid w:val="00C427ED"/>
    <w:rsid w:val="00C42BA0"/>
    <w:rsid w:val="00C43C41"/>
    <w:rsid w:val="00C4409D"/>
    <w:rsid w:val="00C44E72"/>
    <w:rsid w:val="00C4501F"/>
    <w:rsid w:val="00C4545B"/>
    <w:rsid w:val="00C45740"/>
    <w:rsid w:val="00C45839"/>
    <w:rsid w:val="00C45A06"/>
    <w:rsid w:val="00C45CA3"/>
    <w:rsid w:val="00C46126"/>
    <w:rsid w:val="00C47C01"/>
    <w:rsid w:val="00C47C99"/>
    <w:rsid w:val="00C47E5B"/>
    <w:rsid w:val="00C50737"/>
    <w:rsid w:val="00C51A23"/>
    <w:rsid w:val="00C51B11"/>
    <w:rsid w:val="00C51B56"/>
    <w:rsid w:val="00C52C64"/>
    <w:rsid w:val="00C52D89"/>
    <w:rsid w:val="00C52DCB"/>
    <w:rsid w:val="00C53EEC"/>
    <w:rsid w:val="00C5469E"/>
    <w:rsid w:val="00C552F5"/>
    <w:rsid w:val="00C55E10"/>
    <w:rsid w:val="00C56B78"/>
    <w:rsid w:val="00C60994"/>
    <w:rsid w:val="00C61141"/>
    <w:rsid w:val="00C61E4B"/>
    <w:rsid w:val="00C62E96"/>
    <w:rsid w:val="00C63032"/>
    <w:rsid w:val="00C63124"/>
    <w:rsid w:val="00C6344D"/>
    <w:rsid w:val="00C63E41"/>
    <w:rsid w:val="00C64BFF"/>
    <w:rsid w:val="00C65193"/>
    <w:rsid w:val="00C65ADE"/>
    <w:rsid w:val="00C65AF9"/>
    <w:rsid w:val="00C677FE"/>
    <w:rsid w:val="00C678BC"/>
    <w:rsid w:val="00C704E9"/>
    <w:rsid w:val="00C71F50"/>
    <w:rsid w:val="00C72F24"/>
    <w:rsid w:val="00C736DA"/>
    <w:rsid w:val="00C736E4"/>
    <w:rsid w:val="00C73EDB"/>
    <w:rsid w:val="00C7579A"/>
    <w:rsid w:val="00C75B19"/>
    <w:rsid w:val="00C75F52"/>
    <w:rsid w:val="00C763C9"/>
    <w:rsid w:val="00C764FD"/>
    <w:rsid w:val="00C76962"/>
    <w:rsid w:val="00C77129"/>
    <w:rsid w:val="00C77497"/>
    <w:rsid w:val="00C77932"/>
    <w:rsid w:val="00C80057"/>
    <w:rsid w:val="00C81C9A"/>
    <w:rsid w:val="00C81D2E"/>
    <w:rsid w:val="00C82232"/>
    <w:rsid w:val="00C82913"/>
    <w:rsid w:val="00C83304"/>
    <w:rsid w:val="00C83DB6"/>
    <w:rsid w:val="00C84999"/>
    <w:rsid w:val="00C8588E"/>
    <w:rsid w:val="00C8695C"/>
    <w:rsid w:val="00C86B55"/>
    <w:rsid w:val="00C87AC8"/>
    <w:rsid w:val="00C9078B"/>
    <w:rsid w:val="00C907CC"/>
    <w:rsid w:val="00C90AFA"/>
    <w:rsid w:val="00C9190B"/>
    <w:rsid w:val="00C92868"/>
    <w:rsid w:val="00C92D44"/>
    <w:rsid w:val="00C92F25"/>
    <w:rsid w:val="00C9364E"/>
    <w:rsid w:val="00C959EC"/>
    <w:rsid w:val="00C95D8D"/>
    <w:rsid w:val="00C972B1"/>
    <w:rsid w:val="00CA051E"/>
    <w:rsid w:val="00CA15E0"/>
    <w:rsid w:val="00CA2CCE"/>
    <w:rsid w:val="00CA312B"/>
    <w:rsid w:val="00CA3377"/>
    <w:rsid w:val="00CA3806"/>
    <w:rsid w:val="00CA3B17"/>
    <w:rsid w:val="00CA3EFC"/>
    <w:rsid w:val="00CA43FD"/>
    <w:rsid w:val="00CA5D5F"/>
    <w:rsid w:val="00CA6631"/>
    <w:rsid w:val="00CA7EF8"/>
    <w:rsid w:val="00CB038B"/>
    <w:rsid w:val="00CB0E98"/>
    <w:rsid w:val="00CB1208"/>
    <w:rsid w:val="00CB1E39"/>
    <w:rsid w:val="00CB321C"/>
    <w:rsid w:val="00CB33BD"/>
    <w:rsid w:val="00CB45F8"/>
    <w:rsid w:val="00CB4CD8"/>
    <w:rsid w:val="00CB5321"/>
    <w:rsid w:val="00CB5D25"/>
    <w:rsid w:val="00CB611C"/>
    <w:rsid w:val="00CC2C79"/>
    <w:rsid w:val="00CC2E8C"/>
    <w:rsid w:val="00CC489B"/>
    <w:rsid w:val="00CC554E"/>
    <w:rsid w:val="00CC5DA7"/>
    <w:rsid w:val="00CC6207"/>
    <w:rsid w:val="00CC6218"/>
    <w:rsid w:val="00CC6522"/>
    <w:rsid w:val="00CD0883"/>
    <w:rsid w:val="00CD1322"/>
    <w:rsid w:val="00CD1563"/>
    <w:rsid w:val="00CD23B7"/>
    <w:rsid w:val="00CD2BCD"/>
    <w:rsid w:val="00CD3A4C"/>
    <w:rsid w:val="00CD4F1A"/>
    <w:rsid w:val="00CD54C2"/>
    <w:rsid w:val="00CD59AB"/>
    <w:rsid w:val="00CD6338"/>
    <w:rsid w:val="00CD6C49"/>
    <w:rsid w:val="00CD736A"/>
    <w:rsid w:val="00CD7DE5"/>
    <w:rsid w:val="00CE10E9"/>
    <w:rsid w:val="00CE130E"/>
    <w:rsid w:val="00CE149D"/>
    <w:rsid w:val="00CE17BA"/>
    <w:rsid w:val="00CE203E"/>
    <w:rsid w:val="00CE2910"/>
    <w:rsid w:val="00CE3624"/>
    <w:rsid w:val="00CE5393"/>
    <w:rsid w:val="00CE5D98"/>
    <w:rsid w:val="00CE6ACE"/>
    <w:rsid w:val="00CE702B"/>
    <w:rsid w:val="00CE74B4"/>
    <w:rsid w:val="00CE7DE3"/>
    <w:rsid w:val="00CE7DFF"/>
    <w:rsid w:val="00CF02A2"/>
    <w:rsid w:val="00CF0FE9"/>
    <w:rsid w:val="00CF2440"/>
    <w:rsid w:val="00CF2875"/>
    <w:rsid w:val="00CF2A74"/>
    <w:rsid w:val="00CF2DD4"/>
    <w:rsid w:val="00CF3130"/>
    <w:rsid w:val="00CF36BE"/>
    <w:rsid w:val="00CF3AD0"/>
    <w:rsid w:val="00CF4637"/>
    <w:rsid w:val="00CF463C"/>
    <w:rsid w:val="00CF476C"/>
    <w:rsid w:val="00CF5B9D"/>
    <w:rsid w:val="00CF6000"/>
    <w:rsid w:val="00CF67CE"/>
    <w:rsid w:val="00CF6EE6"/>
    <w:rsid w:val="00CF71EC"/>
    <w:rsid w:val="00CF7930"/>
    <w:rsid w:val="00D003F3"/>
    <w:rsid w:val="00D012AD"/>
    <w:rsid w:val="00D028AE"/>
    <w:rsid w:val="00D0294C"/>
    <w:rsid w:val="00D02A52"/>
    <w:rsid w:val="00D02F41"/>
    <w:rsid w:val="00D032DA"/>
    <w:rsid w:val="00D0364F"/>
    <w:rsid w:val="00D06101"/>
    <w:rsid w:val="00D0681B"/>
    <w:rsid w:val="00D06834"/>
    <w:rsid w:val="00D06F6D"/>
    <w:rsid w:val="00D1020B"/>
    <w:rsid w:val="00D105D6"/>
    <w:rsid w:val="00D11133"/>
    <w:rsid w:val="00D131BE"/>
    <w:rsid w:val="00D136D0"/>
    <w:rsid w:val="00D13EE4"/>
    <w:rsid w:val="00D14498"/>
    <w:rsid w:val="00D14C17"/>
    <w:rsid w:val="00D15403"/>
    <w:rsid w:val="00D15E8B"/>
    <w:rsid w:val="00D1602B"/>
    <w:rsid w:val="00D17271"/>
    <w:rsid w:val="00D17367"/>
    <w:rsid w:val="00D17991"/>
    <w:rsid w:val="00D17EDE"/>
    <w:rsid w:val="00D204A9"/>
    <w:rsid w:val="00D20C80"/>
    <w:rsid w:val="00D20DC6"/>
    <w:rsid w:val="00D218C5"/>
    <w:rsid w:val="00D21EC9"/>
    <w:rsid w:val="00D22596"/>
    <w:rsid w:val="00D23C18"/>
    <w:rsid w:val="00D23C7A"/>
    <w:rsid w:val="00D246C8"/>
    <w:rsid w:val="00D24AD3"/>
    <w:rsid w:val="00D25549"/>
    <w:rsid w:val="00D25983"/>
    <w:rsid w:val="00D260E3"/>
    <w:rsid w:val="00D26AF5"/>
    <w:rsid w:val="00D27695"/>
    <w:rsid w:val="00D27E73"/>
    <w:rsid w:val="00D3068B"/>
    <w:rsid w:val="00D308ED"/>
    <w:rsid w:val="00D3166F"/>
    <w:rsid w:val="00D31BF0"/>
    <w:rsid w:val="00D32C64"/>
    <w:rsid w:val="00D32DED"/>
    <w:rsid w:val="00D330DC"/>
    <w:rsid w:val="00D34D68"/>
    <w:rsid w:val="00D35701"/>
    <w:rsid w:val="00D35C46"/>
    <w:rsid w:val="00D36780"/>
    <w:rsid w:val="00D36C79"/>
    <w:rsid w:val="00D36D86"/>
    <w:rsid w:val="00D36E28"/>
    <w:rsid w:val="00D3719A"/>
    <w:rsid w:val="00D37DFB"/>
    <w:rsid w:val="00D4047E"/>
    <w:rsid w:val="00D428AA"/>
    <w:rsid w:val="00D45459"/>
    <w:rsid w:val="00D4589C"/>
    <w:rsid w:val="00D46062"/>
    <w:rsid w:val="00D462B2"/>
    <w:rsid w:val="00D4634F"/>
    <w:rsid w:val="00D4657B"/>
    <w:rsid w:val="00D46DDF"/>
    <w:rsid w:val="00D478C8"/>
    <w:rsid w:val="00D50350"/>
    <w:rsid w:val="00D50623"/>
    <w:rsid w:val="00D50941"/>
    <w:rsid w:val="00D50A34"/>
    <w:rsid w:val="00D50D20"/>
    <w:rsid w:val="00D50DD8"/>
    <w:rsid w:val="00D5270F"/>
    <w:rsid w:val="00D52DD5"/>
    <w:rsid w:val="00D5342F"/>
    <w:rsid w:val="00D53AFB"/>
    <w:rsid w:val="00D53EFA"/>
    <w:rsid w:val="00D54838"/>
    <w:rsid w:val="00D549BC"/>
    <w:rsid w:val="00D556F3"/>
    <w:rsid w:val="00D55D7D"/>
    <w:rsid w:val="00D5674F"/>
    <w:rsid w:val="00D577BF"/>
    <w:rsid w:val="00D57A8F"/>
    <w:rsid w:val="00D6007B"/>
    <w:rsid w:val="00D60B8E"/>
    <w:rsid w:val="00D60BC3"/>
    <w:rsid w:val="00D60CA5"/>
    <w:rsid w:val="00D615DE"/>
    <w:rsid w:val="00D62C59"/>
    <w:rsid w:val="00D62F0A"/>
    <w:rsid w:val="00D63D41"/>
    <w:rsid w:val="00D6419F"/>
    <w:rsid w:val="00D65119"/>
    <w:rsid w:val="00D660FF"/>
    <w:rsid w:val="00D664F3"/>
    <w:rsid w:val="00D6650D"/>
    <w:rsid w:val="00D67434"/>
    <w:rsid w:val="00D72163"/>
    <w:rsid w:val="00D721AB"/>
    <w:rsid w:val="00D72815"/>
    <w:rsid w:val="00D72DD4"/>
    <w:rsid w:val="00D74DD9"/>
    <w:rsid w:val="00D753B9"/>
    <w:rsid w:val="00D75A98"/>
    <w:rsid w:val="00D76C88"/>
    <w:rsid w:val="00D76DB6"/>
    <w:rsid w:val="00D76DBE"/>
    <w:rsid w:val="00D7755E"/>
    <w:rsid w:val="00D80004"/>
    <w:rsid w:val="00D80A51"/>
    <w:rsid w:val="00D811DF"/>
    <w:rsid w:val="00D81E56"/>
    <w:rsid w:val="00D82723"/>
    <w:rsid w:val="00D83029"/>
    <w:rsid w:val="00D84F01"/>
    <w:rsid w:val="00D85301"/>
    <w:rsid w:val="00D91718"/>
    <w:rsid w:val="00D91862"/>
    <w:rsid w:val="00D921B5"/>
    <w:rsid w:val="00D928FC"/>
    <w:rsid w:val="00D92A29"/>
    <w:rsid w:val="00D9329B"/>
    <w:rsid w:val="00D936FC"/>
    <w:rsid w:val="00D938E7"/>
    <w:rsid w:val="00D93ADE"/>
    <w:rsid w:val="00D94A7C"/>
    <w:rsid w:val="00D9511B"/>
    <w:rsid w:val="00D95896"/>
    <w:rsid w:val="00D96741"/>
    <w:rsid w:val="00DA0212"/>
    <w:rsid w:val="00DA0516"/>
    <w:rsid w:val="00DA09C7"/>
    <w:rsid w:val="00DA0C19"/>
    <w:rsid w:val="00DA0D48"/>
    <w:rsid w:val="00DA14FE"/>
    <w:rsid w:val="00DA226E"/>
    <w:rsid w:val="00DA401A"/>
    <w:rsid w:val="00DA45A0"/>
    <w:rsid w:val="00DA4618"/>
    <w:rsid w:val="00DA4773"/>
    <w:rsid w:val="00DA48F5"/>
    <w:rsid w:val="00DA4C4F"/>
    <w:rsid w:val="00DA5729"/>
    <w:rsid w:val="00DA61FB"/>
    <w:rsid w:val="00DA63DE"/>
    <w:rsid w:val="00DA64C7"/>
    <w:rsid w:val="00DA7381"/>
    <w:rsid w:val="00DA7E8B"/>
    <w:rsid w:val="00DB039E"/>
    <w:rsid w:val="00DB0BF9"/>
    <w:rsid w:val="00DB11F1"/>
    <w:rsid w:val="00DB2983"/>
    <w:rsid w:val="00DB36D9"/>
    <w:rsid w:val="00DB4201"/>
    <w:rsid w:val="00DB5A53"/>
    <w:rsid w:val="00DB6C8C"/>
    <w:rsid w:val="00DB7268"/>
    <w:rsid w:val="00DB7FB5"/>
    <w:rsid w:val="00DC0041"/>
    <w:rsid w:val="00DC0214"/>
    <w:rsid w:val="00DC11D4"/>
    <w:rsid w:val="00DC1257"/>
    <w:rsid w:val="00DC20BE"/>
    <w:rsid w:val="00DC2298"/>
    <w:rsid w:val="00DC266B"/>
    <w:rsid w:val="00DC2CDB"/>
    <w:rsid w:val="00DC3148"/>
    <w:rsid w:val="00DC3DC0"/>
    <w:rsid w:val="00DC4F64"/>
    <w:rsid w:val="00DC5087"/>
    <w:rsid w:val="00DC5B2B"/>
    <w:rsid w:val="00DC616B"/>
    <w:rsid w:val="00DC67A9"/>
    <w:rsid w:val="00DC7853"/>
    <w:rsid w:val="00DD0B7D"/>
    <w:rsid w:val="00DD263A"/>
    <w:rsid w:val="00DD318D"/>
    <w:rsid w:val="00DD4C90"/>
    <w:rsid w:val="00DD5D8C"/>
    <w:rsid w:val="00DD6531"/>
    <w:rsid w:val="00DD6D7F"/>
    <w:rsid w:val="00DD72AD"/>
    <w:rsid w:val="00DD738C"/>
    <w:rsid w:val="00DE01CD"/>
    <w:rsid w:val="00DE1452"/>
    <w:rsid w:val="00DE2101"/>
    <w:rsid w:val="00DE4CF0"/>
    <w:rsid w:val="00DE4E74"/>
    <w:rsid w:val="00DE5AA1"/>
    <w:rsid w:val="00DE5FD2"/>
    <w:rsid w:val="00DE6A62"/>
    <w:rsid w:val="00DE76D7"/>
    <w:rsid w:val="00DF03EF"/>
    <w:rsid w:val="00DF0618"/>
    <w:rsid w:val="00DF0F4B"/>
    <w:rsid w:val="00DF1682"/>
    <w:rsid w:val="00DF2214"/>
    <w:rsid w:val="00DF23AE"/>
    <w:rsid w:val="00DF2C82"/>
    <w:rsid w:val="00DF2E12"/>
    <w:rsid w:val="00DF3171"/>
    <w:rsid w:val="00DF35AA"/>
    <w:rsid w:val="00DF3FD8"/>
    <w:rsid w:val="00DF42CD"/>
    <w:rsid w:val="00DF43A6"/>
    <w:rsid w:val="00DF514A"/>
    <w:rsid w:val="00DF53B2"/>
    <w:rsid w:val="00DF5DA1"/>
    <w:rsid w:val="00DF5E5B"/>
    <w:rsid w:val="00DF5FF7"/>
    <w:rsid w:val="00DF6690"/>
    <w:rsid w:val="00DF6804"/>
    <w:rsid w:val="00DF7BBB"/>
    <w:rsid w:val="00DF7C2B"/>
    <w:rsid w:val="00DF7F8E"/>
    <w:rsid w:val="00E003AF"/>
    <w:rsid w:val="00E00A30"/>
    <w:rsid w:val="00E00E54"/>
    <w:rsid w:val="00E01433"/>
    <w:rsid w:val="00E01826"/>
    <w:rsid w:val="00E023D4"/>
    <w:rsid w:val="00E0358D"/>
    <w:rsid w:val="00E04323"/>
    <w:rsid w:val="00E04845"/>
    <w:rsid w:val="00E04C8E"/>
    <w:rsid w:val="00E0588B"/>
    <w:rsid w:val="00E05E0B"/>
    <w:rsid w:val="00E06032"/>
    <w:rsid w:val="00E0622B"/>
    <w:rsid w:val="00E063BF"/>
    <w:rsid w:val="00E0676A"/>
    <w:rsid w:val="00E070A2"/>
    <w:rsid w:val="00E07243"/>
    <w:rsid w:val="00E10083"/>
    <w:rsid w:val="00E10781"/>
    <w:rsid w:val="00E10BED"/>
    <w:rsid w:val="00E110FE"/>
    <w:rsid w:val="00E1181A"/>
    <w:rsid w:val="00E123A3"/>
    <w:rsid w:val="00E137F0"/>
    <w:rsid w:val="00E1455F"/>
    <w:rsid w:val="00E15303"/>
    <w:rsid w:val="00E157E3"/>
    <w:rsid w:val="00E16162"/>
    <w:rsid w:val="00E1629D"/>
    <w:rsid w:val="00E16C4C"/>
    <w:rsid w:val="00E173CD"/>
    <w:rsid w:val="00E2094E"/>
    <w:rsid w:val="00E20BC6"/>
    <w:rsid w:val="00E21302"/>
    <w:rsid w:val="00E22504"/>
    <w:rsid w:val="00E22A0A"/>
    <w:rsid w:val="00E2656A"/>
    <w:rsid w:val="00E2754F"/>
    <w:rsid w:val="00E308A9"/>
    <w:rsid w:val="00E30A91"/>
    <w:rsid w:val="00E30E43"/>
    <w:rsid w:val="00E32168"/>
    <w:rsid w:val="00E32637"/>
    <w:rsid w:val="00E32ADF"/>
    <w:rsid w:val="00E32CA7"/>
    <w:rsid w:val="00E33508"/>
    <w:rsid w:val="00E33735"/>
    <w:rsid w:val="00E33E45"/>
    <w:rsid w:val="00E33FC6"/>
    <w:rsid w:val="00E34CF9"/>
    <w:rsid w:val="00E3613E"/>
    <w:rsid w:val="00E368CE"/>
    <w:rsid w:val="00E36A90"/>
    <w:rsid w:val="00E372F0"/>
    <w:rsid w:val="00E410EF"/>
    <w:rsid w:val="00E412D0"/>
    <w:rsid w:val="00E41929"/>
    <w:rsid w:val="00E433A9"/>
    <w:rsid w:val="00E44B31"/>
    <w:rsid w:val="00E456EF"/>
    <w:rsid w:val="00E45E10"/>
    <w:rsid w:val="00E45F4E"/>
    <w:rsid w:val="00E46703"/>
    <w:rsid w:val="00E505E2"/>
    <w:rsid w:val="00E51799"/>
    <w:rsid w:val="00E51E03"/>
    <w:rsid w:val="00E52272"/>
    <w:rsid w:val="00E5243A"/>
    <w:rsid w:val="00E525FC"/>
    <w:rsid w:val="00E5283E"/>
    <w:rsid w:val="00E52CA4"/>
    <w:rsid w:val="00E5347D"/>
    <w:rsid w:val="00E53750"/>
    <w:rsid w:val="00E546DA"/>
    <w:rsid w:val="00E56322"/>
    <w:rsid w:val="00E5715B"/>
    <w:rsid w:val="00E572E6"/>
    <w:rsid w:val="00E57418"/>
    <w:rsid w:val="00E57A1C"/>
    <w:rsid w:val="00E60783"/>
    <w:rsid w:val="00E608F5"/>
    <w:rsid w:val="00E60939"/>
    <w:rsid w:val="00E60982"/>
    <w:rsid w:val="00E60E3C"/>
    <w:rsid w:val="00E610E1"/>
    <w:rsid w:val="00E61E57"/>
    <w:rsid w:val="00E6207A"/>
    <w:rsid w:val="00E620DB"/>
    <w:rsid w:val="00E624DB"/>
    <w:rsid w:val="00E62997"/>
    <w:rsid w:val="00E62C10"/>
    <w:rsid w:val="00E62C62"/>
    <w:rsid w:val="00E646FD"/>
    <w:rsid w:val="00E64932"/>
    <w:rsid w:val="00E65125"/>
    <w:rsid w:val="00E654BB"/>
    <w:rsid w:val="00E654C1"/>
    <w:rsid w:val="00E654EB"/>
    <w:rsid w:val="00E655E5"/>
    <w:rsid w:val="00E65D97"/>
    <w:rsid w:val="00E6652C"/>
    <w:rsid w:val="00E67AA0"/>
    <w:rsid w:val="00E70167"/>
    <w:rsid w:val="00E70D68"/>
    <w:rsid w:val="00E7139A"/>
    <w:rsid w:val="00E719C4"/>
    <w:rsid w:val="00E72530"/>
    <w:rsid w:val="00E72A5A"/>
    <w:rsid w:val="00E730A1"/>
    <w:rsid w:val="00E732CC"/>
    <w:rsid w:val="00E73354"/>
    <w:rsid w:val="00E73831"/>
    <w:rsid w:val="00E73862"/>
    <w:rsid w:val="00E73CD7"/>
    <w:rsid w:val="00E73EC7"/>
    <w:rsid w:val="00E74641"/>
    <w:rsid w:val="00E74F9F"/>
    <w:rsid w:val="00E75070"/>
    <w:rsid w:val="00E7696A"/>
    <w:rsid w:val="00E76AF0"/>
    <w:rsid w:val="00E770A4"/>
    <w:rsid w:val="00E773C5"/>
    <w:rsid w:val="00E774E1"/>
    <w:rsid w:val="00E81425"/>
    <w:rsid w:val="00E81619"/>
    <w:rsid w:val="00E822F1"/>
    <w:rsid w:val="00E82470"/>
    <w:rsid w:val="00E84178"/>
    <w:rsid w:val="00E84F9C"/>
    <w:rsid w:val="00E852E6"/>
    <w:rsid w:val="00E859C5"/>
    <w:rsid w:val="00E906C8"/>
    <w:rsid w:val="00E90C01"/>
    <w:rsid w:val="00E9131E"/>
    <w:rsid w:val="00E9242D"/>
    <w:rsid w:val="00E925FE"/>
    <w:rsid w:val="00E93145"/>
    <w:rsid w:val="00E95185"/>
    <w:rsid w:val="00E965F0"/>
    <w:rsid w:val="00E972F4"/>
    <w:rsid w:val="00E97944"/>
    <w:rsid w:val="00E97981"/>
    <w:rsid w:val="00EA07F9"/>
    <w:rsid w:val="00EA09DF"/>
    <w:rsid w:val="00EA1299"/>
    <w:rsid w:val="00EA1431"/>
    <w:rsid w:val="00EA1716"/>
    <w:rsid w:val="00EA1A84"/>
    <w:rsid w:val="00EA1C23"/>
    <w:rsid w:val="00EA3B59"/>
    <w:rsid w:val="00EA4E74"/>
    <w:rsid w:val="00EA508D"/>
    <w:rsid w:val="00EA5EBB"/>
    <w:rsid w:val="00EA7187"/>
    <w:rsid w:val="00EA74E7"/>
    <w:rsid w:val="00EA7896"/>
    <w:rsid w:val="00EB239D"/>
    <w:rsid w:val="00EB2A37"/>
    <w:rsid w:val="00EB2D61"/>
    <w:rsid w:val="00EB3114"/>
    <w:rsid w:val="00EB3F46"/>
    <w:rsid w:val="00EB493D"/>
    <w:rsid w:val="00EB495E"/>
    <w:rsid w:val="00EB4F07"/>
    <w:rsid w:val="00EB5255"/>
    <w:rsid w:val="00EB576D"/>
    <w:rsid w:val="00EB5C47"/>
    <w:rsid w:val="00EB5EF2"/>
    <w:rsid w:val="00EB71FF"/>
    <w:rsid w:val="00EB78E2"/>
    <w:rsid w:val="00EB7A38"/>
    <w:rsid w:val="00EC05B7"/>
    <w:rsid w:val="00EC106D"/>
    <w:rsid w:val="00EC133A"/>
    <w:rsid w:val="00EC1E47"/>
    <w:rsid w:val="00EC4B56"/>
    <w:rsid w:val="00EC5FE4"/>
    <w:rsid w:val="00EC76EA"/>
    <w:rsid w:val="00EC775C"/>
    <w:rsid w:val="00ED022C"/>
    <w:rsid w:val="00ED03D2"/>
    <w:rsid w:val="00ED0458"/>
    <w:rsid w:val="00ED0639"/>
    <w:rsid w:val="00ED1214"/>
    <w:rsid w:val="00ED1CDC"/>
    <w:rsid w:val="00ED26D8"/>
    <w:rsid w:val="00ED44F9"/>
    <w:rsid w:val="00ED51E9"/>
    <w:rsid w:val="00ED53B6"/>
    <w:rsid w:val="00ED67F5"/>
    <w:rsid w:val="00ED75F5"/>
    <w:rsid w:val="00EE0206"/>
    <w:rsid w:val="00EE0347"/>
    <w:rsid w:val="00EE3819"/>
    <w:rsid w:val="00EE3B3D"/>
    <w:rsid w:val="00EE4A1B"/>
    <w:rsid w:val="00EE4A4B"/>
    <w:rsid w:val="00EE619D"/>
    <w:rsid w:val="00EE67AE"/>
    <w:rsid w:val="00EE6A25"/>
    <w:rsid w:val="00EE72EE"/>
    <w:rsid w:val="00EE774B"/>
    <w:rsid w:val="00EE7F2B"/>
    <w:rsid w:val="00EF03C9"/>
    <w:rsid w:val="00EF068C"/>
    <w:rsid w:val="00EF0954"/>
    <w:rsid w:val="00EF0A9D"/>
    <w:rsid w:val="00EF1BBE"/>
    <w:rsid w:val="00EF1D04"/>
    <w:rsid w:val="00EF31E9"/>
    <w:rsid w:val="00EF4755"/>
    <w:rsid w:val="00EF4CA9"/>
    <w:rsid w:val="00EF57B5"/>
    <w:rsid w:val="00EF5C80"/>
    <w:rsid w:val="00EF7135"/>
    <w:rsid w:val="00F00701"/>
    <w:rsid w:val="00F00777"/>
    <w:rsid w:val="00F0095F"/>
    <w:rsid w:val="00F01BA5"/>
    <w:rsid w:val="00F0245F"/>
    <w:rsid w:val="00F024FF"/>
    <w:rsid w:val="00F025E1"/>
    <w:rsid w:val="00F027DB"/>
    <w:rsid w:val="00F0389A"/>
    <w:rsid w:val="00F03A15"/>
    <w:rsid w:val="00F03A77"/>
    <w:rsid w:val="00F06697"/>
    <w:rsid w:val="00F07E96"/>
    <w:rsid w:val="00F11837"/>
    <w:rsid w:val="00F12B2E"/>
    <w:rsid w:val="00F12F2A"/>
    <w:rsid w:val="00F13287"/>
    <w:rsid w:val="00F139B9"/>
    <w:rsid w:val="00F13D33"/>
    <w:rsid w:val="00F14A7A"/>
    <w:rsid w:val="00F14EC8"/>
    <w:rsid w:val="00F1531B"/>
    <w:rsid w:val="00F1586D"/>
    <w:rsid w:val="00F168F3"/>
    <w:rsid w:val="00F16E32"/>
    <w:rsid w:val="00F1759C"/>
    <w:rsid w:val="00F178A9"/>
    <w:rsid w:val="00F2045F"/>
    <w:rsid w:val="00F223F4"/>
    <w:rsid w:val="00F2289B"/>
    <w:rsid w:val="00F22985"/>
    <w:rsid w:val="00F229DB"/>
    <w:rsid w:val="00F247B2"/>
    <w:rsid w:val="00F2558C"/>
    <w:rsid w:val="00F258CA"/>
    <w:rsid w:val="00F26C50"/>
    <w:rsid w:val="00F270E5"/>
    <w:rsid w:val="00F32184"/>
    <w:rsid w:val="00F32237"/>
    <w:rsid w:val="00F3227E"/>
    <w:rsid w:val="00F32343"/>
    <w:rsid w:val="00F32850"/>
    <w:rsid w:val="00F3383E"/>
    <w:rsid w:val="00F33A20"/>
    <w:rsid w:val="00F345D7"/>
    <w:rsid w:val="00F34D9D"/>
    <w:rsid w:val="00F35103"/>
    <w:rsid w:val="00F360F2"/>
    <w:rsid w:val="00F36276"/>
    <w:rsid w:val="00F36454"/>
    <w:rsid w:val="00F36488"/>
    <w:rsid w:val="00F379E3"/>
    <w:rsid w:val="00F37BDA"/>
    <w:rsid w:val="00F37DE2"/>
    <w:rsid w:val="00F37EE9"/>
    <w:rsid w:val="00F402D2"/>
    <w:rsid w:val="00F409BB"/>
    <w:rsid w:val="00F409D1"/>
    <w:rsid w:val="00F41752"/>
    <w:rsid w:val="00F43910"/>
    <w:rsid w:val="00F43B74"/>
    <w:rsid w:val="00F43E58"/>
    <w:rsid w:val="00F44558"/>
    <w:rsid w:val="00F44A29"/>
    <w:rsid w:val="00F465A7"/>
    <w:rsid w:val="00F4697D"/>
    <w:rsid w:val="00F50B7C"/>
    <w:rsid w:val="00F50C66"/>
    <w:rsid w:val="00F51585"/>
    <w:rsid w:val="00F5160D"/>
    <w:rsid w:val="00F52936"/>
    <w:rsid w:val="00F52A50"/>
    <w:rsid w:val="00F53DC4"/>
    <w:rsid w:val="00F543B0"/>
    <w:rsid w:val="00F54887"/>
    <w:rsid w:val="00F550DE"/>
    <w:rsid w:val="00F550E6"/>
    <w:rsid w:val="00F55641"/>
    <w:rsid w:val="00F55CCA"/>
    <w:rsid w:val="00F5610F"/>
    <w:rsid w:val="00F565B8"/>
    <w:rsid w:val="00F57100"/>
    <w:rsid w:val="00F57113"/>
    <w:rsid w:val="00F57391"/>
    <w:rsid w:val="00F60564"/>
    <w:rsid w:val="00F60F72"/>
    <w:rsid w:val="00F62303"/>
    <w:rsid w:val="00F6258B"/>
    <w:rsid w:val="00F62DCD"/>
    <w:rsid w:val="00F63A4E"/>
    <w:rsid w:val="00F64739"/>
    <w:rsid w:val="00F64C03"/>
    <w:rsid w:val="00F65C1E"/>
    <w:rsid w:val="00F65E88"/>
    <w:rsid w:val="00F66593"/>
    <w:rsid w:val="00F675AD"/>
    <w:rsid w:val="00F7024B"/>
    <w:rsid w:val="00F70A13"/>
    <w:rsid w:val="00F70A51"/>
    <w:rsid w:val="00F72848"/>
    <w:rsid w:val="00F728BE"/>
    <w:rsid w:val="00F72B67"/>
    <w:rsid w:val="00F7383E"/>
    <w:rsid w:val="00F74345"/>
    <w:rsid w:val="00F76B5C"/>
    <w:rsid w:val="00F77092"/>
    <w:rsid w:val="00F77396"/>
    <w:rsid w:val="00F775E8"/>
    <w:rsid w:val="00F77D0C"/>
    <w:rsid w:val="00F77E8B"/>
    <w:rsid w:val="00F80830"/>
    <w:rsid w:val="00F80986"/>
    <w:rsid w:val="00F80A0A"/>
    <w:rsid w:val="00F818A5"/>
    <w:rsid w:val="00F81A47"/>
    <w:rsid w:val="00F81DBE"/>
    <w:rsid w:val="00F821BB"/>
    <w:rsid w:val="00F82387"/>
    <w:rsid w:val="00F82AF5"/>
    <w:rsid w:val="00F82B19"/>
    <w:rsid w:val="00F82C4C"/>
    <w:rsid w:val="00F831B1"/>
    <w:rsid w:val="00F8401F"/>
    <w:rsid w:val="00F844A7"/>
    <w:rsid w:val="00F848BD"/>
    <w:rsid w:val="00F855BD"/>
    <w:rsid w:val="00F8594A"/>
    <w:rsid w:val="00F85CD4"/>
    <w:rsid w:val="00F85F31"/>
    <w:rsid w:val="00F87490"/>
    <w:rsid w:val="00F877B3"/>
    <w:rsid w:val="00F9212D"/>
    <w:rsid w:val="00F93D18"/>
    <w:rsid w:val="00F93FAD"/>
    <w:rsid w:val="00F95235"/>
    <w:rsid w:val="00F95751"/>
    <w:rsid w:val="00F960DC"/>
    <w:rsid w:val="00F965DA"/>
    <w:rsid w:val="00F96E0C"/>
    <w:rsid w:val="00F97C4C"/>
    <w:rsid w:val="00F97D56"/>
    <w:rsid w:val="00F97E72"/>
    <w:rsid w:val="00FA0810"/>
    <w:rsid w:val="00FA0984"/>
    <w:rsid w:val="00FA0CCF"/>
    <w:rsid w:val="00FA13FE"/>
    <w:rsid w:val="00FA204C"/>
    <w:rsid w:val="00FA25A6"/>
    <w:rsid w:val="00FA2FFD"/>
    <w:rsid w:val="00FA406A"/>
    <w:rsid w:val="00FA448A"/>
    <w:rsid w:val="00FA4B38"/>
    <w:rsid w:val="00FA70D9"/>
    <w:rsid w:val="00FA7D90"/>
    <w:rsid w:val="00FB0B1A"/>
    <w:rsid w:val="00FB1745"/>
    <w:rsid w:val="00FB1A6A"/>
    <w:rsid w:val="00FB204B"/>
    <w:rsid w:val="00FB364D"/>
    <w:rsid w:val="00FB36A2"/>
    <w:rsid w:val="00FB3A63"/>
    <w:rsid w:val="00FB3D2A"/>
    <w:rsid w:val="00FB503A"/>
    <w:rsid w:val="00FB516C"/>
    <w:rsid w:val="00FB538C"/>
    <w:rsid w:val="00FB56DA"/>
    <w:rsid w:val="00FB57B9"/>
    <w:rsid w:val="00FB5EEA"/>
    <w:rsid w:val="00FB6632"/>
    <w:rsid w:val="00FB7003"/>
    <w:rsid w:val="00FB7221"/>
    <w:rsid w:val="00FB7D53"/>
    <w:rsid w:val="00FC0E01"/>
    <w:rsid w:val="00FC0E7E"/>
    <w:rsid w:val="00FC2009"/>
    <w:rsid w:val="00FC21E7"/>
    <w:rsid w:val="00FC413B"/>
    <w:rsid w:val="00FC4ED7"/>
    <w:rsid w:val="00FC5EA1"/>
    <w:rsid w:val="00FC6209"/>
    <w:rsid w:val="00FC668F"/>
    <w:rsid w:val="00FC67D5"/>
    <w:rsid w:val="00FC6934"/>
    <w:rsid w:val="00FC6DFB"/>
    <w:rsid w:val="00FC7261"/>
    <w:rsid w:val="00FC74AE"/>
    <w:rsid w:val="00FC7E71"/>
    <w:rsid w:val="00FC7ED2"/>
    <w:rsid w:val="00FD0236"/>
    <w:rsid w:val="00FD1074"/>
    <w:rsid w:val="00FD1286"/>
    <w:rsid w:val="00FD1826"/>
    <w:rsid w:val="00FD18F4"/>
    <w:rsid w:val="00FD1943"/>
    <w:rsid w:val="00FD1DE9"/>
    <w:rsid w:val="00FD2081"/>
    <w:rsid w:val="00FD325A"/>
    <w:rsid w:val="00FD41EF"/>
    <w:rsid w:val="00FD4B90"/>
    <w:rsid w:val="00FD54DB"/>
    <w:rsid w:val="00FD619F"/>
    <w:rsid w:val="00FD6645"/>
    <w:rsid w:val="00FD6F1C"/>
    <w:rsid w:val="00FD70DB"/>
    <w:rsid w:val="00FD7CB5"/>
    <w:rsid w:val="00FE03BE"/>
    <w:rsid w:val="00FE040E"/>
    <w:rsid w:val="00FE0A46"/>
    <w:rsid w:val="00FE0C82"/>
    <w:rsid w:val="00FE4FC4"/>
    <w:rsid w:val="00FE5DCB"/>
    <w:rsid w:val="00FE6CB9"/>
    <w:rsid w:val="00FE7343"/>
    <w:rsid w:val="00FF0320"/>
    <w:rsid w:val="00FF0B51"/>
    <w:rsid w:val="00FF1F4B"/>
    <w:rsid w:val="00FF25C6"/>
    <w:rsid w:val="00FF28EC"/>
    <w:rsid w:val="00FF2A0F"/>
    <w:rsid w:val="00FF2A6E"/>
    <w:rsid w:val="00FF2EEE"/>
    <w:rsid w:val="00FF33F8"/>
    <w:rsid w:val="00FF404C"/>
    <w:rsid w:val="00FF69B3"/>
    <w:rsid w:val="00FF7A43"/>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6BD58B2"/>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99"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iPriority="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link w:val="58"/>
    <w:autoRedefine/>
    <w:semiHidden/>
    <w:unhideWhenUsed/>
    <w:qFormat/>
    <w:locked/>
    <w:uiPriority w:val="0"/>
    <w:pPr>
      <w:keepNext/>
      <w:keepLines/>
      <w:spacing w:before="260" w:after="260" w:line="416" w:lineRule="auto"/>
      <w:outlineLvl w:val="2"/>
    </w:pPr>
    <w:rPr>
      <w:b/>
      <w:bCs/>
      <w:sz w:val="32"/>
      <w:szCs w:val="32"/>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caption"/>
    <w:basedOn w:val="1"/>
    <w:next w:val="1"/>
    <w:autoRedefine/>
    <w:qFormat/>
    <w:locked/>
    <w:uiPriority w:val="99"/>
    <w:pPr>
      <w:jc w:val="center"/>
    </w:pPr>
    <w:rPr>
      <w:rFonts w:ascii="Arial" w:hAnsi="Arial" w:cs="Arial"/>
      <w:b/>
      <w:bCs/>
      <w:sz w:val="24"/>
    </w:rPr>
  </w:style>
  <w:style w:type="paragraph" w:styleId="5">
    <w:name w:val="annotation text"/>
    <w:basedOn w:val="1"/>
    <w:link w:val="29"/>
    <w:autoRedefine/>
    <w:qFormat/>
    <w:uiPriority w:val="0"/>
    <w:pPr>
      <w:jc w:val="left"/>
    </w:pPr>
    <w:rPr>
      <w:kern w:val="0"/>
      <w:sz w:val="24"/>
      <w:szCs w:val="20"/>
    </w:rPr>
  </w:style>
  <w:style w:type="paragraph" w:styleId="6">
    <w:name w:val="Body Text"/>
    <w:basedOn w:val="1"/>
    <w:link w:val="28"/>
    <w:autoRedefine/>
    <w:qFormat/>
    <w:uiPriority w:val="0"/>
    <w:pPr>
      <w:widowControl/>
      <w:snapToGrid w:val="0"/>
      <w:spacing w:before="60" w:after="160" w:line="259" w:lineRule="auto"/>
      <w:ind w:right="113"/>
    </w:pPr>
    <w:rPr>
      <w:kern w:val="0"/>
      <w:sz w:val="18"/>
      <w:szCs w:val="20"/>
    </w:rPr>
  </w:style>
  <w:style w:type="paragraph" w:styleId="7">
    <w:name w:val="Body Text Indent"/>
    <w:basedOn w:val="1"/>
    <w:link w:val="37"/>
    <w:autoRedefine/>
    <w:qFormat/>
    <w:uiPriority w:val="0"/>
    <w:pPr>
      <w:spacing w:after="120"/>
      <w:ind w:left="420" w:leftChars="200"/>
    </w:pPr>
    <w:rPr>
      <w:kern w:val="0"/>
      <w:sz w:val="24"/>
      <w:szCs w:val="20"/>
    </w:rPr>
  </w:style>
  <w:style w:type="paragraph" w:styleId="8">
    <w:name w:val="Plain Text"/>
    <w:basedOn w:val="1"/>
    <w:link w:val="43"/>
    <w:qFormat/>
    <w:locked/>
    <w:uiPriority w:val="0"/>
    <w:rPr>
      <w:rFonts w:ascii="宋体" w:hAnsi="Courier New" w:cs="宋体"/>
      <w:sz w:val="20"/>
      <w:szCs w:val="20"/>
    </w:rPr>
  </w:style>
  <w:style w:type="paragraph" w:styleId="9">
    <w:name w:val="Date"/>
    <w:basedOn w:val="1"/>
    <w:next w:val="1"/>
    <w:link w:val="24"/>
    <w:autoRedefine/>
    <w:qFormat/>
    <w:uiPriority w:val="0"/>
    <w:pPr>
      <w:ind w:left="100" w:leftChars="2500"/>
    </w:pPr>
    <w:rPr>
      <w:kern w:val="0"/>
      <w:sz w:val="24"/>
      <w:szCs w:val="20"/>
    </w:rPr>
  </w:style>
  <w:style w:type="paragraph" w:styleId="10">
    <w:name w:val="Body Text Indent 2"/>
    <w:basedOn w:val="1"/>
    <w:link w:val="48"/>
    <w:locked/>
    <w:uiPriority w:val="0"/>
    <w:pPr>
      <w:spacing w:after="120" w:line="480" w:lineRule="auto"/>
      <w:ind w:left="420" w:leftChars="200"/>
    </w:pPr>
  </w:style>
  <w:style w:type="paragraph" w:styleId="11">
    <w:name w:val="Balloon Text"/>
    <w:basedOn w:val="1"/>
    <w:link w:val="33"/>
    <w:autoRedefine/>
    <w:semiHidden/>
    <w:qFormat/>
    <w:uiPriority w:val="0"/>
    <w:rPr>
      <w:kern w:val="0"/>
      <w:sz w:val="18"/>
      <w:szCs w:val="20"/>
    </w:rPr>
  </w:style>
  <w:style w:type="paragraph" w:styleId="12">
    <w:name w:val="footer"/>
    <w:basedOn w:val="1"/>
    <w:link w:val="23"/>
    <w:autoRedefine/>
    <w:qFormat/>
    <w:uiPriority w:val="99"/>
    <w:pPr>
      <w:tabs>
        <w:tab w:val="center" w:pos="4153"/>
        <w:tab w:val="right" w:pos="8306"/>
      </w:tabs>
      <w:snapToGrid w:val="0"/>
      <w:jc w:val="left"/>
    </w:pPr>
    <w:rPr>
      <w:kern w:val="0"/>
      <w:sz w:val="18"/>
      <w:szCs w:val="20"/>
    </w:rPr>
  </w:style>
  <w:style w:type="paragraph" w:styleId="13">
    <w:name w:val="header"/>
    <w:basedOn w:val="1"/>
    <w:link w:val="35"/>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Normal (Web)"/>
    <w:basedOn w:val="1"/>
    <w:link w:val="26"/>
    <w:autoRedefine/>
    <w:qFormat/>
    <w:uiPriority w:val="0"/>
    <w:pPr>
      <w:widowControl/>
      <w:spacing w:before="100" w:beforeAutospacing="1" w:after="100" w:afterAutospacing="1"/>
      <w:jc w:val="left"/>
    </w:pPr>
    <w:rPr>
      <w:rFonts w:ascii="宋体" w:hAnsi="宋体"/>
      <w:kern w:val="0"/>
      <w:sz w:val="24"/>
      <w:szCs w:val="20"/>
    </w:rPr>
  </w:style>
  <w:style w:type="paragraph" w:styleId="15">
    <w:name w:val="annotation subject"/>
    <w:basedOn w:val="5"/>
    <w:next w:val="5"/>
    <w:link w:val="34"/>
    <w:autoRedefine/>
    <w:semiHidden/>
    <w:qFormat/>
    <w:uiPriority w:val="0"/>
    <w:rPr>
      <w:b/>
    </w:rPr>
  </w:style>
  <w:style w:type="paragraph" w:styleId="16">
    <w:name w:val="Body Text First Indent 2"/>
    <w:basedOn w:val="7"/>
    <w:next w:val="1"/>
    <w:link w:val="44"/>
    <w:qFormat/>
    <w:locked/>
    <w:uiPriority w:val="0"/>
    <w:pPr>
      <w:ind w:firstLine="420" w:firstLineChars="200"/>
    </w:pPr>
    <w:rPr>
      <w:kern w:val="2"/>
      <w:sz w:val="21"/>
      <w:szCs w:val="24"/>
    </w:rPr>
  </w:style>
  <w:style w:type="table" w:styleId="18">
    <w:name w:val="Table Grid"/>
    <w:basedOn w:val="1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locked/>
    <w:uiPriority w:val="22"/>
    <w:rPr>
      <w:b/>
      <w:bCs/>
    </w:rPr>
  </w:style>
  <w:style w:type="character" w:styleId="21">
    <w:name w:val="page number"/>
    <w:basedOn w:val="19"/>
    <w:autoRedefine/>
    <w:qFormat/>
    <w:locked/>
    <w:uiPriority w:val="0"/>
  </w:style>
  <w:style w:type="character" w:styleId="22">
    <w:name w:val="annotation reference"/>
    <w:autoRedefine/>
    <w:qFormat/>
    <w:uiPriority w:val="0"/>
    <w:rPr>
      <w:sz w:val="21"/>
    </w:rPr>
  </w:style>
  <w:style w:type="character" w:customStyle="1" w:styleId="23">
    <w:name w:val="页脚 Char"/>
    <w:link w:val="12"/>
    <w:autoRedefine/>
    <w:qFormat/>
    <w:locked/>
    <w:uiPriority w:val="99"/>
    <w:rPr>
      <w:sz w:val="18"/>
    </w:rPr>
  </w:style>
  <w:style w:type="character" w:customStyle="1" w:styleId="24">
    <w:name w:val="日期 Char"/>
    <w:link w:val="9"/>
    <w:autoRedefine/>
    <w:qFormat/>
    <w:locked/>
    <w:uiPriority w:val="0"/>
    <w:rPr>
      <w:rFonts w:ascii="Times New Roman" w:hAnsi="Times New Roman" w:eastAsia="宋体"/>
      <w:sz w:val="24"/>
    </w:rPr>
  </w:style>
  <w:style w:type="character" w:customStyle="1" w:styleId="25">
    <w:name w:val="页脚 字符"/>
    <w:basedOn w:val="19"/>
    <w:autoRedefine/>
    <w:qFormat/>
    <w:uiPriority w:val="99"/>
  </w:style>
  <w:style w:type="character" w:customStyle="1" w:styleId="26">
    <w:name w:val="普通(网站) Char"/>
    <w:link w:val="14"/>
    <w:autoRedefine/>
    <w:qFormat/>
    <w:locked/>
    <w:uiPriority w:val="0"/>
    <w:rPr>
      <w:rFonts w:ascii="宋体" w:hAnsi="宋体" w:eastAsia="宋体"/>
      <w:sz w:val="24"/>
    </w:rPr>
  </w:style>
  <w:style w:type="character" w:customStyle="1" w:styleId="27">
    <w:name w:val="正文文本 字符1"/>
    <w:autoRedefine/>
    <w:semiHidden/>
    <w:qFormat/>
    <w:uiPriority w:val="0"/>
    <w:rPr>
      <w:rFonts w:ascii="Times New Roman" w:hAnsi="Times New Roman" w:eastAsia="宋体"/>
      <w:sz w:val="24"/>
    </w:rPr>
  </w:style>
  <w:style w:type="character" w:customStyle="1" w:styleId="28">
    <w:name w:val="正文文本 Char"/>
    <w:link w:val="6"/>
    <w:autoRedefine/>
    <w:qFormat/>
    <w:locked/>
    <w:uiPriority w:val="0"/>
    <w:rPr>
      <w:sz w:val="18"/>
    </w:rPr>
  </w:style>
  <w:style w:type="character" w:customStyle="1" w:styleId="29">
    <w:name w:val="批注文字 Char"/>
    <w:link w:val="5"/>
    <w:autoRedefine/>
    <w:qFormat/>
    <w:locked/>
    <w:uiPriority w:val="0"/>
    <w:rPr>
      <w:rFonts w:ascii="Times New Roman" w:hAnsi="Times New Roman" w:eastAsia="宋体"/>
      <w:sz w:val="24"/>
    </w:rPr>
  </w:style>
  <w:style w:type="character" w:customStyle="1" w:styleId="30">
    <w:name w:val="表格 Char"/>
    <w:link w:val="31"/>
    <w:autoRedefine/>
    <w:qFormat/>
    <w:locked/>
    <w:uiPriority w:val="0"/>
    <w:rPr>
      <w:rFonts w:ascii="宋体"/>
      <w:sz w:val="21"/>
    </w:rPr>
  </w:style>
  <w:style w:type="paragraph" w:customStyle="1" w:styleId="31">
    <w:name w:val="表格"/>
    <w:basedOn w:val="1"/>
    <w:next w:val="1"/>
    <w:link w:val="30"/>
    <w:autoRedefine/>
    <w:qFormat/>
    <w:uiPriority w:val="0"/>
    <w:pPr>
      <w:adjustRightInd w:val="0"/>
      <w:snapToGrid w:val="0"/>
      <w:spacing w:beforeLines="10" w:afterLines="10" w:line="259" w:lineRule="auto"/>
      <w:jc w:val="center"/>
    </w:pPr>
    <w:rPr>
      <w:rFonts w:ascii="宋体"/>
      <w:kern w:val="0"/>
      <w:szCs w:val="20"/>
    </w:rPr>
  </w:style>
  <w:style w:type="character" w:customStyle="1" w:styleId="32">
    <w:name w:val="日期 字符"/>
    <w:autoRedefine/>
    <w:semiHidden/>
    <w:qFormat/>
    <w:uiPriority w:val="0"/>
    <w:rPr>
      <w:rFonts w:ascii="Times New Roman" w:hAnsi="Times New Roman" w:eastAsia="宋体"/>
      <w:sz w:val="24"/>
    </w:rPr>
  </w:style>
  <w:style w:type="character" w:customStyle="1" w:styleId="33">
    <w:name w:val="批注框文本 Char"/>
    <w:link w:val="11"/>
    <w:autoRedefine/>
    <w:semiHidden/>
    <w:qFormat/>
    <w:locked/>
    <w:uiPriority w:val="0"/>
    <w:rPr>
      <w:rFonts w:ascii="Times New Roman" w:hAnsi="Times New Roman" w:eastAsia="宋体"/>
      <w:sz w:val="18"/>
    </w:rPr>
  </w:style>
  <w:style w:type="character" w:customStyle="1" w:styleId="34">
    <w:name w:val="批注主题 Char"/>
    <w:link w:val="15"/>
    <w:autoRedefine/>
    <w:semiHidden/>
    <w:qFormat/>
    <w:locked/>
    <w:uiPriority w:val="0"/>
    <w:rPr>
      <w:rFonts w:ascii="Times New Roman" w:hAnsi="Times New Roman" w:eastAsia="宋体"/>
      <w:b/>
      <w:kern w:val="2"/>
      <w:sz w:val="24"/>
    </w:rPr>
  </w:style>
  <w:style w:type="character" w:customStyle="1" w:styleId="35">
    <w:name w:val="页眉 Char"/>
    <w:link w:val="13"/>
    <w:autoRedefine/>
    <w:qFormat/>
    <w:locked/>
    <w:uiPriority w:val="0"/>
    <w:rPr>
      <w:sz w:val="18"/>
    </w:rPr>
  </w:style>
  <w:style w:type="character" w:customStyle="1" w:styleId="36">
    <w:name w:val="批注文字 字符1"/>
    <w:autoRedefine/>
    <w:qFormat/>
    <w:uiPriority w:val="0"/>
    <w:rPr>
      <w:rFonts w:ascii="Times New Roman" w:hAnsi="Times New Roman" w:eastAsia="宋体"/>
      <w:sz w:val="24"/>
    </w:rPr>
  </w:style>
  <w:style w:type="character" w:customStyle="1" w:styleId="37">
    <w:name w:val="正文文本缩进 Char"/>
    <w:link w:val="7"/>
    <w:autoRedefine/>
    <w:semiHidden/>
    <w:qFormat/>
    <w:locked/>
    <w:uiPriority w:val="0"/>
    <w:rPr>
      <w:rFonts w:ascii="Times New Roman" w:hAnsi="Times New Roman" w:eastAsia="宋体"/>
      <w:sz w:val="24"/>
    </w:rPr>
  </w:style>
  <w:style w:type="paragraph" w:customStyle="1" w:styleId="38">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40">
    <w:name w:val="表字1"/>
    <w:basedOn w:val="1"/>
    <w:autoRedefine/>
    <w:qFormat/>
    <w:uiPriority w:val="0"/>
    <w:pPr>
      <w:adjustRightInd w:val="0"/>
      <w:spacing w:line="360" w:lineRule="auto"/>
      <w:jc w:val="center"/>
      <w:textAlignment w:val="baseline"/>
    </w:pPr>
    <w:rPr>
      <w:rFonts w:ascii="宋体" w:hAnsi="Calibri"/>
      <w:kern w:val="0"/>
      <w:szCs w:val="20"/>
    </w:rPr>
  </w:style>
  <w:style w:type="character" w:customStyle="1" w:styleId="41">
    <w:name w:val="正文文本 字符"/>
    <w:autoRedefine/>
    <w:qFormat/>
    <w:locked/>
    <w:uiPriority w:val="0"/>
    <w:rPr>
      <w:sz w:val="18"/>
    </w:rPr>
  </w:style>
  <w:style w:type="paragraph" w:customStyle="1" w:styleId="42">
    <w:name w:val="YY表格正文"/>
    <w:basedOn w:val="1"/>
    <w:autoRedefine/>
    <w:qFormat/>
    <w:uiPriority w:val="0"/>
    <w:pPr>
      <w:widowControl/>
      <w:tabs>
        <w:tab w:val="left" w:pos="0"/>
      </w:tabs>
      <w:adjustRightInd w:val="0"/>
      <w:snapToGrid w:val="0"/>
      <w:spacing w:after="200" w:line="276" w:lineRule="auto"/>
      <w:jc w:val="center"/>
    </w:pPr>
    <w:rPr>
      <w:rFonts w:ascii="仿宋_GB2312" w:hAnsi="Calibri"/>
      <w:color w:val="000000"/>
      <w:kern w:val="0"/>
      <w:szCs w:val="22"/>
    </w:rPr>
  </w:style>
  <w:style w:type="character" w:customStyle="1" w:styleId="43">
    <w:name w:val="纯文本 Char"/>
    <w:link w:val="8"/>
    <w:qFormat/>
    <w:uiPriority w:val="0"/>
    <w:rPr>
      <w:rFonts w:ascii="宋体" w:hAnsi="Courier New" w:cs="宋体"/>
      <w:kern w:val="2"/>
    </w:rPr>
  </w:style>
  <w:style w:type="character" w:customStyle="1" w:styleId="44">
    <w:name w:val="正文首行缩进 2 Char"/>
    <w:link w:val="16"/>
    <w:qFormat/>
    <w:uiPriority w:val="0"/>
    <w:rPr>
      <w:rFonts w:ascii="Times New Roman" w:hAnsi="Times New Roman" w:eastAsia="宋体"/>
      <w:kern w:val="2"/>
      <w:sz w:val="21"/>
      <w:szCs w:val="24"/>
    </w:rPr>
  </w:style>
  <w:style w:type="paragraph" w:customStyle="1" w:styleId="45">
    <w:name w:val="表头"/>
    <w:basedOn w:val="1"/>
    <w:link w:val="46"/>
    <w:qFormat/>
    <w:uiPriority w:val="0"/>
    <w:pPr>
      <w:adjustRightInd w:val="0"/>
      <w:snapToGrid w:val="0"/>
      <w:ind w:left="420" w:hanging="420"/>
      <w:jc w:val="center"/>
    </w:pPr>
    <w:rPr>
      <w:b/>
      <w:color w:val="000000"/>
      <w:szCs w:val="21"/>
    </w:rPr>
  </w:style>
  <w:style w:type="character" w:customStyle="1" w:styleId="46">
    <w:name w:val="表头 Char"/>
    <w:link w:val="45"/>
    <w:qFormat/>
    <w:uiPriority w:val="0"/>
    <w:rPr>
      <w:b/>
      <w:color w:val="000000"/>
      <w:kern w:val="2"/>
      <w:sz w:val="21"/>
      <w:szCs w:val="21"/>
    </w:rPr>
  </w:style>
  <w:style w:type="paragraph" w:customStyle="1" w:styleId="47">
    <w:name w:val="1_正文"/>
    <w:basedOn w:val="1"/>
    <w:qFormat/>
    <w:uiPriority w:val="0"/>
    <w:pPr>
      <w:adjustRightInd w:val="0"/>
      <w:snapToGrid w:val="0"/>
      <w:spacing w:line="360" w:lineRule="auto"/>
      <w:ind w:firstLine="480" w:firstLineChars="200"/>
    </w:pPr>
    <w:rPr>
      <w:color w:val="000000"/>
      <w:sz w:val="24"/>
      <w:szCs w:val="21"/>
    </w:rPr>
  </w:style>
  <w:style w:type="character" w:customStyle="1" w:styleId="48">
    <w:name w:val="正文文本缩进 2 Char"/>
    <w:link w:val="10"/>
    <w:uiPriority w:val="0"/>
    <w:rPr>
      <w:kern w:val="2"/>
      <w:sz w:val="21"/>
      <w:szCs w:val="24"/>
    </w:rPr>
  </w:style>
  <w:style w:type="paragraph" w:customStyle="1" w:styleId="49">
    <w:name w:val="表格标题样式"/>
    <w:basedOn w:val="1"/>
    <w:link w:val="50"/>
    <w:qFormat/>
    <w:uiPriority w:val="0"/>
    <w:pPr>
      <w:numPr>
        <w:ilvl w:val="0"/>
        <w:numId w:val="1"/>
      </w:numPr>
      <w:adjustRightInd w:val="0"/>
      <w:snapToGrid w:val="0"/>
      <w:jc w:val="center"/>
    </w:pPr>
    <w:rPr>
      <w:b/>
      <w:color w:val="000000"/>
      <w:szCs w:val="21"/>
    </w:rPr>
  </w:style>
  <w:style w:type="character" w:customStyle="1" w:styleId="50">
    <w:name w:val="表格标题样式 Char"/>
    <w:link w:val="49"/>
    <w:qFormat/>
    <w:uiPriority w:val="0"/>
    <w:rPr>
      <w:b/>
      <w:color w:val="000000"/>
      <w:kern w:val="2"/>
      <w:sz w:val="21"/>
      <w:szCs w:val="21"/>
    </w:rPr>
  </w:style>
  <w:style w:type="paragraph" w:customStyle="1" w:styleId="5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2">
    <w:name w:val="_Style 51"/>
    <w:basedOn w:val="7"/>
    <w:next w:val="16"/>
    <w:link w:val="53"/>
    <w:uiPriority w:val="0"/>
    <w:pPr>
      <w:ind w:firstLine="420" w:firstLineChars="200"/>
    </w:pPr>
    <w:rPr>
      <w:kern w:val="2"/>
      <w:sz w:val="21"/>
      <w:szCs w:val="24"/>
    </w:rPr>
  </w:style>
  <w:style w:type="character" w:customStyle="1" w:styleId="53">
    <w:name w:val="正文文本首行缩进 2 字符"/>
    <w:link w:val="52"/>
    <w:uiPriority w:val="0"/>
    <w:rPr>
      <w:rFonts w:ascii="Times New Roman" w:hAnsi="Times New Roman" w:eastAsia="宋体"/>
      <w:kern w:val="2"/>
      <w:sz w:val="21"/>
      <w:szCs w:val="24"/>
    </w:rPr>
  </w:style>
  <w:style w:type="character" w:customStyle="1" w:styleId="54">
    <w:name w:val="纯文本 字符"/>
    <w:qFormat/>
    <w:uiPriority w:val="0"/>
    <w:rPr>
      <w:rFonts w:ascii="宋体" w:hAnsi="Courier New" w:cs="Courier New"/>
      <w:kern w:val="2"/>
      <w:sz w:val="21"/>
      <w:szCs w:val="21"/>
    </w:rPr>
  </w:style>
  <w:style w:type="character" w:customStyle="1" w:styleId="55">
    <w:name w:val="正文首行缩进 2 字符"/>
    <w:uiPriority w:val="0"/>
    <w:rPr>
      <w:rFonts w:ascii="Times New Roman" w:hAnsi="Times New Roman" w:eastAsia="宋体"/>
      <w:kern w:val="2"/>
      <w:sz w:val="21"/>
      <w:szCs w:val="24"/>
    </w:rPr>
  </w:style>
  <w:style w:type="paragraph" w:customStyle="1" w:styleId="56">
    <w:name w:val="小表格"/>
    <w:basedOn w:val="3"/>
    <w:next w:val="1"/>
    <w:link w:val="57"/>
    <w:qFormat/>
    <w:uiPriority w:val="0"/>
    <w:pPr>
      <w:spacing w:before="0" w:after="0" w:line="240" w:lineRule="auto"/>
      <w:jc w:val="center"/>
      <w:outlineLvl w:val="9"/>
    </w:pPr>
    <w:rPr>
      <w:b w:val="0"/>
      <w:bCs w:val="0"/>
      <w:sz w:val="21"/>
      <w:szCs w:val="21"/>
    </w:rPr>
  </w:style>
  <w:style w:type="character" w:customStyle="1" w:styleId="57">
    <w:name w:val="小表格 Char"/>
    <w:link w:val="56"/>
    <w:qFormat/>
    <w:uiPriority w:val="0"/>
    <w:rPr>
      <w:kern w:val="2"/>
      <w:sz w:val="21"/>
      <w:szCs w:val="21"/>
    </w:rPr>
  </w:style>
  <w:style w:type="character" w:customStyle="1" w:styleId="58">
    <w:name w:val="标题 3 Char"/>
    <w:link w:val="3"/>
    <w:semiHidden/>
    <w:uiPriority w:val="0"/>
    <w:rPr>
      <w:b/>
      <w:bCs/>
      <w:kern w:val="2"/>
      <w:sz w:val="32"/>
      <w:szCs w:val="32"/>
    </w:rPr>
  </w:style>
  <w:style w:type="character" w:styleId="59">
    <w:name w:val="Placeholder Text"/>
    <w:basedOn w:val="19"/>
    <w:semiHidden/>
    <w:uiPriority w:val="99"/>
    <w:rPr>
      <w:color w:val="808080"/>
    </w:rPr>
  </w:style>
  <w:style w:type="character" w:customStyle="1" w:styleId="60">
    <w:name w:val="表格内容 Char"/>
    <w:link w:val="61"/>
    <w:qFormat/>
    <w:locked/>
    <w:uiPriority w:val="0"/>
    <w:rPr>
      <w:sz w:val="18"/>
      <w:szCs w:val="24"/>
    </w:rPr>
  </w:style>
  <w:style w:type="paragraph" w:customStyle="1" w:styleId="61">
    <w:name w:val="表格内容"/>
    <w:next w:val="1"/>
    <w:link w:val="60"/>
    <w:qFormat/>
    <w:uiPriority w:val="0"/>
    <w:pPr>
      <w:adjustRightInd w:val="0"/>
      <w:snapToGrid w:val="0"/>
      <w:jc w:val="center"/>
    </w:pPr>
    <w:rPr>
      <w:rFonts w:ascii="Times New Roman" w:hAnsi="Times New Roman" w:eastAsia="宋体" w:cs="Times New Roman"/>
      <w:sz w:val="18"/>
      <w:szCs w:val="24"/>
      <w:lang w:val="en-US" w:eastAsia="zh-CN" w:bidi="ar-SA"/>
    </w:rPr>
  </w:style>
  <w:style w:type="paragraph" w:styleId="62">
    <w:name w:val="List Paragraph"/>
    <w:basedOn w:val="1"/>
    <w:qFormat/>
    <w:uiPriority w:val="34"/>
    <w:pPr>
      <w:ind w:firstLine="420" w:firstLineChars="200"/>
    </w:pPr>
  </w:style>
  <w:style w:type="paragraph" w:customStyle="1" w:styleId="63">
    <w:name w:val="Default1"/>
    <w:qFormat/>
    <w:uiPriority w:val="99"/>
    <w:pPr>
      <w:widowControl w:val="0"/>
      <w:autoSpaceDE w:val="0"/>
      <w:autoSpaceDN w:val="0"/>
      <w:adjustRightInd w:val="0"/>
    </w:pPr>
    <w:rPr>
      <w:rFonts w:ascii="宋体" w:hAnsi="Calibri" w:eastAsia="微软雅黑" w:cs="宋体"/>
      <w:color w:val="000000"/>
      <w:sz w:val="24"/>
      <w:szCs w:val="24"/>
      <w:lang w:val="en-US" w:eastAsia="zh-CN" w:bidi="ar-SA"/>
    </w:rPr>
  </w:style>
  <w:style w:type="paragraph" w:customStyle="1" w:styleId="64">
    <w:name w:val="正文首行缩进 21"/>
    <w:basedOn w:val="1"/>
    <w:next w:val="1"/>
    <w:qFormat/>
    <w:uiPriority w:val="0"/>
    <w:pPr>
      <w:spacing w:line="360" w:lineRule="auto"/>
      <w:ind w:firstLine="420" w:firstLineChars="200"/>
    </w:pPr>
    <w:rPr>
      <w:sz w:val="24"/>
    </w:rPr>
  </w:style>
  <w:style w:type="paragraph" w:customStyle="1" w:styleId="65">
    <w:name w:val="Table Paragraph"/>
    <w:basedOn w:val="1"/>
    <w:qFormat/>
    <w:uiPriority w:val="0"/>
    <w:rPr>
      <w:rFonts w:ascii="宋体" w:hAnsi="宋体" w:cs="宋体"/>
    </w:rPr>
  </w:style>
  <w:style w:type="paragraph" w:customStyle="1" w:styleId="66">
    <w:name w:val="列出段落2"/>
    <w:basedOn w:val="1"/>
    <w:qFormat/>
    <w:uiPriority w:val="0"/>
    <w:pPr>
      <w:spacing w:before="161"/>
      <w:ind w:left="1321" w:hanging="601"/>
    </w:pPr>
    <w:rPr>
      <w:rFonts w:ascii="宋体" w:hAnsi="宋体" w:cs="宋体"/>
      <w:lang w:val="zh-CN"/>
    </w:rPr>
  </w:style>
  <w:style w:type="paragraph" w:customStyle="1" w:styleId="67">
    <w:name w:val="1"/>
    <w:basedOn w:val="1"/>
    <w:next w:val="7"/>
    <w:autoRedefine/>
    <w:uiPriority w:val="0"/>
    <w:pPr>
      <w:ind w:firstLine="480" w:firstLineChars="200"/>
    </w:pPr>
    <w:rPr>
      <w:sz w:val="24"/>
    </w:rPr>
  </w:style>
  <w:style w:type="paragraph" w:customStyle="1" w:styleId="68">
    <w:name w:val="样式3"/>
    <w:basedOn w:val="1"/>
    <w:qFormat/>
    <w:uiPriority w:val="0"/>
    <w:pPr>
      <w:adjustRightInd w:val="0"/>
      <w:snapToGrid w:val="0"/>
      <w:spacing w:line="360" w:lineRule="auto"/>
      <w:ind w:firstLine="480" w:firstLineChars="200"/>
    </w:pPr>
    <w:rPr>
      <w:rFonts w:eastAsia="Times New Roman"/>
      <w:snapToGrid w:val="0"/>
      <w:color w:val="0000FF"/>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package" Target="embeddings/Microsoft_Visio___1.vsdx"/><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emf"/><Relationship Id="rId11" Type="http://schemas.openxmlformats.org/officeDocument/2006/relationships/package" Target="embeddings/Microsoft_Visio___2.vsdx"/><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B9A3E-5ABB-44E8-82CA-BC9A2C8F7CAB}">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57</Pages>
  <Words>5855</Words>
  <Characters>33379</Characters>
  <Lines>278</Lines>
  <Paragraphs>78</Paragraphs>
  <TotalTime>5334</TotalTime>
  <ScaleCrop>false</ScaleCrop>
  <LinksUpToDate>false</LinksUpToDate>
  <CharactersWithSpaces>39156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2022-09-21T01:24:00Z</dcterms:created>
  <dc:creator>lhj</dc:creator>
  <cp:lastModifiedBy>zhouzhi</cp:lastModifiedBy>
  <cp:lastPrinted>2023-12-18T07:12:00Z</cp:lastPrinted>
  <dcterms:modified xsi:type="dcterms:W3CDTF">2024-02-01T08:21:48Z</dcterms:modified>
  <dc:title>附件2</dc:title>
  <cp:revision>819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B1805662088942E283FA51F9E1014422_12</vt:lpwstr>
  </property>
</Properties>
</file>