
<file path=[Content_Types].xml><?xml version="1.0" encoding="utf-8"?>
<Types xmlns="http://schemas.openxmlformats.org/package/2006/content-types">
  <Default Extension="xml" ContentType="application/xml"/>
  <Default Extension="png" ContentType="image/png"/>
  <Default Extension="wmf" ContentType="image/x-wmf"/>
  <Default Extension="emf" ContentType="image/x-emf"/>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6"/>
          <w:szCs w:val="36"/>
        </w:rPr>
      </w:pPr>
    </w:p>
    <w:p>
      <w:pPr>
        <w:rPr>
          <w:rFonts w:eastAsia="仿宋_GB2312"/>
          <w:sz w:val="36"/>
          <w:szCs w:val="36"/>
        </w:rPr>
      </w:pPr>
    </w:p>
    <w:p>
      <w:pPr>
        <w:rPr>
          <w:rFonts w:eastAsia="仿宋_GB2312"/>
          <w:sz w:val="36"/>
          <w:szCs w:val="36"/>
        </w:rPr>
      </w:pPr>
    </w:p>
    <w:p>
      <w:pPr>
        <w:rPr>
          <w:rFonts w:eastAsia="仿宋_GB2312"/>
          <w:sz w:val="36"/>
          <w:szCs w:val="36"/>
        </w:rPr>
      </w:pPr>
    </w:p>
    <w:p>
      <w:pPr>
        <w:rPr>
          <w:rFonts w:eastAsia="仿宋_GB2312"/>
          <w:sz w:val="36"/>
          <w:szCs w:val="36"/>
        </w:rPr>
      </w:pPr>
    </w:p>
    <w:p>
      <w:pPr>
        <w:adjustRightInd w:val="0"/>
        <w:snapToGrid w:val="0"/>
        <w:jc w:val="center"/>
        <w:outlineLvl w:val="0"/>
        <w:rPr>
          <w:rFonts w:eastAsia="方正小标宋_GBK"/>
          <w:bCs/>
          <w:sz w:val="72"/>
          <w:szCs w:val="72"/>
        </w:rPr>
      </w:pPr>
      <w:bookmarkStart w:id="0" w:name="_Toc117495857"/>
      <w:r>
        <w:rPr>
          <w:rFonts w:eastAsia="方正小标宋_GBK"/>
          <w:bCs/>
          <w:sz w:val="72"/>
          <w:szCs w:val="72"/>
        </w:rPr>
        <w:t>建设项目环境影响报告表</w:t>
      </w:r>
      <w:bookmarkEnd w:id="0"/>
    </w:p>
    <w:p>
      <w:pPr>
        <w:adjustRightInd w:val="0"/>
        <w:snapToGrid w:val="0"/>
        <w:spacing w:before="192" w:beforeLines="80"/>
        <w:jc w:val="center"/>
        <w:rPr>
          <w:rFonts w:eastAsia="楷体_GB2312"/>
          <w:bCs/>
          <w:sz w:val="48"/>
          <w:szCs w:val="48"/>
        </w:rPr>
      </w:pPr>
      <w:r>
        <w:rPr>
          <w:rFonts w:eastAsia="楷体_GB2312"/>
          <w:bCs/>
          <w:sz w:val="48"/>
          <w:szCs w:val="48"/>
        </w:rPr>
        <w:t>（污染影响类）</w:t>
      </w:r>
    </w:p>
    <w:p>
      <w:pPr>
        <w:pStyle w:val="23"/>
      </w:pPr>
    </w:p>
    <w:p>
      <w:pPr>
        <w:rPr>
          <w:rFonts w:eastAsia="仿宋"/>
          <w:sz w:val="44"/>
          <w:szCs w:val="44"/>
        </w:rPr>
      </w:pPr>
    </w:p>
    <w:p>
      <w:pPr>
        <w:rPr>
          <w:rFonts w:eastAsia="仿宋"/>
          <w:sz w:val="44"/>
          <w:szCs w:val="44"/>
        </w:rPr>
      </w:pPr>
    </w:p>
    <w:p>
      <w:pPr>
        <w:adjustRightInd w:val="0"/>
        <w:snapToGrid w:val="0"/>
        <w:spacing w:line="288" w:lineRule="auto"/>
        <w:rPr>
          <w:rFonts w:eastAsia="仿宋"/>
          <w:sz w:val="44"/>
          <w:szCs w:val="44"/>
        </w:rPr>
      </w:pPr>
    </w:p>
    <w:p>
      <w:pPr>
        <w:adjustRightInd w:val="0"/>
        <w:snapToGrid w:val="0"/>
        <w:spacing w:line="288" w:lineRule="auto"/>
        <w:ind w:left="1600" w:hanging="1600" w:hangingChars="500"/>
        <w:rPr>
          <w:rFonts w:eastAsia="仿宋_GB2312"/>
          <w:sz w:val="32"/>
          <w:szCs w:val="32"/>
          <w:u w:val="single"/>
        </w:rPr>
      </w:pPr>
      <w:r>
        <w:rPr>
          <w:rFonts w:eastAsia="仿宋_GB2312"/>
          <w:sz w:val="32"/>
          <w:szCs w:val="32"/>
        </w:rPr>
        <w:t>项目名称：</w:t>
      </w:r>
      <w:r>
        <w:rPr>
          <w:rFonts w:eastAsia="仿宋_GB2312"/>
          <w:sz w:val="32"/>
          <w:szCs w:val="32"/>
          <w:u w:val="single"/>
        </w:rPr>
        <w:t>西安福诺医药科技有限公司长安创新科技产业园</w:t>
      </w:r>
    </w:p>
    <w:p>
      <w:pPr>
        <w:adjustRightInd w:val="0"/>
        <w:snapToGrid w:val="0"/>
        <w:spacing w:line="288" w:lineRule="auto"/>
        <w:ind w:left="1596" w:leftChars="760"/>
        <w:rPr>
          <w:rFonts w:eastAsia="仿宋_GB2312"/>
          <w:sz w:val="32"/>
          <w:szCs w:val="32"/>
          <w:u w:val="single"/>
        </w:rPr>
      </w:pPr>
      <w:r>
        <w:rPr>
          <w:rFonts w:eastAsia="仿宋_GB2312"/>
          <w:sz w:val="32"/>
          <w:szCs w:val="32"/>
          <w:u w:val="single"/>
        </w:rPr>
        <w:t>实验室建设项目</w:t>
      </w:r>
    </w:p>
    <w:p>
      <w:pPr>
        <w:adjustRightInd w:val="0"/>
        <w:snapToGrid w:val="0"/>
        <w:spacing w:line="288" w:lineRule="auto"/>
        <w:rPr>
          <w:rFonts w:eastAsia="仿宋_GB2312"/>
          <w:sz w:val="32"/>
          <w:szCs w:val="32"/>
          <w:u w:val="single"/>
        </w:rPr>
      </w:pPr>
      <w:r>
        <w:rPr>
          <w:rFonts w:eastAsia="仿宋_GB2312"/>
          <w:sz w:val="32"/>
          <w:szCs w:val="32"/>
        </w:rPr>
        <w:t>建设单位（盖章）：</w:t>
      </w:r>
      <w:r>
        <w:rPr>
          <w:rFonts w:eastAsia="仿宋_GB2312"/>
          <w:sz w:val="32"/>
          <w:szCs w:val="32"/>
          <w:u w:val="single"/>
        </w:rPr>
        <w:t>西安福诺医药科技有限公司</w:t>
      </w:r>
    </w:p>
    <w:p>
      <w:pPr>
        <w:adjustRightInd w:val="0"/>
        <w:snapToGrid w:val="0"/>
        <w:spacing w:line="288" w:lineRule="auto"/>
        <w:rPr>
          <w:rFonts w:eastAsia="仿宋_GB2312"/>
          <w:sz w:val="32"/>
          <w:szCs w:val="32"/>
          <w:u w:val="single"/>
        </w:rPr>
      </w:pPr>
      <w:r>
        <w:rPr>
          <w:rFonts w:eastAsia="仿宋_GB2312"/>
          <w:sz w:val="32"/>
          <w:szCs w:val="32"/>
        </w:rPr>
        <w:t>编制日期：</w:t>
      </w:r>
      <w:r>
        <w:rPr>
          <w:rFonts w:eastAsia="仿宋_GB2312"/>
          <w:sz w:val="32"/>
          <w:szCs w:val="32"/>
          <w:u w:val="single"/>
        </w:rPr>
        <w:t xml:space="preserve">             2023年12月           </w:t>
      </w:r>
    </w:p>
    <w:p>
      <w:pPr>
        <w:adjustRightInd w:val="0"/>
        <w:snapToGrid w:val="0"/>
        <w:spacing w:line="288" w:lineRule="auto"/>
        <w:ind w:firstLine="1040"/>
        <w:rPr>
          <w:rFonts w:eastAsia="仿宋_GB2312"/>
          <w:sz w:val="36"/>
          <w:szCs w:val="36"/>
        </w:rPr>
      </w:pPr>
      <w:bookmarkStart w:id="1" w:name="_Hlk57884087"/>
    </w:p>
    <w:bookmarkEnd w:id="1"/>
    <w:p>
      <w:pPr>
        <w:adjustRightInd w:val="0"/>
        <w:snapToGrid w:val="0"/>
        <w:spacing w:line="288" w:lineRule="auto"/>
        <w:jc w:val="center"/>
        <w:rPr>
          <w:rFonts w:eastAsia="楷体_GB2312"/>
          <w:sz w:val="36"/>
          <w:szCs w:val="36"/>
        </w:rPr>
      </w:pPr>
    </w:p>
    <w:p>
      <w:pPr>
        <w:adjustRightInd w:val="0"/>
        <w:snapToGrid w:val="0"/>
        <w:spacing w:line="288" w:lineRule="auto"/>
        <w:jc w:val="center"/>
        <w:rPr>
          <w:rFonts w:eastAsia="楷体_GB2312"/>
          <w:sz w:val="36"/>
          <w:szCs w:val="36"/>
        </w:rPr>
      </w:pPr>
    </w:p>
    <w:p>
      <w:pPr>
        <w:adjustRightInd w:val="0"/>
        <w:snapToGrid w:val="0"/>
        <w:spacing w:line="288" w:lineRule="auto"/>
        <w:jc w:val="center"/>
        <w:rPr>
          <w:rFonts w:eastAsia="楷体_GB2312"/>
          <w:sz w:val="36"/>
          <w:szCs w:val="36"/>
        </w:rPr>
      </w:pPr>
    </w:p>
    <w:p>
      <w:pPr>
        <w:adjustRightInd w:val="0"/>
        <w:snapToGrid w:val="0"/>
        <w:spacing w:line="288" w:lineRule="auto"/>
        <w:jc w:val="center"/>
        <w:rPr>
          <w:rFonts w:eastAsia="楷体_GB2312"/>
          <w:sz w:val="36"/>
          <w:szCs w:val="36"/>
        </w:rPr>
      </w:pPr>
    </w:p>
    <w:p>
      <w:pPr>
        <w:adjustRightInd w:val="0"/>
        <w:snapToGrid w:val="0"/>
        <w:spacing w:line="288" w:lineRule="auto"/>
        <w:jc w:val="center"/>
        <w:rPr>
          <w:rFonts w:eastAsia="楷体_GB2312"/>
          <w:sz w:val="36"/>
          <w:szCs w:val="36"/>
        </w:rPr>
      </w:pPr>
    </w:p>
    <w:p>
      <w:pPr>
        <w:adjustRightInd w:val="0"/>
        <w:snapToGrid w:val="0"/>
        <w:spacing w:line="288" w:lineRule="auto"/>
        <w:jc w:val="center"/>
        <w:rPr>
          <w:rFonts w:eastAsia="楷体_GB2312"/>
          <w:sz w:val="36"/>
          <w:szCs w:val="36"/>
        </w:rPr>
      </w:pPr>
    </w:p>
    <w:p>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pPr>
        <w:adjustRightInd w:val="0"/>
        <w:snapToGrid w:val="0"/>
        <w:spacing w:line="288" w:lineRule="auto"/>
        <w:ind w:firstLine="1040"/>
        <w:rPr>
          <w:rFonts w:eastAsia="仿宋_GB2312"/>
          <w:sz w:val="36"/>
          <w:szCs w:val="36"/>
        </w:rPr>
        <w:sectPr>
          <w:footerReference r:id="rId3" w:type="even"/>
          <w:pgSz w:w="11906" w:h="16838"/>
          <w:pgMar w:top="1701" w:right="1531" w:bottom="1701" w:left="1531" w:header="851" w:footer="1077" w:gutter="0"/>
          <w:pgNumType w:start="3"/>
          <w:cols w:space="720" w:num="1"/>
          <w:docGrid w:linePitch="312" w:charSpace="0"/>
        </w:sectPr>
      </w:pPr>
    </w:p>
    <w:p>
      <w:pPr>
        <w:pStyle w:val="17"/>
        <w:rPr>
          <w:rFonts w:ascii="Times New Roman" w:hAnsi="Times New Roman"/>
          <w:color w:val="auto"/>
        </w:rPr>
      </w:pPr>
      <w:r>
        <w:rPr>
          <w:rFonts w:ascii="Times New Roman" w:hAnsi="Times New Roman"/>
          <w:color w:val="auto"/>
        </w:rPr>
        <w:t>目  录</w:t>
      </w:r>
    </w:p>
    <w:p>
      <w:pPr>
        <w:pStyle w:val="17"/>
        <w:spacing w:line="360" w:lineRule="auto"/>
        <w:rPr>
          <w:rFonts w:ascii="Times New Roman" w:hAnsi="Times New Roman"/>
          <w:b w:val="0"/>
          <w:bCs w:val="0"/>
          <w:color w:val="auto"/>
          <w:sz w:val="28"/>
          <w:szCs w:val="28"/>
        </w:rPr>
      </w:pPr>
      <w:r>
        <w:rPr>
          <w:rFonts w:ascii="Times New Roman" w:hAnsi="Times New Roman"/>
          <w:color w:val="auto"/>
        </w:rPr>
        <w:fldChar w:fldCharType="begin"/>
      </w:r>
      <w:r>
        <w:rPr>
          <w:rFonts w:ascii="Times New Roman" w:hAnsi="Times New Roman"/>
          <w:color w:val="auto"/>
        </w:rPr>
        <w:instrText xml:space="preserve"> TOC \o "1-1" \h \z \u </w:instrText>
      </w:r>
      <w:r>
        <w:rPr>
          <w:rFonts w:ascii="Times New Roman" w:hAnsi="Times New Roman"/>
          <w:color w:val="auto"/>
        </w:rPr>
        <w:fldChar w:fldCharType="separate"/>
      </w:r>
    </w:p>
    <w:p>
      <w:pPr>
        <w:pStyle w:val="17"/>
        <w:spacing w:line="360" w:lineRule="auto"/>
        <w:rPr>
          <w:rFonts w:ascii="Times New Roman" w:hAnsi="Times New Roman"/>
          <w:b w:val="0"/>
          <w:bCs w:val="0"/>
          <w:color w:val="auto"/>
          <w:sz w:val="28"/>
          <w:szCs w:val="28"/>
        </w:rPr>
      </w:pPr>
      <w:r>
        <w:fldChar w:fldCharType="begin"/>
      </w:r>
      <w:r>
        <w:instrText xml:space="preserve"> HYPERLINK \l "_Toc117495858" </w:instrText>
      </w:r>
      <w:r>
        <w:fldChar w:fldCharType="separate"/>
      </w:r>
      <w:r>
        <w:rPr>
          <w:rStyle w:val="29"/>
          <w:rFonts w:ascii="Times New Roman" w:hAnsi="Times New Roman"/>
          <w:b w:val="0"/>
          <w:bCs w:val="0"/>
          <w:snapToGrid w:val="0"/>
          <w:color w:val="auto"/>
          <w:sz w:val="28"/>
          <w:szCs w:val="28"/>
        </w:rPr>
        <w:t>一、建设项目基本情况</w:t>
      </w:r>
      <w:r>
        <w:rPr>
          <w:rFonts w:ascii="Times New Roman" w:hAnsi="Times New Roman"/>
          <w:b w:val="0"/>
          <w:bCs w:val="0"/>
          <w:color w:val="auto"/>
          <w:sz w:val="28"/>
          <w:szCs w:val="28"/>
        </w:rPr>
        <w:tab/>
      </w:r>
      <w:r>
        <w:rPr>
          <w:rFonts w:ascii="Times New Roman" w:hAnsi="Times New Roman"/>
          <w:b w:val="0"/>
          <w:bCs w:val="0"/>
          <w:color w:val="auto"/>
          <w:sz w:val="28"/>
          <w:szCs w:val="28"/>
        </w:rPr>
        <w:fldChar w:fldCharType="begin"/>
      </w:r>
      <w:r>
        <w:rPr>
          <w:rFonts w:ascii="Times New Roman" w:hAnsi="Times New Roman"/>
          <w:b w:val="0"/>
          <w:bCs w:val="0"/>
          <w:color w:val="auto"/>
          <w:sz w:val="28"/>
          <w:szCs w:val="28"/>
        </w:rPr>
        <w:instrText xml:space="preserve"> PAGEREF _Toc117495858 \h </w:instrText>
      </w:r>
      <w:r>
        <w:rPr>
          <w:rFonts w:ascii="Times New Roman" w:hAnsi="Times New Roman"/>
          <w:b w:val="0"/>
          <w:bCs w:val="0"/>
          <w:color w:val="auto"/>
          <w:sz w:val="28"/>
          <w:szCs w:val="28"/>
        </w:rPr>
        <w:fldChar w:fldCharType="separate"/>
      </w:r>
      <w:r>
        <w:rPr>
          <w:rFonts w:ascii="Times New Roman" w:hAnsi="Times New Roman"/>
          <w:b w:val="0"/>
          <w:bCs w:val="0"/>
          <w:color w:val="auto"/>
          <w:sz w:val="28"/>
          <w:szCs w:val="28"/>
        </w:rPr>
        <w:t>1</w:t>
      </w:r>
      <w:r>
        <w:rPr>
          <w:rFonts w:ascii="Times New Roman" w:hAnsi="Times New Roman"/>
          <w:b w:val="0"/>
          <w:bCs w:val="0"/>
          <w:color w:val="auto"/>
          <w:sz w:val="28"/>
          <w:szCs w:val="28"/>
        </w:rPr>
        <w:fldChar w:fldCharType="end"/>
      </w:r>
      <w:r>
        <w:rPr>
          <w:rFonts w:ascii="Times New Roman" w:hAnsi="Times New Roman"/>
          <w:b w:val="0"/>
          <w:bCs w:val="0"/>
          <w:color w:val="auto"/>
          <w:sz w:val="28"/>
          <w:szCs w:val="28"/>
        </w:rPr>
        <w:fldChar w:fldCharType="end"/>
      </w:r>
    </w:p>
    <w:p>
      <w:pPr>
        <w:pStyle w:val="17"/>
        <w:spacing w:line="360" w:lineRule="auto"/>
        <w:rPr>
          <w:rFonts w:ascii="Times New Roman" w:hAnsi="Times New Roman"/>
          <w:b w:val="0"/>
          <w:bCs w:val="0"/>
          <w:color w:val="auto"/>
          <w:sz w:val="28"/>
          <w:szCs w:val="28"/>
        </w:rPr>
      </w:pPr>
      <w:r>
        <w:fldChar w:fldCharType="begin"/>
      </w:r>
      <w:r>
        <w:instrText xml:space="preserve"> HYPERLINK \l "_Toc117495859" </w:instrText>
      </w:r>
      <w:r>
        <w:fldChar w:fldCharType="separate"/>
      </w:r>
      <w:r>
        <w:rPr>
          <w:rStyle w:val="29"/>
          <w:rFonts w:ascii="Times New Roman" w:hAnsi="Times New Roman"/>
          <w:b w:val="0"/>
          <w:bCs w:val="0"/>
          <w:snapToGrid w:val="0"/>
          <w:color w:val="auto"/>
          <w:sz w:val="28"/>
          <w:szCs w:val="28"/>
        </w:rPr>
        <w:t>二、建设项目工程分析</w:t>
      </w:r>
      <w:r>
        <w:rPr>
          <w:rFonts w:ascii="Times New Roman" w:hAnsi="Times New Roman"/>
          <w:b w:val="0"/>
          <w:bCs w:val="0"/>
          <w:color w:val="auto"/>
          <w:sz w:val="28"/>
          <w:szCs w:val="28"/>
        </w:rPr>
        <w:tab/>
      </w:r>
      <w:r>
        <w:rPr>
          <w:rFonts w:ascii="Times New Roman" w:hAnsi="Times New Roman"/>
          <w:b w:val="0"/>
          <w:bCs w:val="0"/>
          <w:color w:val="auto"/>
          <w:sz w:val="28"/>
          <w:szCs w:val="28"/>
        </w:rPr>
        <w:fldChar w:fldCharType="begin"/>
      </w:r>
      <w:r>
        <w:rPr>
          <w:rFonts w:ascii="Times New Roman" w:hAnsi="Times New Roman"/>
          <w:b w:val="0"/>
          <w:bCs w:val="0"/>
          <w:color w:val="auto"/>
          <w:sz w:val="28"/>
          <w:szCs w:val="28"/>
        </w:rPr>
        <w:instrText xml:space="preserve"> PAGEREF _Toc117495859 \h </w:instrText>
      </w:r>
      <w:r>
        <w:rPr>
          <w:rFonts w:ascii="Times New Roman" w:hAnsi="Times New Roman"/>
          <w:b w:val="0"/>
          <w:bCs w:val="0"/>
          <w:color w:val="auto"/>
          <w:sz w:val="28"/>
          <w:szCs w:val="28"/>
        </w:rPr>
        <w:fldChar w:fldCharType="separate"/>
      </w:r>
      <w:r>
        <w:rPr>
          <w:rFonts w:ascii="Times New Roman" w:hAnsi="Times New Roman"/>
          <w:b w:val="0"/>
          <w:bCs w:val="0"/>
          <w:color w:val="auto"/>
          <w:sz w:val="28"/>
          <w:szCs w:val="28"/>
        </w:rPr>
        <w:t>11</w:t>
      </w:r>
      <w:r>
        <w:rPr>
          <w:rFonts w:ascii="Times New Roman" w:hAnsi="Times New Roman"/>
          <w:b w:val="0"/>
          <w:bCs w:val="0"/>
          <w:color w:val="auto"/>
          <w:sz w:val="28"/>
          <w:szCs w:val="28"/>
        </w:rPr>
        <w:fldChar w:fldCharType="end"/>
      </w:r>
      <w:r>
        <w:rPr>
          <w:rFonts w:ascii="Times New Roman" w:hAnsi="Times New Roman"/>
          <w:b w:val="0"/>
          <w:bCs w:val="0"/>
          <w:color w:val="auto"/>
          <w:sz w:val="28"/>
          <w:szCs w:val="28"/>
        </w:rPr>
        <w:fldChar w:fldCharType="end"/>
      </w:r>
    </w:p>
    <w:p>
      <w:pPr>
        <w:pStyle w:val="17"/>
        <w:spacing w:line="360" w:lineRule="auto"/>
        <w:rPr>
          <w:rFonts w:ascii="Times New Roman" w:hAnsi="Times New Roman"/>
          <w:b w:val="0"/>
          <w:bCs w:val="0"/>
          <w:color w:val="auto"/>
          <w:sz w:val="28"/>
          <w:szCs w:val="28"/>
        </w:rPr>
      </w:pPr>
      <w:r>
        <w:fldChar w:fldCharType="begin"/>
      </w:r>
      <w:r>
        <w:instrText xml:space="preserve"> HYPERLINK \l "_Toc117495860" </w:instrText>
      </w:r>
      <w:r>
        <w:fldChar w:fldCharType="separate"/>
      </w:r>
      <w:r>
        <w:rPr>
          <w:rStyle w:val="29"/>
          <w:rFonts w:ascii="Times New Roman" w:hAnsi="Times New Roman"/>
          <w:b w:val="0"/>
          <w:bCs w:val="0"/>
          <w:snapToGrid w:val="0"/>
          <w:color w:val="auto"/>
          <w:sz w:val="28"/>
          <w:szCs w:val="28"/>
        </w:rPr>
        <w:t>三、区域环境质量现状、环境保护目标及评价标准</w:t>
      </w:r>
      <w:r>
        <w:rPr>
          <w:rFonts w:ascii="Times New Roman" w:hAnsi="Times New Roman"/>
          <w:b w:val="0"/>
          <w:bCs w:val="0"/>
          <w:color w:val="auto"/>
          <w:sz w:val="28"/>
          <w:szCs w:val="28"/>
        </w:rPr>
        <w:tab/>
      </w:r>
      <w:r>
        <w:rPr>
          <w:rFonts w:ascii="Times New Roman" w:hAnsi="Times New Roman"/>
          <w:b w:val="0"/>
          <w:bCs w:val="0"/>
          <w:color w:val="auto"/>
          <w:sz w:val="28"/>
          <w:szCs w:val="28"/>
        </w:rPr>
        <w:fldChar w:fldCharType="begin"/>
      </w:r>
      <w:r>
        <w:rPr>
          <w:rFonts w:ascii="Times New Roman" w:hAnsi="Times New Roman"/>
          <w:b w:val="0"/>
          <w:bCs w:val="0"/>
          <w:color w:val="auto"/>
          <w:sz w:val="28"/>
          <w:szCs w:val="28"/>
        </w:rPr>
        <w:instrText xml:space="preserve"> PAGEREF _Toc117495860 \h </w:instrText>
      </w:r>
      <w:r>
        <w:rPr>
          <w:rFonts w:ascii="Times New Roman" w:hAnsi="Times New Roman"/>
          <w:b w:val="0"/>
          <w:bCs w:val="0"/>
          <w:color w:val="auto"/>
          <w:sz w:val="28"/>
          <w:szCs w:val="28"/>
        </w:rPr>
        <w:fldChar w:fldCharType="separate"/>
      </w:r>
      <w:r>
        <w:rPr>
          <w:rFonts w:ascii="Times New Roman" w:hAnsi="Times New Roman"/>
          <w:b w:val="0"/>
          <w:bCs w:val="0"/>
          <w:color w:val="auto"/>
          <w:sz w:val="28"/>
          <w:szCs w:val="28"/>
        </w:rPr>
        <w:t>22</w:t>
      </w:r>
      <w:r>
        <w:rPr>
          <w:rFonts w:ascii="Times New Roman" w:hAnsi="Times New Roman"/>
          <w:b w:val="0"/>
          <w:bCs w:val="0"/>
          <w:color w:val="auto"/>
          <w:sz w:val="28"/>
          <w:szCs w:val="28"/>
        </w:rPr>
        <w:fldChar w:fldCharType="end"/>
      </w:r>
      <w:r>
        <w:rPr>
          <w:rFonts w:ascii="Times New Roman" w:hAnsi="Times New Roman"/>
          <w:b w:val="0"/>
          <w:bCs w:val="0"/>
          <w:color w:val="auto"/>
          <w:sz w:val="28"/>
          <w:szCs w:val="28"/>
        </w:rPr>
        <w:fldChar w:fldCharType="end"/>
      </w:r>
    </w:p>
    <w:p>
      <w:pPr>
        <w:pStyle w:val="17"/>
        <w:spacing w:line="360" w:lineRule="auto"/>
        <w:rPr>
          <w:rFonts w:ascii="Times New Roman" w:hAnsi="Times New Roman"/>
          <w:b w:val="0"/>
          <w:bCs w:val="0"/>
          <w:color w:val="auto"/>
          <w:sz w:val="28"/>
          <w:szCs w:val="28"/>
        </w:rPr>
      </w:pPr>
      <w:r>
        <w:fldChar w:fldCharType="begin"/>
      </w:r>
      <w:r>
        <w:instrText xml:space="preserve"> HYPERLINK \l "_Toc117495861" </w:instrText>
      </w:r>
      <w:r>
        <w:fldChar w:fldCharType="separate"/>
      </w:r>
      <w:r>
        <w:rPr>
          <w:rStyle w:val="29"/>
          <w:rFonts w:ascii="Times New Roman" w:hAnsi="Times New Roman"/>
          <w:b w:val="0"/>
          <w:bCs w:val="0"/>
          <w:snapToGrid w:val="0"/>
          <w:color w:val="auto"/>
          <w:sz w:val="28"/>
          <w:szCs w:val="28"/>
        </w:rPr>
        <w:t>四、主要环境影响和保护措施</w:t>
      </w:r>
      <w:r>
        <w:rPr>
          <w:rFonts w:ascii="Times New Roman" w:hAnsi="Times New Roman"/>
          <w:b w:val="0"/>
          <w:bCs w:val="0"/>
          <w:color w:val="auto"/>
          <w:sz w:val="28"/>
          <w:szCs w:val="28"/>
        </w:rPr>
        <w:tab/>
      </w:r>
      <w:r>
        <w:rPr>
          <w:rFonts w:ascii="Times New Roman" w:hAnsi="Times New Roman"/>
          <w:b w:val="0"/>
          <w:bCs w:val="0"/>
          <w:color w:val="auto"/>
          <w:sz w:val="28"/>
          <w:szCs w:val="28"/>
        </w:rPr>
        <w:fldChar w:fldCharType="begin"/>
      </w:r>
      <w:r>
        <w:rPr>
          <w:rFonts w:ascii="Times New Roman" w:hAnsi="Times New Roman"/>
          <w:b w:val="0"/>
          <w:bCs w:val="0"/>
          <w:color w:val="auto"/>
          <w:sz w:val="28"/>
          <w:szCs w:val="28"/>
        </w:rPr>
        <w:instrText xml:space="preserve"> PAGEREF _Toc117495861 \h </w:instrText>
      </w:r>
      <w:r>
        <w:rPr>
          <w:rFonts w:ascii="Times New Roman" w:hAnsi="Times New Roman"/>
          <w:b w:val="0"/>
          <w:bCs w:val="0"/>
          <w:color w:val="auto"/>
          <w:sz w:val="28"/>
          <w:szCs w:val="28"/>
        </w:rPr>
        <w:fldChar w:fldCharType="separate"/>
      </w:r>
      <w:r>
        <w:rPr>
          <w:rFonts w:ascii="Times New Roman" w:hAnsi="Times New Roman"/>
          <w:b w:val="0"/>
          <w:bCs w:val="0"/>
          <w:color w:val="auto"/>
          <w:sz w:val="28"/>
          <w:szCs w:val="28"/>
        </w:rPr>
        <w:t>26</w:t>
      </w:r>
      <w:r>
        <w:rPr>
          <w:rFonts w:ascii="Times New Roman" w:hAnsi="Times New Roman"/>
          <w:b w:val="0"/>
          <w:bCs w:val="0"/>
          <w:color w:val="auto"/>
          <w:sz w:val="28"/>
          <w:szCs w:val="28"/>
        </w:rPr>
        <w:fldChar w:fldCharType="end"/>
      </w:r>
      <w:r>
        <w:rPr>
          <w:rFonts w:ascii="Times New Roman" w:hAnsi="Times New Roman"/>
          <w:b w:val="0"/>
          <w:bCs w:val="0"/>
          <w:color w:val="auto"/>
          <w:sz w:val="28"/>
          <w:szCs w:val="28"/>
        </w:rPr>
        <w:fldChar w:fldCharType="end"/>
      </w:r>
    </w:p>
    <w:p>
      <w:pPr>
        <w:pStyle w:val="17"/>
        <w:spacing w:line="360" w:lineRule="auto"/>
        <w:rPr>
          <w:rFonts w:ascii="Times New Roman" w:hAnsi="Times New Roman"/>
          <w:b w:val="0"/>
          <w:bCs w:val="0"/>
          <w:color w:val="auto"/>
          <w:sz w:val="28"/>
          <w:szCs w:val="28"/>
        </w:rPr>
      </w:pPr>
      <w:r>
        <w:fldChar w:fldCharType="begin"/>
      </w:r>
      <w:r>
        <w:instrText xml:space="preserve"> HYPERLINK \l "_Toc117495862" </w:instrText>
      </w:r>
      <w:r>
        <w:fldChar w:fldCharType="separate"/>
      </w:r>
      <w:r>
        <w:rPr>
          <w:rStyle w:val="29"/>
          <w:rFonts w:ascii="Times New Roman" w:hAnsi="Times New Roman"/>
          <w:b w:val="0"/>
          <w:bCs w:val="0"/>
          <w:snapToGrid w:val="0"/>
          <w:color w:val="auto"/>
          <w:sz w:val="28"/>
          <w:szCs w:val="28"/>
        </w:rPr>
        <w:t>五、环境保护措施监督检查清单</w:t>
      </w:r>
      <w:r>
        <w:rPr>
          <w:rFonts w:ascii="Times New Roman" w:hAnsi="Times New Roman"/>
          <w:b w:val="0"/>
          <w:bCs w:val="0"/>
          <w:color w:val="auto"/>
          <w:sz w:val="28"/>
          <w:szCs w:val="28"/>
        </w:rPr>
        <w:tab/>
      </w:r>
      <w:r>
        <w:rPr>
          <w:rFonts w:ascii="Times New Roman" w:hAnsi="Times New Roman"/>
          <w:b w:val="0"/>
          <w:bCs w:val="0"/>
          <w:color w:val="auto"/>
          <w:sz w:val="28"/>
          <w:szCs w:val="28"/>
        </w:rPr>
        <w:fldChar w:fldCharType="begin"/>
      </w:r>
      <w:r>
        <w:rPr>
          <w:rFonts w:ascii="Times New Roman" w:hAnsi="Times New Roman"/>
          <w:b w:val="0"/>
          <w:bCs w:val="0"/>
          <w:color w:val="auto"/>
          <w:sz w:val="28"/>
          <w:szCs w:val="28"/>
        </w:rPr>
        <w:instrText xml:space="preserve"> PAGEREF _Toc117495862 \h </w:instrText>
      </w:r>
      <w:r>
        <w:rPr>
          <w:rFonts w:ascii="Times New Roman" w:hAnsi="Times New Roman"/>
          <w:b w:val="0"/>
          <w:bCs w:val="0"/>
          <w:color w:val="auto"/>
          <w:sz w:val="28"/>
          <w:szCs w:val="28"/>
        </w:rPr>
        <w:fldChar w:fldCharType="separate"/>
      </w:r>
      <w:r>
        <w:rPr>
          <w:rFonts w:ascii="Times New Roman" w:hAnsi="Times New Roman"/>
          <w:b w:val="0"/>
          <w:bCs w:val="0"/>
          <w:color w:val="auto"/>
          <w:sz w:val="28"/>
          <w:szCs w:val="28"/>
        </w:rPr>
        <w:t>42</w:t>
      </w:r>
      <w:r>
        <w:rPr>
          <w:rFonts w:ascii="Times New Roman" w:hAnsi="Times New Roman"/>
          <w:b w:val="0"/>
          <w:bCs w:val="0"/>
          <w:color w:val="auto"/>
          <w:sz w:val="28"/>
          <w:szCs w:val="28"/>
        </w:rPr>
        <w:fldChar w:fldCharType="end"/>
      </w:r>
      <w:r>
        <w:rPr>
          <w:rFonts w:ascii="Times New Roman" w:hAnsi="Times New Roman"/>
          <w:b w:val="0"/>
          <w:bCs w:val="0"/>
          <w:color w:val="auto"/>
          <w:sz w:val="28"/>
          <w:szCs w:val="28"/>
        </w:rPr>
        <w:fldChar w:fldCharType="end"/>
      </w:r>
    </w:p>
    <w:p>
      <w:pPr>
        <w:pStyle w:val="17"/>
        <w:spacing w:line="360" w:lineRule="auto"/>
        <w:rPr>
          <w:rFonts w:ascii="Times New Roman" w:hAnsi="Times New Roman"/>
          <w:b w:val="0"/>
          <w:bCs w:val="0"/>
          <w:color w:val="auto"/>
          <w:sz w:val="28"/>
          <w:szCs w:val="28"/>
        </w:rPr>
      </w:pPr>
      <w:r>
        <w:fldChar w:fldCharType="begin"/>
      </w:r>
      <w:r>
        <w:instrText xml:space="preserve"> HYPERLINK \l "_Toc117495863" </w:instrText>
      </w:r>
      <w:r>
        <w:fldChar w:fldCharType="separate"/>
      </w:r>
      <w:r>
        <w:rPr>
          <w:rStyle w:val="29"/>
          <w:rFonts w:ascii="Times New Roman" w:hAnsi="Times New Roman"/>
          <w:b w:val="0"/>
          <w:bCs w:val="0"/>
          <w:snapToGrid w:val="0"/>
          <w:color w:val="auto"/>
          <w:sz w:val="28"/>
          <w:szCs w:val="28"/>
        </w:rPr>
        <w:t>六、结论</w:t>
      </w:r>
      <w:r>
        <w:rPr>
          <w:rFonts w:ascii="Times New Roman" w:hAnsi="Times New Roman"/>
          <w:b w:val="0"/>
          <w:bCs w:val="0"/>
          <w:color w:val="auto"/>
          <w:sz w:val="28"/>
          <w:szCs w:val="28"/>
        </w:rPr>
        <w:tab/>
      </w:r>
      <w:r>
        <w:rPr>
          <w:rFonts w:ascii="Times New Roman" w:hAnsi="Times New Roman"/>
          <w:b w:val="0"/>
          <w:bCs w:val="0"/>
          <w:color w:val="auto"/>
          <w:sz w:val="28"/>
          <w:szCs w:val="28"/>
        </w:rPr>
        <w:fldChar w:fldCharType="begin"/>
      </w:r>
      <w:r>
        <w:rPr>
          <w:rFonts w:ascii="Times New Roman" w:hAnsi="Times New Roman"/>
          <w:b w:val="0"/>
          <w:bCs w:val="0"/>
          <w:color w:val="auto"/>
          <w:sz w:val="28"/>
          <w:szCs w:val="28"/>
        </w:rPr>
        <w:instrText xml:space="preserve"> PAGEREF _Toc117495863 \h </w:instrText>
      </w:r>
      <w:r>
        <w:rPr>
          <w:rFonts w:ascii="Times New Roman" w:hAnsi="Times New Roman"/>
          <w:b w:val="0"/>
          <w:bCs w:val="0"/>
          <w:color w:val="auto"/>
          <w:sz w:val="28"/>
          <w:szCs w:val="28"/>
        </w:rPr>
        <w:fldChar w:fldCharType="separate"/>
      </w:r>
      <w:r>
        <w:rPr>
          <w:rFonts w:ascii="Times New Roman" w:hAnsi="Times New Roman"/>
          <w:b w:val="0"/>
          <w:bCs w:val="0"/>
          <w:color w:val="auto"/>
          <w:sz w:val="28"/>
          <w:szCs w:val="28"/>
        </w:rPr>
        <w:t>45</w:t>
      </w:r>
      <w:r>
        <w:rPr>
          <w:rFonts w:ascii="Times New Roman" w:hAnsi="Times New Roman"/>
          <w:b w:val="0"/>
          <w:bCs w:val="0"/>
          <w:color w:val="auto"/>
          <w:sz w:val="28"/>
          <w:szCs w:val="28"/>
        </w:rPr>
        <w:fldChar w:fldCharType="end"/>
      </w:r>
      <w:r>
        <w:rPr>
          <w:rFonts w:ascii="Times New Roman" w:hAnsi="Times New Roman"/>
          <w:b w:val="0"/>
          <w:bCs w:val="0"/>
          <w:color w:val="auto"/>
          <w:sz w:val="28"/>
          <w:szCs w:val="28"/>
        </w:rPr>
        <w:fldChar w:fldCharType="end"/>
      </w:r>
    </w:p>
    <w:p>
      <w:pPr>
        <w:pStyle w:val="17"/>
        <w:spacing w:line="360" w:lineRule="auto"/>
        <w:rPr>
          <w:rFonts w:ascii="Times New Roman" w:hAnsi="Times New Roman"/>
          <w:color w:val="auto"/>
        </w:rPr>
      </w:pPr>
      <w:r>
        <w:fldChar w:fldCharType="begin"/>
      </w:r>
      <w:r>
        <w:instrText xml:space="preserve"> HYPERLINK \l "_Toc117495865" </w:instrText>
      </w:r>
      <w:r>
        <w:fldChar w:fldCharType="separate"/>
      </w:r>
      <w:r>
        <w:rPr>
          <w:rStyle w:val="29"/>
          <w:rFonts w:ascii="Times New Roman" w:hAnsi="Times New Roman"/>
          <w:b w:val="0"/>
          <w:bCs w:val="0"/>
          <w:snapToGrid w:val="0"/>
          <w:color w:val="auto"/>
          <w:sz w:val="28"/>
          <w:szCs w:val="28"/>
        </w:rPr>
        <w:t>建设项目污染物排放量汇总表</w:t>
      </w:r>
      <w:r>
        <w:rPr>
          <w:rFonts w:ascii="Times New Roman" w:hAnsi="Times New Roman"/>
          <w:b w:val="0"/>
          <w:bCs w:val="0"/>
          <w:color w:val="auto"/>
          <w:sz w:val="28"/>
          <w:szCs w:val="28"/>
        </w:rPr>
        <w:tab/>
      </w:r>
      <w:r>
        <w:rPr>
          <w:rFonts w:ascii="Times New Roman" w:hAnsi="Times New Roman"/>
          <w:b w:val="0"/>
          <w:bCs w:val="0"/>
          <w:color w:val="auto"/>
          <w:sz w:val="28"/>
          <w:szCs w:val="28"/>
        </w:rPr>
        <w:fldChar w:fldCharType="begin"/>
      </w:r>
      <w:r>
        <w:rPr>
          <w:rFonts w:ascii="Times New Roman" w:hAnsi="Times New Roman"/>
          <w:b w:val="0"/>
          <w:bCs w:val="0"/>
          <w:color w:val="auto"/>
          <w:sz w:val="28"/>
          <w:szCs w:val="28"/>
        </w:rPr>
        <w:instrText xml:space="preserve"> PAGEREF _Toc117495865 \h </w:instrText>
      </w:r>
      <w:r>
        <w:rPr>
          <w:rFonts w:ascii="Times New Roman" w:hAnsi="Times New Roman"/>
          <w:b w:val="0"/>
          <w:bCs w:val="0"/>
          <w:color w:val="auto"/>
          <w:sz w:val="28"/>
          <w:szCs w:val="28"/>
        </w:rPr>
        <w:fldChar w:fldCharType="separate"/>
      </w:r>
      <w:r>
        <w:rPr>
          <w:rFonts w:ascii="Times New Roman" w:hAnsi="Times New Roman"/>
          <w:b w:val="0"/>
          <w:bCs w:val="0"/>
          <w:color w:val="auto"/>
          <w:sz w:val="28"/>
          <w:szCs w:val="28"/>
        </w:rPr>
        <w:t>46</w:t>
      </w:r>
      <w:r>
        <w:rPr>
          <w:rFonts w:ascii="Times New Roman" w:hAnsi="Times New Roman"/>
          <w:b w:val="0"/>
          <w:bCs w:val="0"/>
          <w:color w:val="auto"/>
          <w:sz w:val="28"/>
          <w:szCs w:val="28"/>
        </w:rPr>
        <w:fldChar w:fldCharType="end"/>
      </w:r>
      <w:r>
        <w:rPr>
          <w:rFonts w:ascii="Times New Roman" w:hAnsi="Times New Roman"/>
          <w:b w:val="0"/>
          <w:bCs w:val="0"/>
          <w:color w:val="auto"/>
          <w:sz w:val="28"/>
          <w:szCs w:val="28"/>
        </w:rPr>
        <w:fldChar w:fldCharType="end"/>
      </w:r>
    </w:p>
    <w:p>
      <w:pPr>
        <w:adjustRightInd w:val="0"/>
        <w:snapToGrid w:val="0"/>
        <w:jc w:val="left"/>
        <w:rPr>
          <w:b/>
          <w:sz w:val="24"/>
          <w:szCs w:val="36"/>
        </w:rPr>
      </w:pPr>
      <w:r>
        <w:rPr>
          <w:rFonts w:eastAsia="仿宋_GB2312"/>
          <w:sz w:val="36"/>
          <w:szCs w:val="36"/>
        </w:rPr>
        <w:fldChar w:fldCharType="end"/>
      </w:r>
      <w:r>
        <w:rPr>
          <w:b/>
          <w:sz w:val="24"/>
          <w:szCs w:val="36"/>
        </w:rPr>
        <w:t>附图</w:t>
      </w:r>
    </w:p>
    <w:p>
      <w:pPr>
        <w:spacing w:line="300" w:lineRule="auto"/>
        <w:ind w:firstLine="480"/>
        <w:rPr>
          <w:sz w:val="24"/>
        </w:rPr>
      </w:pPr>
      <w:r>
        <w:rPr>
          <w:sz w:val="24"/>
        </w:rPr>
        <w:t>附图1：西安市生态环境管控单元分布示意图；</w:t>
      </w:r>
    </w:p>
    <w:p>
      <w:pPr>
        <w:spacing w:line="300" w:lineRule="auto"/>
        <w:ind w:firstLine="480"/>
        <w:rPr>
          <w:sz w:val="24"/>
        </w:rPr>
      </w:pPr>
      <w:r>
        <w:rPr>
          <w:sz w:val="24"/>
        </w:rPr>
        <w:t>附图2：本项目地理位置图；</w:t>
      </w:r>
    </w:p>
    <w:p>
      <w:pPr>
        <w:spacing w:line="300" w:lineRule="auto"/>
        <w:ind w:firstLine="480"/>
        <w:rPr>
          <w:sz w:val="24"/>
        </w:rPr>
      </w:pPr>
      <w:r>
        <w:rPr>
          <w:sz w:val="24"/>
        </w:rPr>
        <w:t>附图3：本项目监测点位图；</w:t>
      </w:r>
    </w:p>
    <w:p>
      <w:pPr>
        <w:spacing w:line="300" w:lineRule="auto"/>
        <w:ind w:firstLine="480"/>
        <w:rPr>
          <w:sz w:val="24"/>
        </w:rPr>
      </w:pPr>
      <w:r>
        <w:rPr>
          <w:sz w:val="24"/>
        </w:rPr>
        <w:t>附图4：本项目四邻关系图；</w:t>
      </w:r>
    </w:p>
    <w:p>
      <w:pPr>
        <w:spacing w:line="300" w:lineRule="auto"/>
        <w:ind w:firstLine="480"/>
        <w:rPr>
          <w:sz w:val="24"/>
        </w:rPr>
      </w:pPr>
      <w:r>
        <w:rPr>
          <w:sz w:val="24"/>
        </w:rPr>
        <w:t>附图5：本项目环境保护目标图；</w:t>
      </w:r>
    </w:p>
    <w:p>
      <w:pPr>
        <w:spacing w:line="300" w:lineRule="auto"/>
        <w:ind w:firstLine="480"/>
        <w:rPr>
          <w:sz w:val="24"/>
        </w:rPr>
      </w:pPr>
      <w:r>
        <w:rPr>
          <w:sz w:val="24"/>
        </w:rPr>
        <w:t>附图6：项目平面图。</w:t>
      </w:r>
    </w:p>
    <w:p>
      <w:pPr>
        <w:adjustRightInd w:val="0"/>
        <w:snapToGrid w:val="0"/>
        <w:jc w:val="left"/>
        <w:rPr>
          <w:b/>
          <w:sz w:val="24"/>
          <w:szCs w:val="36"/>
        </w:rPr>
      </w:pPr>
      <w:r>
        <w:rPr>
          <w:b/>
          <w:sz w:val="24"/>
          <w:szCs w:val="36"/>
        </w:rPr>
        <w:t>附件</w:t>
      </w:r>
    </w:p>
    <w:p>
      <w:pPr>
        <w:spacing w:line="300" w:lineRule="auto"/>
        <w:ind w:firstLine="480"/>
        <w:rPr>
          <w:sz w:val="24"/>
        </w:rPr>
      </w:pPr>
      <w:r>
        <w:rPr>
          <w:sz w:val="24"/>
        </w:rPr>
        <w:t>附件1：环境影响评价委托书；</w:t>
      </w:r>
    </w:p>
    <w:p>
      <w:pPr>
        <w:spacing w:line="300" w:lineRule="auto"/>
        <w:ind w:firstLine="480"/>
        <w:rPr>
          <w:sz w:val="24"/>
        </w:rPr>
      </w:pPr>
      <w:r>
        <w:rPr>
          <w:sz w:val="24"/>
        </w:rPr>
        <w:t>附件2：项目备案确认书；</w:t>
      </w:r>
    </w:p>
    <w:p>
      <w:pPr>
        <w:spacing w:line="300" w:lineRule="auto"/>
        <w:ind w:firstLine="480"/>
        <w:rPr>
          <w:sz w:val="24"/>
        </w:rPr>
      </w:pPr>
      <w:r>
        <w:rPr>
          <w:sz w:val="24"/>
        </w:rPr>
        <w:t>附件3：监测报告；</w:t>
      </w:r>
    </w:p>
    <w:p>
      <w:pPr>
        <w:spacing w:line="300" w:lineRule="auto"/>
        <w:ind w:firstLine="480"/>
        <w:rPr>
          <w:sz w:val="24"/>
        </w:rPr>
      </w:pPr>
      <w:r>
        <w:rPr>
          <w:sz w:val="24"/>
        </w:rPr>
        <w:t>附件4：租赁合同；</w:t>
      </w:r>
    </w:p>
    <w:p>
      <w:pPr>
        <w:spacing w:line="300" w:lineRule="auto"/>
        <w:ind w:firstLine="480"/>
        <w:rPr>
          <w:sz w:val="24"/>
        </w:rPr>
      </w:pPr>
      <w:r>
        <w:rPr>
          <w:sz w:val="24"/>
        </w:rPr>
        <w:t>附件5：不动产许可证；</w:t>
      </w:r>
    </w:p>
    <w:p>
      <w:pPr>
        <w:spacing w:line="300" w:lineRule="auto"/>
        <w:ind w:firstLine="480"/>
        <w:rPr>
          <w:sz w:val="24"/>
        </w:rPr>
      </w:pPr>
      <w:r>
        <w:rPr>
          <w:sz w:val="24"/>
        </w:rPr>
        <w:t>附件6：陕</w:t>
      </w:r>
      <w:r>
        <w:rPr>
          <w:rFonts w:asciiTheme="minorEastAsia" w:hAnsiTheme="minorEastAsia" w:eastAsiaTheme="minorEastAsia"/>
          <w:sz w:val="24"/>
        </w:rPr>
        <w:t>西省“三线一单”生态环</w:t>
      </w:r>
      <w:r>
        <w:rPr>
          <w:sz w:val="24"/>
        </w:rPr>
        <w:t>境管控单元对照分析报告</w:t>
      </w:r>
      <w:r>
        <w:rPr>
          <w:rFonts w:hint="eastAsia"/>
          <w:sz w:val="24"/>
        </w:rPr>
        <w:t>；</w:t>
      </w:r>
    </w:p>
    <w:p>
      <w:pPr>
        <w:spacing w:line="300" w:lineRule="auto"/>
        <w:ind w:firstLine="480"/>
        <w:rPr>
          <w:sz w:val="24"/>
        </w:rPr>
      </w:pPr>
      <w:r>
        <w:rPr>
          <w:sz w:val="24"/>
        </w:rPr>
        <w:t>附件7：</w:t>
      </w:r>
      <w:r>
        <w:rPr>
          <w:rFonts w:hint="eastAsia"/>
          <w:sz w:val="24"/>
        </w:rPr>
        <w:t>引用</w:t>
      </w:r>
      <w:r>
        <w:rPr>
          <w:sz w:val="24"/>
        </w:rPr>
        <w:t>监测报告</w:t>
      </w:r>
      <w:r>
        <w:rPr>
          <w:rFonts w:hint="eastAsia"/>
          <w:sz w:val="24"/>
        </w:rPr>
        <w:t>。</w:t>
      </w:r>
    </w:p>
    <w:p>
      <w:pPr>
        <w:spacing w:line="300" w:lineRule="auto"/>
        <w:ind w:firstLine="480"/>
        <w:rPr>
          <w:sz w:val="24"/>
        </w:rPr>
      </w:pPr>
    </w:p>
    <w:p>
      <w:pPr>
        <w:pStyle w:val="31"/>
        <w:ind w:firstLine="480" w:firstLineChars="200"/>
        <w:jc w:val="both"/>
        <w:rPr>
          <w:rFonts w:ascii="Times New Roman" w:cs="Times New Roman"/>
          <w:color w:val="auto"/>
        </w:rPr>
      </w:pPr>
    </w:p>
    <w:p>
      <w:pPr>
        <w:adjustRightInd w:val="0"/>
        <w:snapToGrid w:val="0"/>
        <w:spacing w:line="288" w:lineRule="auto"/>
        <w:ind w:firstLine="1040"/>
        <w:rPr>
          <w:rFonts w:eastAsia="仿宋_GB2312"/>
          <w:sz w:val="36"/>
          <w:szCs w:val="36"/>
        </w:rPr>
        <w:sectPr>
          <w:pgSz w:w="11906" w:h="16838"/>
          <w:pgMar w:top="1701" w:right="1531" w:bottom="1701" w:left="1531" w:header="851" w:footer="1077" w:gutter="0"/>
          <w:pgNumType w:start="3"/>
          <w:cols w:space="720" w:num="1"/>
          <w:docGrid w:linePitch="312" w:charSpace="0"/>
        </w:sectPr>
      </w:pPr>
    </w:p>
    <w:p>
      <w:pPr>
        <w:pStyle w:val="21"/>
        <w:jc w:val="center"/>
        <w:outlineLvl w:val="0"/>
        <w:rPr>
          <w:rFonts w:ascii="Times New Roman" w:hAnsi="Times New Roman" w:eastAsia="黑体"/>
          <w:snapToGrid w:val="0"/>
          <w:sz w:val="30"/>
          <w:szCs w:val="30"/>
        </w:rPr>
      </w:pPr>
      <w:bookmarkStart w:id="2" w:name="_Toc117495858"/>
      <w:r>
        <w:rPr>
          <w:rFonts w:ascii="Times New Roman" w:hAnsi="Times New Roman" w:eastAsia="黑体"/>
          <w:snapToGrid w:val="0"/>
          <w:sz w:val="30"/>
          <w:szCs w:val="30"/>
        </w:rPr>
        <w:t>一、建设项目基本情况</w:t>
      </w:r>
      <w:bookmarkEnd w:id="2"/>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56"/>
        <w:gridCol w:w="2347"/>
        <w:gridCol w:w="1940"/>
        <w:gridCol w:w="27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56" w:type="dxa"/>
            <w:tcMar>
              <w:top w:w="16" w:type="dxa"/>
              <w:left w:w="16" w:type="dxa"/>
              <w:right w:w="16" w:type="dxa"/>
            </w:tcMar>
            <w:vAlign w:val="center"/>
          </w:tcPr>
          <w:p>
            <w:pPr>
              <w:adjustRightInd w:val="0"/>
              <w:snapToGrid w:val="0"/>
              <w:jc w:val="center"/>
              <w:rPr>
                <w:sz w:val="24"/>
              </w:rPr>
            </w:pPr>
            <w:bookmarkStart w:id="3" w:name="_Hlk101948077"/>
            <w:r>
              <w:rPr>
                <w:sz w:val="24"/>
              </w:rPr>
              <w:t>建设项目名称</w:t>
            </w:r>
          </w:p>
        </w:tc>
        <w:tc>
          <w:tcPr>
            <w:tcW w:w="7014" w:type="dxa"/>
            <w:gridSpan w:val="3"/>
            <w:vAlign w:val="center"/>
          </w:tcPr>
          <w:p>
            <w:pPr>
              <w:adjustRightInd w:val="0"/>
              <w:snapToGrid w:val="0"/>
              <w:jc w:val="center"/>
              <w:rPr>
                <w:sz w:val="24"/>
              </w:rPr>
            </w:pPr>
            <w:r>
              <w:rPr>
                <w:sz w:val="24"/>
              </w:rPr>
              <w:t>西安福诺医药科技有限公司长安创新科技产业园实验室建设项目</w:t>
            </w:r>
          </w:p>
        </w:tc>
      </w:tr>
      <w:bookmarkEnd w:id="3"/>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项目代码</w:t>
            </w:r>
          </w:p>
        </w:tc>
        <w:tc>
          <w:tcPr>
            <w:tcW w:w="7014" w:type="dxa"/>
            <w:gridSpan w:val="3"/>
            <w:vAlign w:val="center"/>
          </w:tcPr>
          <w:p>
            <w:pPr>
              <w:adjustRightInd w:val="0"/>
              <w:snapToGrid w:val="0"/>
              <w:jc w:val="center"/>
              <w:rPr>
                <w:sz w:val="24"/>
              </w:rPr>
            </w:pPr>
            <w:r>
              <w:rPr>
                <w:sz w:val="24"/>
              </w:rPr>
              <w:t>2307-610116-04-05-572456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建设单位联系人</w:t>
            </w:r>
          </w:p>
        </w:tc>
        <w:tc>
          <w:tcPr>
            <w:tcW w:w="2347" w:type="dxa"/>
            <w:vAlign w:val="center"/>
          </w:tcPr>
          <w:p>
            <w:pPr>
              <w:adjustRightInd w:val="0"/>
              <w:snapToGrid w:val="0"/>
              <w:jc w:val="center"/>
              <w:rPr>
                <w:sz w:val="24"/>
              </w:rPr>
            </w:pPr>
            <w:r>
              <w:rPr>
                <w:sz w:val="24"/>
              </w:rPr>
              <w:t>杨俊</w:t>
            </w:r>
          </w:p>
        </w:tc>
        <w:tc>
          <w:tcPr>
            <w:tcW w:w="1940" w:type="dxa"/>
            <w:vAlign w:val="center"/>
          </w:tcPr>
          <w:p>
            <w:pPr>
              <w:adjustRightInd w:val="0"/>
              <w:snapToGrid w:val="0"/>
              <w:jc w:val="center"/>
              <w:rPr>
                <w:sz w:val="24"/>
              </w:rPr>
            </w:pPr>
            <w:r>
              <w:rPr>
                <w:sz w:val="24"/>
              </w:rPr>
              <w:t>联系方式</w:t>
            </w:r>
          </w:p>
        </w:tc>
        <w:tc>
          <w:tcPr>
            <w:tcW w:w="2727" w:type="dxa"/>
            <w:vAlign w:val="center"/>
          </w:tcPr>
          <w:p>
            <w:pPr>
              <w:adjustRightInd w:val="0"/>
              <w:snapToGrid w:val="0"/>
              <w:jc w:val="center"/>
              <w:rPr>
                <w:sz w:val="24"/>
              </w:rPr>
            </w:pPr>
            <w:bookmarkStart w:id="17" w:name="_GoBack"/>
            <w:bookmarkEnd w:id="1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建设地点</w:t>
            </w:r>
          </w:p>
        </w:tc>
        <w:tc>
          <w:tcPr>
            <w:tcW w:w="7014" w:type="dxa"/>
            <w:gridSpan w:val="3"/>
            <w:vAlign w:val="center"/>
          </w:tcPr>
          <w:p>
            <w:pPr>
              <w:adjustRightInd w:val="0"/>
              <w:snapToGrid w:val="0"/>
              <w:jc w:val="center"/>
              <w:rPr>
                <w:sz w:val="24"/>
              </w:rPr>
            </w:pPr>
            <w:r>
              <w:rPr>
                <w:sz w:val="24"/>
              </w:rPr>
              <w:t>郭杜街办顺兴路99号长安创新科技产业园20403室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地理坐标</w:t>
            </w:r>
          </w:p>
        </w:tc>
        <w:tc>
          <w:tcPr>
            <w:tcW w:w="7014" w:type="dxa"/>
            <w:gridSpan w:val="3"/>
            <w:vAlign w:val="center"/>
          </w:tcPr>
          <w:p>
            <w:pPr>
              <w:jc w:val="center"/>
              <w:rPr>
                <w:sz w:val="24"/>
              </w:rPr>
            </w:pPr>
            <w:r>
              <w:rPr>
                <w:sz w:val="24"/>
              </w:rPr>
              <w:t>（E：</w:t>
            </w:r>
            <w:r>
              <w:rPr>
                <w:sz w:val="24"/>
                <w:u w:val="single"/>
              </w:rPr>
              <w:t>108</w:t>
            </w:r>
            <w:r>
              <w:rPr>
                <w:sz w:val="24"/>
              </w:rPr>
              <w:t>度</w:t>
            </w:r>
            <w:r>
              <w:rPr>
                <w:sz w:val="24"/>
                <w:u w:val="single"/>
              </w:rPr>
              <w:t>51</w:t>
            </w:r>
            <w:r>
              <w:rPr>
                <w:sz w:val="24"/>
              </w:rPr>
              <w:t>分</w:t>
            </w:r>
            <w:r>
              <w:rPr>
                <w:sz w:val="24"/>
                <w:u w:val="single"/>
              </w:rPr>
              <w:t>59.14</w:t>
            </w:r>
            <w:r>
              <w:rPr>
                <w:sz w:val="24"/>
              </w:rPr>
              <w:t>秒，N：</w:t>
            </w:r>
            <w:r>
              <w:rPr>
                <w:sz w:val="24"/>
                <w:u w:val="single"/>
              </w:rPr>
              <w:t>34</w:t>
            </w:r>
            <w:r>
              <w:rPr>
                <w:sz w:val="24"/>
              </w:rPr>
              <w:t>度</w:t>
            </w:r>
            <w:r>
              <w:rPr>
                <w:sz w:val="24"/>
                <w:u w:val="single"/>
              </w:rPr>
              <w:t>9</w:t>
            </w:r>
            <w:r>
              <w:rPr>
                <w:sz w:val="24"/>
              </w:rPr>
              <w:t>分</w:t>
            </w:r>
            <w:r>
              <w:rPr>
                <w:sz w:val="24"/>
                <w:u w:val="single"/>
              </w:rPr>
              <w:t>4.44</w:t>
            </w:r>
            <w:r>
              <w:rPr>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国民经济</w:t>
            </w:r>
          </w:p>
          <w:p>
            <w:pPr>
              <w:adjustRightInd w:val="0"/>
              <w:snapToGrid w:val="0"/>
              <w:jc w:val="center"/>
              <w:rPr>
                <w:sz w:val="24"/>
              </w:rPr>
            </w:pPr>
            <w:r>
              <w:rPr>
                <w:sz w:val="24"/>
              </w:rPr>
              <w:t>行业类别</w:t>
            </w:r>
          </w:p>
        </w:tc>
        <w:tc>
          <w:tcPr>
            <w:tcW w:w="2347" w:type="dxa"/>
            <w:vAlign w:val="center"/>
          </w:tcPr>
          <w:p>
            <w:pPr>
              <w:adjustRightInd w:val="0"/>
              <w:snapToGrid w:val="0"/>
              <w:jc w:val="center"/>
              <w:rPr>
                <w:sz w:val="24"/>
              </w:rPr>
            </w:pPr>
            <w:r>
              <w:rPr>
                <w:sz w:val="24"/>
              </w:rPr>
              <w:t>M7340医学研究和试验发展</w:t>
            </w:r>
          </w:p>
        </w:tc>
        <w:tc>
          <w:tcPr>
            <w:tcW w:w="1940" w:type="dxa"/>
            <w:vAlign w:val="center"/>
          </w:tcPr>
          <w:p>
            <w:pPr>
              <w:adjustRightInd w:val="0"/>
              <w:snapToGrid w:val="0"/>
              <w:jc w:val="center"/>
              <w:rPr>
                <w:sz w:val="24"/>
              </w:rPr>
            </w:pPr>
            <w:bookmarkStart w:id="4" w:name="_Hlk49843745"/>
            <w:r>
              <w:rPr>
                <w:sz w:val="24"/>
              </w:rPr>
              <w:t>建设项目</w:t>
            </w:r>
          </w:p>
          <w:p>
            <w:pPr>
              <w:adjustRightInd w:val="0"/>
              <w:snapToGrid w:val="0"/>
              <w:jc w:val="center"/>
              <w:rPr>
                <w:sz w:val="24"/>
              </w:rPr>
            </w:pPr>
            <w:r>
              <w:rPr>
                <w:sz w:val="24"/>
              </w:rPr>
              <w:t>行业类别</w:t>
            </w:r>
            <w:bookmarkEnd w:id="4"/>
          </w:p>
        </w:tc>
        <w:tc>
          <w:tcPr>
            <w:tcW w:w="2727" w:type="dxa"/>
            <w:vAlign w:val="center"/>
          </w:tcPr>
          <w:p>
            <w:pPr>
              <w:adjustRightInd w:val="0"/>
              <w:snapToGrid w:val="0"/>
              <w:rPr>
                <w:sz w:val="24"/>
              </w:rPr>
            </w:pPr>
            <w:r>
              <w:rPr>
                <w:sz w:val="24"/>
              </w:rPr>
              <w:t>四十五、研究和试验发展 98.专业实验室、研究（试验）基地-其他（不产生实验废气、废水、危险废物的除外）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建设性质</w:t>
            </w:r>
          </w:p>
        </w:tc>
        <w:tc>
          <w:tcPr>
            <w:tcW w:w="2347" w:type="dxa"/>
            <w:vAlign w:val="center"/>
          </w:tcPr>
          <w:p>
            <w:pPr>
              <w:jc w:val="left"/>
              <w:rPr>
                <w:sz w:val="24"/>
              </w:rPr>
            </w:pPr>
            <w:r>
              <w:rPr>
                <w:sz w:val="24"/>
              </w:rPr>
              <w:sym w:font="Wingdings 2" w:char="0052"/>
            </w:r>
            <w:r>
              <w:rPr>
                <w:sz w:val="24"/>
              </w:rPr>
              <w:t>新建</w:t>
            </w:r>
          </w:p>
          <w:p>
            <w:pPr>
              <w:jc w:val="left"/>
              <w:rPr>
                <w:rFonts w:asciiTheme="minorEastAsia" w:hAnsiTheme="minorEastAsia" w:eastAsiaTheme="minorEastAsia"/>
                <w:sz w:val="24"/>
              </w:rPr>
            </w:pPr>
            <w:r>
              <w:rPr>
                <w:rFonts w:asciiTheme="minorEastAsia" w:hAnsiTheme="minorEastAsia" w:eastAsiaTheme="minorEastAsia"/>
                <w:sz w:val="24"/>
              </w:rPr>
              <w:t>□改建</w:t>
            </w:r>
          </w:p>
          <w:p>
            <w:pPr>
              <w:jc w:val="left"/>
              <w:rPr>
                <w:rFonts w:asciiTheme="minorEastAsia" w:hAnsiTheme="minorEastAsia" w:eastAsiaTheme="minorEastAsia"/>
                <w:sz w:val="24"/>
              </w:rPr>
            </w:pPr>
            <w:r>
              <w:rPr>
                <w:rFonts w:asciiTheme="minorEastAsia" w:hAnsiTheme="minorEastAsia" w:eastAsiaTheme="minorEastAsia"/>
                <w:sz w:val="24"/>
              </w:rPr>
              <w:t>□扩建</w:t>
            </w:r>
          </w:p>
          <w:p>
            <w:pPr>
              <w:jc w:val="left"/>
              <w:rPr>
                <w:sz w:val="24"/>
              </w:rPr>
            </w:pPr>
            <w:r>
              <w:rPr>
                <w:rFonts w:asciiTheme="minorEastAsia" w:hAnsiTheme="minorEastAsia" w:eastAsiaTheme="minorEastAsia"/>
                <w:sz w:val="24"/>
              </w:rPr>
              <w:t>□技术改造</w:t>
            </w:r>
          </w:p>
        </w:tc>
        <w:tc>
          <w:tcPr>
            <w:tcW w:w="1940" w:type="dxa"/>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2727" w:type="dxa"/>
            <w:vAlign w:val="center"/>
          </w:tcPr>
          <w:p>
            <w:pPr>
              <w:jc w:val="left"/>
              <w:rPr>
                <w:sz w:val="24"/>
              </w:rPr>
            </w:pPr>
            <w:r>
              <w:rPr>
                <w:sz w:val="24"/>
              </w:rPr>
              <w:sym w:font="Wingdings 2" w:char="0052"/>
            </w:r>
            <w:r>
              <w:rPr>
                <w:sz w:val="24"/>
              </w:rPr>
              <w:t xml:space="preserve">首次申报项目             </w:t>
            </w:r>
          </w:p>
          <w:p>
            <w:pPr>
              <w:jc w:val="left"/>
              <w:rPr>
                <w:sz w:val="24"/>
              </w:rPr>
            </w:pPr>
            <w:r>
              <w:rPr>
                <w:sz w:val="24"/>
              </w:rPr>
              <w:sym w:font="Wingdings 2" w:char="00A3"/>
            </w:r>
            <w:r>
              <w:rPr>
                <w:sz w:val="24"/>
              </w:rPr>
              <w:t>不予批准后再次申报项目</w:t>
            </w:r>
          </w:p>
          <w:p>
            <w:pPr>
              <w:jc w:val="left"/>
              <w:rPr>
                <w:sz w:val="24"/>
              </w:rPr>
            </w:pPr>
            <w:r>
              <w:rPr>
                <w:sz w:val="24"/>
              </w:rPr>
              <w:sym w:font="Wingdings 2" w:char="00A3"/>
            </w:r>
            <w:r>
              <w:rPr>
                <w:sz w:val="24"/>
              </w:rPr>
              <w:t xml:space="preserve">超五年重新审核项目     </w:t>
            </w:r>
          </w:p>
          <w:p>
            <w:pPr>
              <w:jc w:val="left"/>
              <w:rPr>
                <w:sz w:val="24"/>
              </w:rPr>
            </w:pPr>
            <w:r>
              <w:rPr>
                <w:sz w:val="24"/>
              </w:rPr>
              <w:sym w:font="Wingdings 2" w:char="00A3"/>
            </w:r>
            <w:r>
              <w:rPr>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项目审批（核准/备案）部门（选填）</w:t>
            </w:r>
          </w:p>
        </w:tc>
        <w:tc>
          <w:tcPr>
            <w:tcW w:w="2347" w:type="dxa"/>
            <w:vAlign w:val="center"/>
          </w:tcPr>
          <w:p>
            <w:pPr>
              <w:adjustRightInd w:val="0"/>
              <w:snapToGrid w:val="0"/>
              <w:jc w:val="center"/>
              <w:rPr>
                <w:sz w:val="24"/>
              </w:rPr>
            </w:pPr>
            <w:r>
              <w:rPr>
                <w:sz w:val="24"/>
              </w:rPr>
              <w:t>西安市长安区发展和改革委员会</w:t>
            </w:r>
          </w:p>
        </w:tc>
        <w:tc>
          <w:tcPr>
            <w:tcW w:w="1940" w:type="dxa"/>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备案）文号（选填）</w:t>
            </w:r>
          </w:p>
        </w:tc>
        <w:tc>
          <w:tcPr>
            <w:tcW w:w="2727" w:type="dxa"/>
            <w:vAlign w:val="center"/>
          </w:tcPr>
          <w:p>
            <w:pPr>
              <w:adjustRightInd w:val="0"/>
              <w:snapToGrid w:val="0"/>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总投资（万元）</w:t>
            </w:r>
          </w:p>
        </w:tc>
        <w:tc>
          <w:tcPr>
            <w:tcW w:w="2347" w:type="dxa"/>
            <w:vAlign w:val="center"/>
          </w:tcPr>
          <w:p>
            <w:pPr>
              <w:adjustRightInd w:val="0"/>
              <w:snapToGrid w:val="0"/>
              <w:jc w:val="center"/>
              <w:rPr>
                <w:sz w:val="24"/>
              </w:rPr>
            </w:pPr>
            <w:r>
              <w:rPr>
                <w:sz w:val="24"/>
              </w:rPr>
              <w:t>80</w:t>
            </w:r>
          </w:p>
        </w:tc>
        <w:tc>
          <w:tcPr>
            <w:tcW w:w="1940" w:type="dxa"/>
            <w:tcMar>
              <w:top w:w="16" w:type="dxa"/>
              <w:left w:w="16" w:type="dxa"/>
              <w:right w:w="16" w:type="dxa"/>
            </w:tcMar>
            <w:vAlign w:val="center"/>
          </w:tcPr>
          <w:p>
            <w:pPr>
              <w:adjustRightInd w:val="0"/>
              <w:snapToGrid w:val="0"/>
              <w:jc w:val="center"/>
              <w:rPr>
                <w:sz w:val="24"/>
              </w:rPr>
            </w:pPr>
            <w:r>
              <w:rPr>
                <w:sz w:val="24"/>
              </w:rPr>
              <w:t>环保投资（万元）</w:t>
            </w:r>
          </w:p>
        </w:tc>
        <w:tc>
          <w:tcPr>
            <w:tcW w:w="2727" w:type="dxa"/>
            <w:vAlign w:val="center"/>
          </w:tcPr>
          <w:p>
            <w:pPr>
              <w:adjustRightInd w:val="0"/>
              <w:snapToGrid w:val="0"/>
              <w:jc w:val="center"/>
              <w:rPr>
                <w:sz w:val="24"/>
              </w:rPr>
            </w:pPr>
            <w:r>
              <w:rPr>
                <w:sz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环保投资占比（%）</w:t>
            </w:r>
          </w:p>
        </w:tc>
        <w:tc>
          <w:tcPr>
            <w:tcW w:w="2347" w:type="dxa"/>
            <w:vAlign w:val="center"/>
          </w:tcPr>
          <w:p>
            <w:pPr>
              <w:adjustRightInd w:val="0"/>
              <w:snapToGrid w:val="0"/>
              <w:jc w:val="center"/>
              <w:rPr>
                <w:sz w:val="24"/>
              </w:rPr>
            </w:pPr>
            <w:r>
              <w:rPr>
                <w:sz w:val="24"/>
              </w:rPr>
              <w:t>22.5%</w:t>
            </w:r>
          </w:p>
        </w:tc>
        <w:tc>
          <w:tcPr>
            <w:tcW w:w="1940" w:type="dxa"/>
            <w:tcMar>
              <w:top w:w="16" w:type="dxa"/>
              <w:left w:w="16" w:type="dxa"/>
              <w:right w:w="16" w:type="dxa"/>
            </w:tcMar>
            <w:vAlign w:val="center"/>
          </w:tcPr>
          <w:p>
            <w:pPr>
              <w:adjustRightInd w:val="0"/>
              <w:snapToGrid w:val="0"/>
              <w:jc w:val="center"/>
              <w:rPr>
                <w:sz w:val="24"/>
              </w:rPr>
            </w:pPr>
            <w:r>
              <w:rPr>
                <w:sz w:val="24"/>
              </w:rPr>
              <w:t>施工工期</w:t>
            </w:r>
          </w:p>
        </w:tc>
        <w:tc>
          <w:tcPr>
            <w:tcW w:w="2727" w:type="dxa"/>
            <w:vAlign w:val="center"/>
          </w:tcPr>
          <w:p>
            <w:pPr>
              <w:adjustRightInd w:val="0"/>
              <w:snapToGrid w:val="0"/>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56" w:type="dxa"/>
            <w:tcMar>
              <w:top w:w="16" w:type="dxa"/>
              <w:left w:w="16" w:type="dxa"/>
              <w:right w:w="16" w:type="dxa"/>
            </w:tcMar>
            <w:vAlign w:val="center"/>
          </w:tcPr>
          <w:p>
            <w:pPr>
              <w:adjustRightInd w:val="0"/>
              <w:snapToGrid w:val="0"/>
              <w:jc w:val="center"/>
              <w:rPr>
                <w:sz w:val="24"/>
              </w:rPr>
            </w:pPr>
            <w:r>
              <w:rPr>
                <w:sz w:val="24"/>
              </w:rPr>
              <w:t>是否开工建设</w:t>
            </w:r>
          </w:p>
        </w:tc>
        <w:tc>
          <w:tcPr>
            <w:tcW w:w="2347" w:type="dxa"/>
            <w:vAlign w:val="center"/>
          </w:tcPr>
          <w:p>
            <w:pPr>
              <w:adjustRightInd w:val="0"/>
              <w:snapToGrid w:val="0"/>
              <w:rPr>
                <w:sz w:val="24"/>
              </w:rPr>
            </w:pPr>
            <w:r>
              <w:rPr>
                <w:rFonts w:ascii="宋体" w:hAnsi="宋体"/>
                <w:sz w:val="24"/>
              </w:rPr>
              <w:sym w:font="Wingdings 2" w:char="0052"/>
            </w:r>
            <w:r>
              <w:rPr>
                <w:sz w:val="24"/>
              </w:rPr>
              <w:t>否</w:t>
            </w:r>
          </w:p>
          <w:p>
            <w:pPr>
              <w:adjustRightInd w:val="0"/>
              <w:snapToGrid w:val="0"/>
              <w:rPr>
                <w:sz w:val="24"/>
              </w:rPr>
            </w:pPr>
            <w:r>
              <w:rPr>
                <w:sz w:val="24"/>
              </w:rPr>
              <w:sym w:font="Wingdings 2" w:char="00A3"/>
            </w:r>
            <w:r>
              <w:rPr>
                <w:sz w:val="24"/>
              </w:rPr>
              <w:t>是：</w:t>
            </w:r>
          </w:p>
        </w:tc>
        <w:tc>
          <w:tcPr>
            <w:tcW w:w="1940" w:type="dxa"/>
            <w:tcMar>
              <w:top w:w="16" w:type="dxa"/>
              <w:left w:w="16" w:type="dxa"/>
              <w:right w:w="16" w:type="dxa"/>
            </w:tcMar>
            <w:vAlign w:val="center"/>
          </w:tcPr>
          <w:p>
            <w:pPr>
              <w:adjustRightInd w:val="0"/>
              <w:snapToGrid w:val="0"/>
              <w:jc w:val="center"/>
              <w:rPr>
                <w:spacing w:val="-6"/>
                <w:sz w:val="24"/>
              </w:rPr>
            </w:pPr>
            <w:r>
              <w:rPr>
                <w:spacing w:val="-6"/>
                <w:sz w:val="24"/>
              </w:rPr>
              <w:t>用地（用海）</w:t>
            </w:r>
          </w:p>
          <w:p>
            <w:pPr>
              <w:adjustRightInd w:val="0"/>
              <w:snapToGrid w:val="0"/>
              <w:jc w:val="center"/>
              <w:rPr>
                <w:sz w:val="24"/>
              </w:rPr>
            </w:pPr>
            <w:r>
              <w:rPr>
                <w:spacing w:val="-6"/>
                <w:sz w:val="24"/>
              </w:rPr>
              <w:t>面积（m</w:t>
            </w:r>
            <w:r>
              <w:rPr>
                <w:spacing w:val="-6"/>
                <w:sz w:val="24"/>
                <w:vertAlign w:val="superscript"/>
              </w:rPr>
              <w:t>2</w:t>
            </w:r>
            <w:r>
              <w:rPr>
                <w:spacing w:val="-6"/>
                <w:sz w:val="24"/>
              </w:rPr>
              <w:t>）</w:t>
            </w:r>
          </w:p>
        </w:tc>
        <w:tc>
          <w:tcPr>
            <w:tcW w:w="2727" w:type="dxa"/>
            <w:vAlign w:val="center"/>
          </w:tcPr>
          <w:p>
            <w:pPr>
              <w:adjustRightInd w:val="0"/>
              <w:snapToGrid w:val="0"/>
              <w:jc w:val="center"/>
              <w:rPr>
                <w:sz w:val="24"/>
              </w:rPr>
            </w:pPr>
            <w:r>
              <w:rPr>
                <w:sz w:val="24"/>
              </w:rPr>
              <w:t>394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56" w:type="dxa"/>
            <w:vAlign w:val="center"/>
          </w:tcPr>
          <w:p>
            <w:pPr>
              <w:autoSpaceDE w:val="0"/>
              <w:autoSpaceDN w:val="0"/>
              <w:adjustRightInd w:val="0"/>
              <w:snapToGrid w:val="0"/>
              <w:jc w:val="center"/>
              <w:rPr>
                <w:kern w:val="0"/>
                <w:sz w:val="24"/>
              </w:rPr>
            </w:pPr>
            <w:r>
              <w:rPr>
                <w:kern w:val="0"/>
                <w:sz w:val="24"/>
              </w:rPr>
              <w:t>专项评价设置情况</w:t>
            </w:r>
          </w:p>
        </w:tc>
        <w:tc>
          <w:tcPr>
            <w:tcW w:w="7014" w:type="dxa"/>
            <w:gridSpan w:val="3"/>
            <w:vAlign w:val="center"/>
          </w:tcPr>
          <w:p>
            <w:pPr>
              <w:autoSpaceDE w:val="0"/>
              <w:autoSpaceDN w:val="0"/>
              <w:adjustRightInd w:val="0"/>
              <w:snapToGrid w:val="0"/>
              <w:spacing w:line="360" w:lineRule="auto"/>
              <w:ind w:firstLine="480" w:firstLineChars="200"/>
              <w:rPr>
                <w:kern w:val="0"/>
                <w:sz w:val="24"/>
              </w:rPr>
            </w:pPr>
            <w:r>
              <w:rPr>
                <w:kern w:val="0"/>
                <w:sz w:val="24"/>
              </w:rPr>
              <w:t>依据《建设项目环境影响报告表编制技术指南》（污染影响类），表1专项评价设置原则表，排放废气含有有毒有害污染物、二噁英、苯并芘、氰化物、氯气且厂界500米范围内有环境空气保护目标的建设项目应设置大气专项评价。</w:t>
            </w:r>
          </w:p>
          <w:p>
            <w:pPr>
              <w:autoSpaceDE w:val="0"/>
              <w:autoSpaceDN w:val="0"/>
              <w:adjustRightInd w:val="0"/>
              <w:snapToGrid w:val="0"/>
              <w:spacing w:line="360" w:lineRule="auto"/>
              <w:ind w:firstLine="480" w:firstLineChars="200"/>
              <w:rPr>
                <w:kern w:val="0"/>
                <w:sz w:val="24"/>
              </w:rPr>
            </w:pPr>
            <w:r>
              <w:rPr>
                <w:kern w:val="0"/>
                <w:sz w:val="24"/>
              </w:rPr>
              <w:t>本项目排放少量二氯甲烷废气，指南中提出有毒有害污染物指纳入《有毒有害大气污染物名录》的污染物（不包括无排放标准的污染物），二氯甲烷虽被列入《有毒有害大气污染物名录》，但因二氯甲烷无相应排放标准，故不进行大气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856" w:type="dxa"/>
            <w:vAlign w:val="center"/>
          </w:tcPr>
          <w:p>
            <w:pPr>
              <w:autoSpaceDE w:val="0"/>
              <w:autoSpaceDN w:val="0"/>
              <w:adjustRightInd w:val="0"/>
              <w:snapToGrid w:val="0"/>
              <w:jc w:val="center"/>
              <w:rPr>
                <w:kern w:val="0"/>
                <w:sz w:val="24"/>
              </w:rPr>
            </w:pPr>
            <w:r>
              <w:rPr>
                <w:sz w:val="24"/>
              </w:rPr>
              <w:t>规划情况</w:t>
            </w:r>
          </w:p>
        </w:tc>
        <w:tc>
          <w:tcPr>
            <w:tcW w:w="7014" w:type="dxa"/>
            <w:gridSpan w:val="3"/>
            <w:vAlign w:val="center"/>
          </w:tcPr>
          <w:p>
            <w:pPr>
              <w:autoSpaceDE w:val="0"/>
              <w:autoSpaceDN w:val="0"/>
              <w:adjustRightInd w:val="0"/>
              <w:snapToGrid w:val="0"/>
              <w:spacing w:line="360" w:lineRule="auto"/>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856" w:type="dxa"/>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7014" w:type="dxa"/>
            <w:gridSpan w:val="3"/>
            <w:vAlign w:val="center"/>
          </w:tcPr>
          <w:p>
            <w:pPr>
              <w:autoSpaceDE w:val="0"/>
              <w:autoSpaceDN w:val="0"/>
              <w:adjustRightInd w:val="0"/>
              <w:snapToGrid w:val="0"/>
              <w:spacing w:line="360" w:lineRule="auto"/>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856" w:type="dxa"/>
            <w:vAlign w:val="center"/>
          </w:tcPr>
          <w:p>
            <w:pPr>
              <w:autoSpaceDE w:val="0"/>
              <w:autoSpaceDN w:val="0"/>
              <w:adjustRightInd w:val="0"/>
              <w:snapToGrid w:val="0"/>
              <w:jc w:val="center"/>
              <w:rPr>
                <w:kern w:val="0"/>
                <w:sz w:val="24"/>
              </w:rPr>
            </w:pPr>
            <w:r>
              <w:rPr>
                <w:kern w:val="0"/>
                <w:sz w:val="24"/>
              </w:rPr>
              <w:t>规划及规划环境影响评价符合性分析</w:t>
            </w:r>
          </w:p>
        </w:tc>
        <w:tc>
          <w:tcPr>
            <w:tcW w:w="7014" w:type="dxa"/>
            <w:gridSpan w:val="3"/>
            <w:vAlign w:val="center"/>
          </w:tcPr>
          <w:p>
            <w:pPr>
              <w:pStyle w:val="33"/>
              <w:adjustRightInd w:val="0"/>
              <w:spacing w:before="0" w:after="0" w:line="360" w:lineRule="auto"/>
              <w:ind w:right="0"/>
              <w:rPr>
                <w:b w:val="0"/>
                <w:bCs/>
                <w:sz w:val="24"/>
              </w:rPr>
            </w:pPr>
            <w:r>
              <w:rPr>
                <w:b w:val="0"/>
                <w:bCs/>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6" w:type="dxa"/>
            <w:vAlign w:val="center"/>
          </w:tcPr>
          <w:p>
            <w:pPr>
              <w:autoSpaceDE w:val="0"/>
              <w:autoSpaceDN w:val="0"/>
              <w:adjustRightInd w:val="0"/>
              <w:snapToGrid w:val="0"/>
              <w:jc w:val="center"/>
              <w:rPr>
                <w:kern w:val="0"/>
                <w:sz w:val="24"/>
              </w:rPr>
            </w:pPr>
            <w:r>
              <w:rPr>
                <w:kern w:val="0"/>
                <w:sz w:val="24"/>
              </w:rPr>
              <w:t>其他符合性分析</w:t>
            </w:r>
          </w:p>
        </w:tc>
        <w:tc>
          <w:tcPr>
            <w:tcW w:w="7014" w:type="dxa"/>
            <w:gridSpan w:val="3"/>
            <w:vAlign w:val="center"/>
          </w:tcPr>
          <w:p>
            <w:pPr>
              <w:adjustRightInd w:val="0"/>
              <w:snapToGrid w:val="0"/>
              <w:spacing w:before="120" w:beforeLines="50" w:line="360" w:lineRule="auto"/>
              <w:ind w:firstLine="480" w:firstLineChars="200"/>
              <w:rPr>
                <w:sz w:val="24"/>
              </w:rPr>
            </w:pPr>
            <w:r>
              <w:rPr>
                <w:sz w:val="24"/>
              </w:rPr>
              <w:t>一、产业政策符合性分析</w:t>
            </w:r>
          </w:p>
          <w:p>
            <w:pPr>
              <w:autoSpaceDE w:val="0"/>
              <w:autoSpaceDN w:val="0"/>
              <w:adjustRightInd w:val="0"/>
              <w:snapToGrid w:val="0"/>
              <w:spacing w:line="360" w:lineRule="auto"/>
              <w:ind w:firstLine="480" w:firstLineChars="200"/>
              <w:rPr>
                <w:sz w:val="24"/>
                <w:lang w:val="zh-CN"/>
              </w:rPr>
            </w:pPr>
            <w:r>
              <w:rPr>
                <w:sz w:val="24"/>
              </w:rPr>
              <w:t>根据中华人民共和国国家发展和改革委员会令第29号《产业结构调整指导目录（2019年本）》，本项目不属于其</w:t>
            </w:r>
            <w:r>
              <w:rPr>
                <w:rFonts w:asciiTheme="minorEastAsia" w:hAnsiTheme="minorEastAsia" w:eastAsiaTheme="minorEastAsia"/>
                <w:sz w:val="24"/>
              </w:rPr>
              <w:t>中“鼓励类、限制类及淘汰类”，根据《促进产业结构调整暂行规定》第十三条“不属于鼓励类、限制类和淘汰类，且符合国家有关法律、法规和政策规定的，为允许类”，故本项</w:t>
            </w:r>
            <w:r>
              <w:rPr>
                <w:sz w:val="24"/>
              </w:rPr>
              <w:t>目属于允许类项目。</w:t>
            </w:r>
          </w:p>
          <w:p>
            <w:pPr>
              <w:autoSpaceDE w:val="0"/>
              <w:autoSpaceDN w:val="0"/>
              <w:adjustRightInd w:val="0"/>
              <w:snapToGrid w:val="0"/>
              <w:spacing w:line="360" w:lineRule="auto"/>
              <w:ind w:firstLine="480" w:firstLineChars="200"/>
              <w:rPr>
                <w:sz w:val="24"/>
              </w:rPr>
            </w:pPr>
            <w:r>
              <w:rPr>
                <w:sz w:val="24"/>
              </w:rPr>
              <w:t>根据《市场准入负面清单》（2022年版）相关要求，本项目不属于禁止准入类；对照关于印发《陕西省限制投资类产业指导目录》的通知（陕发改产业[2007]97号），本项目不在其列。</w:t>
            </w:r>
          </w:p>
          <w:p>
            <w:pPr>
              <w:autoSpaceDE w:val="0"/>
              <w:autoSpaceDN w:val="0"/>
              <w:adjustRightInd w:val="0"/>
              <w:snapToGrid w:val="0"/>
              <w:spacing w:line="360" w:lineRule="auto"/>
              <w:ind w:firstLine="480" w:firstLineChars="200"/>
              <w:rPr>
                <w:sz w:val="24"/>
              </w:rPr>
            </w:pPr>
            <w:r>
              <w:rPr>
                <w:sz w:val="24"/>
              </w:rPr>
              <w:t>同时，本项目已取得</w:t>
            </w:r>
            <w:r>
              <w:rPr>
                <w:rFonts w:hint="eastAsia"/>
                <w:sz w:val="24"/>
              </w:rPr>
              <w:t>西安市长安区发展和改革委员会</w:t>
            </w:r>
            <w:r>
              <w:rPr>
                <w:sz w:val="24"/>
              </w:rPr>
              <w:t>关于本项目的备案确认书，项目代码：2307-610116-04-05-572456。</w:t>
            </w:r>
          </w:p>
          <w:p>
            <w:pPr>
              <w:pStyle w:val="39"/>
              <w:ind w:firstLine="484" w:firstLineChars="200"/>
              <w:rPr>
                <w:rFonts w:hAnsi="Times New Roman"/>
                <w:szCs w:val="24"/>
              </w:rPr>
            </w:pPr>
            <w:r>
              <w:rPr>
                <w:rFonts w:hAnsi="Times New Roman"/>
              </w:rPr>
              <w:t>二</w:t>
            </w:r>
            <w:r>
              <w:rPr>
                <w:rFonts w:asciiTheme="minorEastAsia" w:hAnsiTheme="minorEastAsia" w:eastAsiaTheme="minorEastAsia"/>
              </w:rPr>
              <w:t>、“三线一单”符合</w:t>
            </w:r>
            <w:r>
              <w:rPr>
                <w:rFonts w:hAnsi="Times New Roman"/>
              </w:rPr>
              <w:t>性分析</w:t>
            </w:r>
          </w:p>
          <w:p>
            <w:pPr>
              <w:pStyle w:val="36"/>
              <w:numPr>
                <w:ilvl w:val="0"/>
                <w:numId w:val="0"/>
              </w:numPr>
              <w:ind w:firstLine="480" w:firstLineChars="200"/>
              <w:rPr>
                <w:kern w:val="24"/>
                <w:sz w:val="24"/>
                <w:szCs w:val="24"/>
              </w:rPr>
            </w:pPr>
            <w:r>
              <w:rPr>
                <w:rFonts w:hint="eastAsia"/>
                <w:sz w:val="24"/>
                <w:szCs w:val="24"/>
              </w:rPr>
              <w:t>1</w:t>
            </w:r>
            <w:r>
              <w:rPr>
                <w:sz w:val="24"/>
                <w:szCs w:val="24"/>
              </w:rPr>
              <w:t>、与《西安市人民政府关于</w:t>
            </w:r>
            <w:r>
              <w:rPr>
                <w:rFonts w:asciiTheme="minorEastAsia" w:hAnsiTheme="minorEastAsia" w:eastAsiaTheme="minorEastAsia"/>
                <w:sz w:val="24"/>
                <w:szCs w:val="24"/>
              </w:rPr>
              <w:t>印发“三线一单”生态环</w:t>
            </w:r>
            <w:r>
              <w:rPr>
                <w:sz w:val="24"/>
                <w:szCs w:val="24"/>
              </w:rPr>
              <w:t>境分区管控方案的通知》（市政发〔2021〕22号）的符合性分析</w:t>
            </w:r>
          </w:p>
          <w:p>
            <w:pPr>
              <w:pStyle w:val="36"/>
              <w:numPr>
                <w:ilvl w:val="0"/>
                <w:numId w:val="0"/>
              </w:numPr>
              <w:ind w:firstLine="480" w:firstLineChars="200"/>
              <w:rPr>
                <w:sz w:val="24"/>
                <w:szCs w:val="24"/>
              </w:rPr>
            </w:pPr>
            <w:r>
              <w:rPr>
                <w:sz w:val="24"/>
                <w:szCs w:val="24"/>
              </w:rPr>
              <w:t>根据《陕西</w:t>
            </w:r>
            <w:r>
              <w:rPr>
                <w:rFonts w:asciiTheme="minorEastAsia" w:hAnsiTheme="minorEastAsia" w:eastAsiaTheme="minorEastAsia"/>
                <w:sz w:val="24"/>
                <w:szCs w:val="24"/>
              </w:rPr>
              <w:t>省“三线一单”生态</w:t>
            </w:r>
            <w:r>
              <w:rPr>
                <w:sz w:val="24"/>
                <w:szCs w:val="24"/>
              </w:rPr>
              <w:t>环境分区管控应用技术指南：环境影响评价（试行）》（陕环办发[2022]76号），建设项目环评文件与“三线一单”生态环境分区管控符合性分析采</w:t>
            </w:r>
            <w:r>
              <w:rPr>
                <w:rFonts w:asciiTheme="minorEastAsia" w:hAnsiTheme="minorEastAsia" w:eastAsiaTheme="minorEastAsia"/>
                <w:sz w:val="24"/>
                <w:szCs w:val="24"/>
              </w:rPr>
              <w:t>取“一图一表一说明”的表达</w:t>
            </w:r>
            <w:r>
              <w:rPr>
                <w:sz w:val="24"/>
                <w:szCs w:val="24"/>
              </w:rPr>
              <w:t>方式，对照分析结果，论证建设的符合性。</w:t>
            </w:r>
          </w:p>
          <w:p>
            <w:pPr>
              <w:pStyle w:val="36"/>
              <w:numPr>
                <w:ilvl w:val="0"/>
                <w:numId w:val="0"/>
              </w:numPr>
              <w:ind w:firstLine="480" w:firstLineChars="200"/>
              <w:rPr>
                <w:sz w:val="24"/>
                <w:szCs w:val="24"/>
              </w:rPr>
            </w:pPr>
            <w:r>
              <w:rPr>
                <w:sz w:val="24"/>
                <w:szCs w:val="24"/>
              </w:rPr>
              <w:t>（1）一图：根据本项目</w:t>
            </w:r>
            <w:r>
              <w:rPr>
                <w:rFonts w:asciiTheme="minorEastAsia" w:hAnsiTheme="minorEastAsia" w:eastAsiaTheme="minorEastAsia"/>
                <w:sz w:val="24"/>
                <w:szCs w:val="24"/>
              </w:rPr>
              <w:t>西安市“三线一单”生</w:t>
            </w:r>
            <w:r>
              <w:rPr>
                <w:sz w:val="24"/>
                <w:szCs w:val="24"/>
              </w:rPr>
              <w:t>态环境管控单元对照分析报告，详见附图1。</w:t>
            </w:r>
            <w:r>
              <w:rPr>
                <w:sz w:val="24"/>
              </w:rPr>
              <w:t>本项目所在区域为重点管控单元，不涉及生态保护红线。</w:t>
            </w:r>
          </w:p>
          <w:p>
            <w:pPr>
              <w:autoSpaceDE w:val="0"/>
              <w:autoSpaceDN w:val="0"/>
              <w:adjustRightInd w:val="0"/>
              <w:snapToGrid w:val="0"/>
              <w:spacing w:line="360" w:lineRule="auto"/>
              <w:ind w:firstLine="480" w:firstLineChars="200"/>
              <w:jc w:val="left"/>
              <w:rPr>
                <w:sz w:val="24"/>
              </w:rPr>
            </w:pPr>
            <w:r>
              <w:rPr>
                <w:sz w:val="24"/>
              </w:rPr>
              <w:t>（2）一表：根据陕</w:t>
            </w:r>
            <w:r>
              <w:rPr>
                <w:rFonts w:asciiTheme="minorEastAsia" w:hAnsiTheme="minorEastAsia" w:eastAsiaTheme="minorEastAsia"/>
                <w:sz w:val="24"/>
              </w:rPr>
              <w:t>西省“三线一单”数</w:t>
            </w:r>
            <w:r>
              <w:rPr>
                <w:sz w:val="24"/>
              </w:rPr>
              <w:t>据应用系统导出的西安市</w:t>
            </w:r>
            <w:r>
              <w:rPr>
                <w:rFonts w:asciiTheme="minorEastAsia" w:hAnsiTheme="minorEastAsia" w:eastAsiaTheme="minorEastAsia"/>
                <w:sz w:val="24"/>
              </w:rPr>
              <w:t>“三线一单”生</w:t>
            </w:r>
            <w:r>
              <w:rPr>
                <w:sz w:val="24"/>
              </w:rPr>
              <w:t>态环境管控单元对照分析报告，本项目建设范围涉及的生态环境管控单元准入清单具体见表1-1。</w:t>
            </w:r>
          </w:p>
          <w:p>
            <w:pPr>
              <w:autoSpaceDE w:val="0"/>
              <w:autoSpaceDN w:val="0"/>
              <w:adjustRightInd w:val="0"/>
              <w:snapToGrid w:val="0"/>
              <w:spacing w:line="360" w:lineRule="auto"/>
              <w:ind w:firstLine="480" w:firstLineChars="200"/>
              <w:jc w:val="left"/>
              <w:rPr>
                <w:sz w:val="24"/>
              </w:rPr>
            </w:pPr>
            <w:r>
              <w:rPr>
                <w:sz w:val="24"/>
              </w:rPr>
              <w:t>（3）一说明：对</w:t>
            </w:r>
            <w:r>
              <w:rPr>
                <w:rFonts w:asciiTheme="minorEastAsia" w:hAnsiTheme="minorEastAsia" w:eastAsiaTheme="minorEastAsia"/>
                <w:sz w:val="24"/>
              </w:rPr>
              <w:t>照“西安市生态环境分区管控准入清单”中</w:t>
            </w:r>
            <w:r>
              <w:rPr>
                <w:sz w:val="24"/>
              </w:rPr>
              <w:t>的重点管控单元要求，本项目满足各单元在空间布局约束、污染物排放管控、资源利用效率等管控要求，因此，本项目的建设符合西安市</w:t>
            </w:r>
            <w:r>
              <w:rPr>
                <w:rFonts w:asciiTheme="minorEastAsia" w:hAnsiTheme="minorEastAsia" w:eastAsiaTheme="minorEastAsia"/>
                <w:sz w:val="24"/>
              </w:rPr>
              <w:t>“三线一单”生态</w:t>
            </w:r>
            <w:r>
              <w:rPr>
                <w:sz w:val="24"/>
              </w:rPr>
              <w:t>环境分区管控要求。</w:t>
            </w:r>
          </w:p>
          <w:p>
            <w:pPr>
              <w:pStyle w:val="55"/>
              <w:spacing w:after="72" w:afterLines="30"/>
              <w:ind w:firstLine="482"/>
            </w:pPr>
            <w:r>
              <w:t>表1-</w:t>
            </w:r>
            <w:r>
              <w:rPr>
                <w:rFonts w:hint="eastAsia"/>
              </w:rPr>
              <w:t>1</w:t>
            </w:r>
            <w:r>
              <w:t xml:space="preserve">  本项目建设范围涉及的生态环境管控单元准入清单</w:t>
            </w:r>
          </w:p>
          <w:tbl>
            <w:tblPr>
              <w:tblStyle w:val="24"/>
              <w:tblW w:w="6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
              <w:gridCol w:w="236"/>
              <w:gridCol w:w="247"/>
              <w:gridCol w:w="272"/>
              <w:gridCol w:w="405"/>
              <w:gridCol w:w="545"/>
              <w:gridCol w:w="2742"/>
              <w:gridCol w:w="486"/>
              <w:gridCol w:w="1315"/>
              <w:gridCol w:w="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Align w:val="center"/>
                </w:tcPr>
                <w:p>
                  <w:pPr>
                    <w:pStyle w:val="56"/>
                    <w:spacing w:before="24" w:beforeLines="10" w:after="24" w:afterLines="10" w:line="240" w:lineRule="exact"/>
                    <w:ind w:left="-105" w:leftChars="-50" w:right="-105" w:rightChars="-50"/>
                    <w:rPr>
                      <w:sz w:val="18"/>
                      <w:szCs w:val="18"/>
                    </w:rPr>
                  </w:pPr>
                  <w:r>
                    <w:rPr>
                      <w:sz w:val="18"/>
                      <w:szCs w:val="18"/>
                    </w:rPr>
                    <w:t>序号</w:t>
                  </w:r>
                </w:p>
              </w:tc>
              <w:tc>
                <w:tcPr>
                  <w:tcW w:w="172" w:type="pct"/>
                  <w:vAlign w:val="center"/>
                </w:tcPr>
                <w:p>
                  <w:pPr>
                    <w:pStyle w:val="56"/>
                    <w:spacing w:before="24" w:beforeLines="10" w:after="24" w:afterLines="10" w:line="240" w:lineRule="exact"/>
                    <w:ind w:left="-105" w:leftChars="-50" w:right="-105" w:rightChars="-50"/>
                    <w:rPr>
                      <w:sz w:val="18"/>
                      <w:szCs w:val="18"/>
                    </w:rPr>
                  </w:pPr>
                  <w:r>
                    <w:rPr>
                      <w:sz w:val="18"/>
                      <w:szCs w:val="18"/>
                    </w:rPr>
                    <w:t>市</w:t>
                  </w:r>
                </w:p>
              </w:tc>
              <w:tc>
                <w:tcPr>
                  <w:tcW w:w="180" w:type="pct"/>
                  <w:vAlign w:val="center"/>
                </w:tcPr>
                <w:p>
                  <w:pPr>
                    <w:pStyle w:val="56"/>
                    <w:spacing w:before="24" w:beforeLines="10" w:after="24" w:afterLines="10" w:line="240" w:lineRule="exact"/>
                    <w:ind w:left="-105" w:leftChars="-50" w:right="-105" w:rightChars="-50"/>
                    <w:rPr>
                      <w:sz w:val="18"/>
                      <w:szCs w:val="18"/>
                    </w:rPr>
                  </w:pPr>
                  <w:r>
                    <w:rPr>
                      <w:sz w:val="18"/>
                      <w:szCs w:val="18"/>
                    </w:rPr>
                    <w:t>区县</w:t>
                  </w:r>
                </w:p>
              </w:tc>
              <w:tc>
                <w:tcPr>
                  <w:tcW w:w="198" w:type="pct"/>
                  <w:vAlign w:val="center"/>
                </w:tcPr>
                <w:p>
                  <w:pPr>
                    <w:pStyle w:val="56"/>
                    <w:spacing w:before="24" w:beforeLines="10" w:after="24" w:afterLines="10" w:line="240" w:lineRule="exact"/>
                    <w:ind w:left="-105" w:leftChars="-50" w:right="-105" w:rightChars="-50"/>
                    <w:rPr>
                      <w:sz w:val="18"/>
                      <w:szCs w:val="18"/>
                    </w:rPr>
                  </w:pPr>
                  <w:r>
                    <w:rPr>
                      <w:sz w:val="18"/>
                      <w:szCs w:val="18"/>
                    </w:rPr>
                    <w:t>环境管控单元名称</w:t>
                  </w:r>
                </w:p>
              </w:tc>
              <w:tc>
                <w:tcPr>
                  <w:tcW w:w="295" w:type="pct"/>
                  <w:vAlign w:val="center"/>
                </w:tcPr>
                <w:p>
                  <w:pPr>
                    <w:pStyle w:val="56"/>
                    <w:spacing w:before="24" w:beforeLines="10" w:after="24" w:afterLines="10" w:line="240" w:lineRule="exact"/>
                    <w:ind w:left="-105" w:leftChars="-50" w:right="-105" w:rightChars="-50"/>
                    <w:rPr>
                      <w:sz w:val="18"/>
                      <w:szCs w:val="18"/>
                    </w:rPr>
                  </w:pPr>
                  <w:r>
                    <w:rPr>
                      <w:sz w:val="18"/>
                      <w:szCs w:val="18"/>
                    </w:rPr>
                    <w:t>单元要素属性</w:t>
                  </w: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管控单元分类</w:t>
                  </w:r>
                </w:p>
              </w:tc>
              <w:tc>
                <w:tcPr>
                  <w:tcW w:w="1998" w:type="pct"/>
                  <w:vAlign w:val="center"/>
                </w:tcPr>
                <w:p>
                  <w:pPr>
                    <w:pStyle w:val="56"/>
                    <w:spacing w:before="24" w:beforeLines="10" w:after="24" w:afterLines="10" w:line="240" w:lineRule="exact"/>
                    <w:ind w:left="-105" w:leftChars="-50" w:right="-105" w:rightChars="-50"/>
                    <w:rPr>
                      <w:sz w:val="18"/>
                      <w:szCs w:val="18"/>
                    </w:rPr>
                  </w:pPr>
                  <w:r>
                    <w:rPr>
                      <w:sz w:val="18"/>
                      <w:szCs w:val="18"/>
                    </w:rPr>
                    <w:t>管控要求</w:t>
                  </w:r>
                </w:p>
              </w:tc>
              <w:tc>
                <w:tcPr>
                  <w:tcW w:w="354" w:type="pct"/>
                  <w:vAlign w:val="center"/>
                </w:tcPr>
                <w:p>
                  <w:pPr>
                    <w:pStyle w:val="56"/>
                    <w:wordWrap w:val="0"/>
                    <w:spacing w:before="24" w:beforeLines="10" w:after="24" w:afterLines="10" w:line="240" w:lineRule="exact"/>
                    <w:ind w:left="-105" w:leftChars="-50" w:right="-105" w:rightChars="-50"/>
                    <w:rPr>
                      <w:sz w:val="18"/>
                      <w:szCs w:val="18"/>
                    </w:rPr>
                  </w:pPr>
                  <w:r>
                    <w:rPr>
                      <w:sz w:val="18"/>
                      <w:szCs w:val="18"/>
                    </w:rPr>
                    <w:t>面积(平方米)</w:t>
                  </w:r>
                </w:p>
              </w:tc>
              <w:tc>
                <w:tcPr>
                  <w:tcW w:w="958" w:type="pct"/>
                  <w:vAlign w:val="center"/>
                </w:tcPr>
                <w:p>
                  <w:pPr>
                    <w:pStyle w:val="56"/>
                    <w:spacing w:before="24" w:beforeLines="10" w:after="24" w:afterLines="10" w:line="240" w:lineRule="exact"/>
                    <w:ind w:left="-105" w:leftChars="-50" w:right="-105" w:rightChars="-50"/>
                    <w:rPr>
                      <w:sz w:val="18"/>
                      <w:szCs w:val="18"/>
                    </w:rPr>
                  </w:pPr>
                  <w:r>
                    <w:rPr>
                      <w:sz w:val="18"/>
                      <w:szCs w:val="18"/>
                    </w:rPr>
                    <w:t>项目情况</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1</w:t>
                  </w:r>
                </w:p>
              </w:tc>
              <w:tc>
                <w:tcPr>
                  <w:tcW w:w="172"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西安市</w:t>
                  </w:r>
                </w:p>
              </w:tc>
              <w:tc>
                <w:tcPr>
                  <w:tcW w:w="180"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长安区</w:t>
                  </w:r>
                </w:p>
              </w:tc>
              <w:tc>
                <w:tcPr>
                  <w:tcW w:w="198"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长安区重点管控单元单元3</w:t>
                  </w:r>
                </w:p>
              </w:tc>
              <w:tc>
                <w:tcPr>
                  <w:tcW w:w="295" w:type="pct"/>
                  <w:vAlign w:val="center"/>
                </w:tcPr>
                <w:p>
                  <w:pPr>
                    <w:pStyle w:val="56"/>
                    <w:spacing w:before="24" w:beforeLines="10" w:after="24" w:afterLines="10" w:line="240" w:lineRule="exact"/>
                    <w:ind w:left="-105" w:leftChars="-50" w:right="-105" w:rightChars="-50"/>
                    <w:rPr>
                      <w:sz w:val="18"/>
                      <w:szCs w:val="18"/>
                    </w:rPr>
                  </w:pPr>
                  <w:r>
                    <w:rPr>
                      <w:sz w:val="18"/>
                      <w:szCs w:val="18"/>
                    </w:rPr>
                    <w:t>大气环境布局敏感重点管控区</w:t>
                  </w: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空间布局约束</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1.大气污染防治重点区域严禁新增钢铁、水泥熟料、平板玻璃、炼化产能。</w:t>
                  </w:r>
                </w:p>
                <w:p>
                  <w:pPr>
                    <w:pStyle w:val="56"/>
                    <w:spacing w:before="24" w:beforeLines="10" w:after="24" w:afterLines="10" w:line="240" w:lineRule="exact"/>
                    <w:ind w:left="-105" w:leftChars="-50" w:right="-105" w:rightChars="-50"/>
                    <w:jc w:val="both"/>
                    <w:rPr>
                      <w:sz w:val="18"/>
                      <w:szCs w:val="18"/>
                    </w:rPr>
                  </w:pPr>
                  <w:r>
                    <w:rPr>
                      <w:sz w:val="18"/>
                      <w:szCs w:val="18"/>
                    </w:rPr>
                    <w:t>2.推动重污染企业搬迁入园或依法关闭。</w:t>
                  </w:r>
                </w:p>
              </w:tc>
              <w:tc>
                <w:tcPr>
                  <w:tcW w:w="354" w:type="pct"/>
                  <w:vMerge w:val="restart"/>
                  <w:vAlign w:val="center"/>
                </w:tcPr>
                <w:p>
                  <w:pPr>
                    <w:pStyle w:val="56"/>
                    <w:wordWrap w:val="0"/>
                    <w:spacing w:before="24" w:beforeLines="10" w:after="24" w:afterLines="10" w:line="240" w:lineRule="exact"/>
                    <w:ind w:left="-105" w:leftChars="-50" w:right="-105" w:rightChars="-50"/>
                    <w:rPr>
                      <w:sz w:val="18"/>
                      <w:szCs w:val="18"/>
                    </w:rPr>
                  </w:pPr>
                  <w:r>
                    <w:rPr>
                      <w:sz w:val="18"/>
                      <w:szCs w:val="18"/>
                    </w:rPr>
                    <w:t>394</w:t>
                  </w:r>
                </w:p>
              </w:tc>
              <w:tc>
                <w:tcPr>
                  <w:tcW w:w="95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本项目为专业实验室研究项目，不属于禁止类项目。</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continue"/>
                  <w:vAlign w:val="center"/>
                </w:tcPr>
                <w:p>
                  <w:pPr>
                    <w:widowControl/>
                    <w:jc w:val="left"/>
                    <w:rPr>
                      <w:kern w:val="0"/>
                      <w:sz w:val="18"/>
                      <w:szCs w:val="18"/>
                    </w:rPr>
                  </w:pPr>
                </w:p>
              </w:tc>
              <w:tc>
                <w:tcPr>
                  <w:tcW w:w="172" w:type="pct"/>
                  <w:vMerge w:val="continue"/>
                  <w:vAlign w:val="center"/>
                </w:tcPr>
                <w:p>
                  <w:pPr>
                    <w:widowControl/>
                    <w:jc w:val="left"/>
                    <w:rPr>
                      <w:kern w:val="0"/>
                      <w:sz w:val="18"/>
                      <w:szCs w:val="18"/>
                    </w:rPr>
                  </w:pPr>
                </w:p>
              </w:tc>
              <w:tc>
                <w:tcPr>
                  <w:tcW w:w="180" w:type="pct"/>
                  <w:vMerge w:val="continue"/>
                  <w:vAlign w:val="center"/>
                </w:tcPr>
                <w:p>
                  <w:pPr>
                    <w:widowControl/>
                    <w:jc w:val="left"/>
                    <w:rPr>
                      <w:kern w:val="0"/>
                      <w:sz w:val="18"/>
                      <w:szCs w:val="18"/>
                    </w:rPr>
                  </w:pPr>
                </w:p>
              </w:tc>
              <w:tc>
                <w:tcPr>
                  <w:tcW w:w="198" w:type="pct"/>
                  <w:vMerge w:val="continue"/>
                  <w:vAlign w:val="center"/>
                </w:tcPr>
                <w:p>
                  <w:pPr>
                    <w:widowControl/>
                    <w:jc w:val="left"/>
                    <w:rPr>
                      <w:kern w:val="0"/>
                      <w:sz w:val="18"/>
                      <w:szCs w:val="18"/>
                    </w:rPr>
                  </w:pPr>
                </w:p>
              </w:tc>
              <w:tc>
                <w:tcPr>
                  <w:tcW w:w="295" w:type="pct"/>
                  <w:vAlign w:val="center"/>
                </w:tcPr>
                <w:p>
                  <w:pPr>
                    <w:pStyle w:val="56"/>
                    <w:spacing w:before="24" w:beforeLines="10" w:after="24" w:afterLines="10" w:line="240" w:lineRule="exact"/>
                    <w:ind w:left="-105" w:leftChars="-50" w:right="-105" w:rightChars="-50"/>
                    <w:rPr>
                      <w:sz w:val="18"/>
                      <w:szCs w:val="18"/>
                    </w:rPr>
                  </w:pP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污染物排放管控</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1.区域内保留企业采用先进生产工艺、严格落实污染治理设施，污染物执行超低排放或特别排放限值。</w:t>
                  </w:r>
                </w:p>
                <w:p>
                  <w:pPr>
                    <w:pStyle w:val="56"/>
                    <w:spacing w:before="24" w:beforeLines="10" w:after="24" w:afterLines="10" w:line="240" w:lineRule="exact"/>
                    <w:ind w:left="-105" w:leftChars="-50" w:right="-105" w:rightChars="-50"/>
                    <w:jc w:val="both"/>
                    <w:rPr>
                      <w:sz w:val="18"/>
                      <w:szCs w:val="18"/>
                    </w:rPr>
                  </w:pPr>
                  <w:r>
                    <w:rPr>
                      <w:sz w:val="18"/>
                      <w:szCs w:val="18"/>
                    </w:rPr>
                    <w:t>2.鼓励将老旧车辆和非道路移动机械替换为清洁能源车辆；推进新能源或清洁能源汽车使用。</w:t>
                  </w:r>
                </w:p>
                <w:p>
                  <w:pPr>
                    <w:pStyle w:val="56"/>
                    <w:spacing w:before="24" w:beforeLines="10" w:after="24" w:afterLines="10" w:line="240" w:lineRule="exact"/>
                    <w:ind w:left="-105" w:leftChars="-50" w:right="-105" w:rightChars="-50"/>
                    <w:jc w:val="both"/>
                    <w:rPr>
                      <w:sz w:val="18"/>
                      <w:szCs w:val="18"/>
                    </w:rPr>
                  </w:pPr>
                  <w:r>
                    <w:rPr>
                      <w:sz w:val="18"/>
                      <w:szCs w:val="18"/>
                    </w:rPr>
                    <w:t>3.进行散煤替代，加快铺设天然气管网和集中供暖管网</w:t>
                  </w:r>
                </w:p>
              </w:tc>
              <w:tc>
                <w:tcPr>
                  <w:tcW w:w="354" w:type="pct"/>
                  <w:vMerge w:val="continue"/>
                  <w:vAlign w:val="center"/>
                </w:tcPr>
                <w:p>
                  <w:pPr>
                    <w:pStyle w:val="56"/>
                    <w:wordWrap w:val="0"/>
                    <w:spacing w:before="24" w:beforeLines="10" w:after="24" w:afterLines="10" w:line="240" w:lineRule="exact"/>
                    <w:ind w:left="-105" w:leftChars="-50" w:right="-105" w:rightChars="-50"/>
                    <w:rPr>
                      <w:sz w:val="18"/>
                      <w:szCs w:val="18"/>
                    </w:rPr>
                  </w:pPr>
                </w:p>
              </w:tc>
              <w:tc>
                <w:tcPr>
                  <w:tcW w:w="95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本项目为专业实验室研究项目，不涉及煤炭，本项目实验仪器等均使用电能，属于清洁能源。本项目实验环节在密闭的实验室内，对实验中产生的废气</w:t>
                  </w:r>
                  <w:r>
                    <w:rPr>
                      <w:rFonts w:hint="eastAsia"/>
                      <w:sz w:val="18"/>
                      <w:szCs w:val="18"/>
                    </w:rPr>
                    <w:t>由</w:t>
                  </w:r>
                  <w:r>
                    <w:rPr>
                      <w:sz w:val="18"/>
                      <w:szCs w:val="18"/>
                    </w:rPr>
                    <w:t>通风橱收集后经活性炭吸附装置处理后达标排放。</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2</w:t>
                  </w:r>
                </w:p>
              </w:tc>
              <w:tc>
                <w:tcPr>
                  <w:tcW w:w="172"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西安市</w:t>
                  </w:r>
                </w:p>
              </w:tc>
              <w:tc>
                <w:tcPr>
                  <w:tcW w:w="180"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长安区</w:t>
                  </w:r>
                </w:p>
              </w:tc>
              <w:tc>
                <w:tcPr>
                  <w:tcW w:w="198"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长安区重点管控单元单元6</w:t>
                  </w:r>
                </w:p>
              </w:tc>
              <w:tc>
                <w:tcPr>
                  <w:tcW w:w="295" w:type="pct"/>
                  <w:vAlign w:val="center"/>
                </w:tcPr>
                <w:p>
                  <w:pPr>
                    <w:pStyle w:val="56"/>
                    <w:spacing w:before="24" w:beforeLines="10" w:after="24" w:afterLines="10" w:line="240" w:lineRule="exact"/>
                    <w:ind w:left="-105" w:leftChars="-50" w:right="-105" w:rightChars="-50"/>
                    <w:rPr>
                      <w:sz w:val="18"/>
                      <w:szCs w:val="18"/>
                    </w:rPr>
                  </w:pPr>
                  <w:r>
                    <w:rPr>
                      <w:sz w:val="18"/>
                      <w:szCs w:val="18"/>
                    </w:rPr>
                    <w:t>高污染燃料禁燃区</w:t>
                  </w: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空间布局约束</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根据《西安市大气污染防治条例》，逐步扩大高污染燃料禁燃区范围。高污染燃料禁燃区内，禁止销售、燃用高污染燃料；禁止新建、扩建燃用高污染燃料的设施。已建成的，应当在市人民政府规定的期限内停止使用或者改用天然气、页岩气、煤层气、液化石油气、干热岩、电、太阳能或者其他清洁能源。禁止在本市新建、改建、扩建燃用高污染燃料的建设项目。根据《关于加强高耗能、高排放建设项目生态环境源头防控的指导意见》，新建、改建、扩</w:t>
                  </w:r>
                  <w:r>
                    <w:rPr>
                      <w:rFonts w:asciiTheme="minorEastAsia" w:hAnsiTheme="minorEastAsia" w:eastAsiaTheme="minorEastAsia"/>
                      <w:sz w:val="18"/>
                      <w:szCs w:val="18"/>
                    </w:rPr>
                    <w:t>建“两高”项目须符合生态环境保护法律法</w:t>
                  </w:r>
                  <w:r>
                    <w:rPr>
                      <w:sz w:val="18"/>
                      <w:szCs w:val="18"/>
                    </w:rPr>
                    <w:t>规和相关法定规划，满足重点污染物排放总量控制、碳排放达峰目标、生态环境准入清单、相关规划环评和相应行业建设项目环境准入条件、环评文件审批原则要求。石化、现代煤化工项目应纳入国家产业规划。新建、扩建石化、化工、焦化、有色金属冶炼、平板玻璃项目应布设在依法合规设立并经规划环评的产业园区。禁止新增燃煤集中供热站。新增供暖全部使用天然气、电、可再生能源供暖(包括地热供暖、太阳能供暖、工业余热供暖等)，优先采取分布式清洁能源集中供暖。</w:t>
                  </w:r>
                </w:p>
              </w:tc>
              <w:tc>
                <w:tcPr>
                  <w:tcW w:w="354" w:type="pct"/>
                  <w:vMerge w:val="restart"/>
                  <w:vAlign w:val="center"/>
                </w:tcPr>
                <w:p>
                  <w:pPr>
                    <w:pStyle w:val="56"/>
                    <w:wordWrap w:val="0"/>
                    <w:spacing w:before="24" w:beforeLines="10" w:after="24" w:afterLines="10" w:line="240" w:lineRule="exact"/>
                    <w:ind w:left="-105" w:leftChars="-50" w:right="-105" w:rightChars="-50"/>
                    <w:rPr>
                      <w:sz w:val="18"/>
                      <w:szCs w:val="18"/>
                    </w:rPr>
                  </w:pPr>
                  <w:r>
                    <w:rPr>
                      <w:sz w:val="18"/>
                      <w:szCs w:val="18"/>
                    </w:rPr>
                    <w:t>394</w:t>
                  </w:r>
                </w:p>
              </w:tc>
              <w:tc>
                <w:tcPr>
                  <w:tcW w:w="95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本项目为专业实验室研究项目，不属于禁止类项目，不属于所列的高耗水、高污染项目，满足相关法律法规。</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continue"/>
                  <w:vAlign w:val="center"/>
                </w:tcPr>
                <w:p>
                  <w:pPr>
                    <w:widowControl/>
                    <w:jc w:val="left"/>
                    <w:rPr>
                      <w:kern w:val="0"/>
                      <w:sz w:val="18"/>
                      <w:szCs w:val="18"/>
                    </w:rPr>
                  </w:pPr>
                </w:p>
              </w:tc>
              <w:tc>
                <w:tcPr>
                  <w:tcW w:w="172" w:type="pct"/>
                  <w:vMerge w:val="continue"/>
                  <w:vAlign w:val="center"/>
                </w:tcPr>
                <w:p>
                  <w:pPr>
                    <w:widowControl/>
                    <w:jc w:val="left"/>
                    <w:rPr>
                      <w:kern w:val="0"/>
                      <w:sz w:val="18"/>
                      <w:szCs w:val="18"/>
                    </w:rPr>
                  </w:pPr>
                </w:p>
              </w:tc>
              <w:tc>
                <w:tcPr>
                  <w:tcW w:w="180" w:type="pct"/>
                  <w:vMerge w:val="continue"/>
                  <w:vAlign w:val="center"/>
                </w:tcPr>
                <w:p>
                  <w:pPr>
                    <w:widowControl/>
                    <w:jc w:val="left"/>
                    <w:rPr>
                      <w:kern w:val="0"/>
                      <w:sz w:val="18"/>
                      <w:szCs w:val="18"/>
                    </w:rPr>
                  </w:pPr>
                </w:p>
              </w:tc>
              <w:tc>
                <w:tcPr>
                  <w:tcW w:w="198" w:type="pct"/>
                  <w:vMerge w:val="continue"/>
                  <w:vAlign w:val="center"/>
                </w:tcPr>
                <w:p>
                  <w:pPr>
                    <w:widowControl/>
                    <w:jc w:val="left"/>
                    <w:rPr>
                      <w:kern w:val="0"/>
                      <w:sz w:val="18"/>
                      <w:szCs w:val="18"/>
                    </w:rPr>
                  </w:pPr>
                </w:p>
              </w:tc>
              <w:tc>
                <w:tcPr>
                  <w:tcW w:w="295" w:type="pct"/>
                  <w:vAlign w:val="center"/>
                </w:tcPr>
                <w:p>
                  <w:pPr>
                    <w:widowControl/>
                    <w:jc w:val="left"/>
                    <w:rPr>
                      <w:kern w:val="0"/>
                      <w:sz w:val="18"/>
                      <w:szCs w:val="18"/>
                    </w:rPr>
                  </w:pP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污染物排放管控</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rFonts w:asciiTheme="minorEastAsia" w:hAnsiTheme="minorEastAsia" w:eastAsiaTheme="minorEastAsia"/>
                      <w:sz w:val="18"/>
                      <w:szCs w:val="18"/>
                    </w:rPr>
                    <w:t>强化“散乱污”企业综合整治。全面开展“散乱污”企业及集群综合整治行动。根据产业政策、产业布局规划，以及土地、环保、质量、安全、能耗等要求，进一步完善我市“散乱污”企业及集群认定、整治标准。实行拉网式排查，建立管理台账，实施分类处置。列入关停取缔类的，基本做到“两断三清”（切断工业用水、用电，清除原料、产品、生产设备）;列入整合搬迁类的，要</w:t>
                  </w:r>
                  <w:r>
                    <w:rPr>
                      <w:sz w:val="18"/>
                      <w:szCs w:val="18"/>
                    </w:rPr>
                    <w:t>按照产业发展规模化、现代化的原则，搬迁至工业园区并实施升级改造，并依法依规办理相关审批手续；列入升级改造类的，树立行业标杆，实施清洁生产技术改造，全面提升污染治理水</w:t>
                  </w:r>
                  <w:r>
                    <w:rPr>
                      <w:rFonts w:asciiTheme="minorEastAsia" w:hAnsiTheme="minorEastAsia" w:eastAsiaTheme="minorEastAsia"/>
                      <w:sz w:val="18"/>
                      <w:szCs w:val="18"/>
                    </w:rPr>
                    <w:t>平。建立“散乱污”企业动态管理机制，坚决杜绝“散乱污”企业项目建设和已取缔的“散乱污”企业异地转移、死灰复燃。推进重点行业污染</w:t>
                  </w:r>
                  <w:r>
                    <w:rPr>
                      <w:sz w:val="18"/>
                      <w:szCs w:val="18"/>
                    </w:rPr>
                    <w:t>治理升级改造。二氧化硫、氮氧化物、颗粒物全面执行大气污染物特别排放限值。按省上要求，推动实施重点行业超低排放改造。强化工业企业无组织排放管控。开展建材、有色、火电、铸造等重点行业及燃煤锅炉无组织排放排查。开展锅炉综合整治。除热电联产锅炉外，全市所有燃煤锅炉、燃煤设施和工业煤气发生炉、热风炉、导热油炉已全部拆除或实行清洁能源改造，同步加大燃煤小锅炉及茶水炉、经营性炉灶、储粮烘干设备等燃煤设施淘汰力度。根据《关于统筹和加强应对气候变化与生态环境保护相关工作的指导意见》（环综合〔2021〕10号），把降碳作为源头治</w:t>
                  </w:r>
                  <w:r>
                    <w:rPr>
                      <w:rFonts w:asciiTheme="minorEastAsia" w:hAnsiTheme="minorEastAsia" w:eastAsiaTheme="minorEastAsia"/>
                      <w:sz w:val="18"/>
                      <w:szCs w:val="18"/>
                    </w:rPr>
                    <w:t>理的“牛鼻子”，</w:t>
                  </w:r>
                  <w:r>
                    <w:rPr>
                      <w:sz w:val="18"/>
                      <w:szCs w:val="18"/>
                    </w:rPr>
                    <w:t>协同控制温室气体与污染物排放，协同推进适应气候变化与生态保护修复等工作，支撑深入打好污染防治攻坚战和二氧化碳排放达峰行动。优先选择化石能源替代、原料工艺优化、产业结构升级等源头治理措施，严格控制高耗能、高排放项目建设。鼓励各地积极探索协同控制温室气体和污染物排放的创新举措和有效机制。</w:t>
                  </w:r>
                </w:p>
              </w:tc>
              <w:tc>
                <w:tcPr>
                  <w:tcW w:w="354" w:type="pct"/>
                  <w:vMerge w:val="continue"/>
                  <w:vAlign w:val="center"/>
                </w:tcPr>
                <w:p>
                  <w:pPr>
                    <w:pStyle w:val="56"/>
                    <w:wordWrap w:val="0"/>
                    <w:spacing w:before="24" w:beforeLines="10" w:after="24" w:afterLines="10" w:line="240" w:lineRule="exact"/>
                    <w:ind w:left="-105" w:leftChars="-50" w:right="-105" w:rightChars="-50"/>
                    <w:rPr>
                      <w:sz w:val="18"/>
                      <w:szCs w:val="18"/>
                    </w:rPr>
                  </w:pPr>
                </w:p>
              </w:tc>
              <w:tc>
                <w:tcPr>
                  <w:tcW w:w="958" w:type="pct"/>
                  <w:vAlign w:val="center"/>
                </w:tcPr>
                <w:p>
                  <w:pPr>
                    <w:pStyle w:val="56"/>
                    <w:wordWrap w:val="0"/>
                    <w:spacing w:before="24" w:beforeLines="10" w:after="24" w:afterLines="10" w:line="240" w:lineRule="exact"/>
                    <w:ind w:left="-105" w:leftChars="-50" w:right="-105" w:rightChars="-50"/>
                    <w:jc w:val="both"/>
                    <w:rPr>
                      <w:sz w:val="18"/>
                      <w:szCs w:val="18"/>
                    </w:rPr>
                  </w:pPr>
                  <w:r>
                    <w:rPr>
                      <w:sz w:val="18"/>
                      <w:szCs w:val="18"/>
                    </w:rPr>
                    <w:t>本项目为专业实验室研究项目，本项目实验仪器等均使用电能。</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continue"/>
                  <w:vAlign w:val="center"/>
                </w:tcPr>
                <w:p>
                  <w:pPr>
                    <w:widowControl/>
                    <w:jc w:val="left"/>
                    <w:rPr>
                      <w:kern w:val="0"/>
                      <w:sz w:val="18"/>
                      <w:szCs w:val="18"/>
                    </w:rPr>
                  </w:pPr>
                </w:p>
              </w:tc>
              <w:tc>
                <w:tcPr>
                  <w:tcW w:w="172" w:type="pct"/>
                  <w:vMerge w:val="continue"/>
                  <w:vAlign w:val="center"/>
                </w:tcPr>
                <w:p>
                  <w:pPr>
                    <w:widowControl/>
                    <w:jc w:val="left"/>
                    <w:rPr>
                      <w:kern w:val="0"/>
                      <w:sz w:val="18"/>
                      <w:szCs w:val="18"/>
                    </w:rPr>
                  </w:pPr>
                </w:p>
              </w:tc>
              <w:tc>
                <w:tcPr>
                  <w:tcW w:w="180" w:type="pct"/>
                  <w:vMerge w:val="continue"/>
                  <w:vAlign w:val="center"/>
                </w:tcPr>
                <w:p>
                  <w:pPr>
                    <w:widowControl/>
                    <w:jc w:val="left"/>
                    <w:rPr>
                      <w:kern w:val="0"/>
                      <w:sz w:val="18"/>
                      <w:szCs w:val="18"/>
                    </w:rPr>
                  </w:pPr>
                </w:p>
              </w:tc>
              <w:tc>
                <w:tcPr>
                  <w:tcW w:w="198" w:type="pct"/>
                  <w:vMerge w:val="continue"/>
                  <w:vAlign w:val="center"/>
                </w:tcPr>
                <w:p>
                  <w:pPr>
                    <w:widowControl/>
                    <w:jc w:val="left"/>
                    <w:rPr>
                      <w:kern w:val="0"/>
                      <w:sz w:val="18"/>
                      <w:szCs w:val="18"/>
                    </w:rPr>
                  </w:pPr>
                </w:p>
              </w:tc>
              <w:tc>
                <w:tcPr>
                  <w:tcW w:w="295" w:type="pct"/>
                  <w:vAlign w:val="center"/>
                </w:tcPr>
                <w:p>
                  <w:pPr>
                    <w:widowControl/>
                    <w:jc w:val="left"/>
                    <w:rPr>
                      <w:kern w:val="0"/>
                      <w:sz w:val="18"/>
                      <w:szCs w:val="18"/>
                    </w:rPr>
                  </w:pP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环境风险防控</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深入推进散煤治理。整村推进农村居民、农业生产、商业活动燃煤（薪）的清洁能源替代，采取以电代煤、以气代煤，以及地热能、风能和太阳能等清洁能源替代。扎实做好中央财政支持北方地区清洁取暖试点工作，综合考虑能源供应保障，坚持从实际出发，先立后破，宜电则电、宜气则气、宜热则热、宜煤则煤。组织开展燃煤散烧治理专项检查行动，确保生产、流通、使用的洁净煤符合标准。质监、工商部门要以洁净煤生产、销售环节为重点，每月组织开展洁净煤煤质专项检查，依法严厉打击销售劣质煤行为。加强秸秆等生物质禁烧。切实加强秸秆禁烧管控，强化地方各级政府秸秆禁烧主体责任。重点区域建立网格化监管制度，在夏收和秋收阶段开展秸秆禁烧专项巡查。严防因秸秆露天焚烧造成区域性重污染天气。</w:t>
                  </w:r>
                </w:p>
              </w:tc>
              <w:tc>
                <w:tcPr>
                  <w:tcW w:w="354" w:type="pct"/>
                  <w:vMerge w:val="continue"/>
                  <w:vAlign w:val="center"/>
                </w:tcPr>
                <w:p>
                  <w:pPr>
                    <w:pStyle w:val="56"/>
                    <w:wordWrap w:val="0"/>
                    <w:spacing w:before="24" w:beforeLines="10" w:after="24" w:afterLines="10" w:line="240" w:lineRule="exact"/>
                    <w:ind w:left="-105" w:leftChars="-50" w:right="-105" w:rightChars="-50"/>
                    <w:rPr>
                      <w:sz w:val="18"/>
                      <w:szCs w:val="18"/>
                    </w:rPr>
                  </w:pPr>
                </w:p>
              </w:tc>
              <w:tc>
                <w:tcPr>
                  <w:tcW w:w="958" w:type="pct"/>
                  <w:vAlign w:val="center"/>
                </w:tcPr>
                <w:p>
                  <w:pPr>
                    <w:pStyle w:val="56"/>
                    <w:spacing w:before="24" w:beforeLines="10" w:after="24" w:afterLines="10" w:line="240" w:lineRule="exact"/>
                    <w:ind w:left="-105" w:leftChars="-50" w:right="-105" w:rightChars="-50"/>
                    <w:rPr>
                      <w:sz w:val="18"/>
                      <w:szCs w:val="18"/>
                    </w:rPr>
                  </w:pPr>
                  <w:r>
                    <w:rPr>
                      <w:sz w:val="18"/>
                      <w:szCs w:val="18"/>
                    </w:rPr>
                    <w:t>本项目为专业实验室研究项目，不涉及煤炭，本项目实验仪器等均使用电能。</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continue"/>
                  <w:vAlign w:val="center"/>
                </w:tcPr>
                <w:p>
                  <w:pPr>
                    <w:widowControl/>
                    <w:jc w:val="left"/>
                    <w:rPr>
                      <w:kern w:val="0"/>
                      <w:sz w:val="18"/>
                      <w:szCs w:val="18"/>
                    </w:rPr>
                  </w:pPr>
                </w:p>
              </w:tc>
              <w:tc>
                <w:tcPr>
                  <w:tcW w:w="172" w:type="pct"/>
                  <w:vMerge w:val="continue"/>
                  <w:vAlign w:val="center"/>
                </w:tcPr>
                <w:p>
                  <w:pPr>
                    <w:widowControl/>
                    <w:jc w:val="left"/>
                    <w:rPr>
                      <w:kern w:val="0"/>
                      <w:sz w:val="18"/>
                      <w:szCs w:val="18"/>
                    </w:rPr>
                  </w:pPr>
                </w:p>
              </w:tc>
              <w:tc>
                <w:tcPr>
                  <w:tcW w:w="180" w:type="pct"/>
                  <w:vMerge w:val="continue"/>
                  <w:vAlign w:val="center"/>
                </w:tcPr>
                <w:p>
                  <w:pPr>
                    <w:widowControl/>
                    <w:jc w:val="left"/>
                    <w:rPr>
                      <w:kern w:val="0"/>
                      <w:sz w:val="18"/>
                      <w:szCs w:val="18"/>
                    </w:rPr>
                  </w:pPr>
                </w:p>
              </w:tc>
              <w:tc>
                <w:tcPr>
                  <w:tcW w:w="198" w:type="pct"/>
                  <w:vMerge w:val="continue"/>
                  <w:vAlign w:val="center"/>
                </w:tcPr>
                <w:p>
                  <w:pPr>
                    <w:widowControl/>
                    <w:jc w:val="left"/>
                    <w:rPr>
                      <w:kern w:val="0"/>
                      <w:sz w:val="18"/>
                      <w:szCs w:val="18"/>
                    </w:rPr>
                  </w:pPr>
                </w:p>
              </w:tc>
              <w:tc>
                <w:tcPr>
                  <w:tcW w:w="295" w:type="pct"/>
                  <w:vAlign w:val="center"/>
                </w:tcPr>
                <w:p>
                  <w:pPr>
                    <w:widowControl/>
                    <w:jc w:val="left"/>
                    <w:rPr>
                      <w:kern w:val="0"/>
                      <w:sz w:val="18"/>
                      <w:szCs w:val="18"/>
                    </w:rPr>
                  </w:pP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资源开发效率要求</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实施煤炭消费总量控制。煤炭消费总量控制以散煤削减为主，规上工业以燃料煤削减为主，完成省上下达的年度煤炭削减任务。落实《关中地区重点企业煤炭消费预算管理暂行办法》《关中地区热电联产(自备电厂)</w:t>
                  </w:r>
                  <w:r>
                    <w:rPr>
                      <w:rFonts w:asciiTheme="minorEastAsia" w:hAnsiTheme="minorEastAsia" w:eastAsiaTheme="minorEastAsia"/>
                      <w:sz w:val="18"/>
                      <w:szCs w:val="18"/>
                    </w:rPr>
                    <w:t>机组“以热定电”暂行办法》，加强节煤改造。按照煤炭集中使用、清洁利用的原则，重点削</w:t>
                  </w:r>
                  <w:r>
                    <w:rPr>
                      <w:sz w:val="18"/>
                      <w:szCs w:val="18"/>
                    </w:rPr>
                    <w:t>减非电力用煤，提高电力用煤比例。继续推进电能替代燃煤和燃油，替代规模达到省上要求。煤炭消费实现负增长。全面加强秸秆综合利用。推广固化成型、生物气化、热解气化、炭化等能源化利用技术，培育龙头企业，示范带动秸秆原料利用专业化、规模化、产业化发展。加快发展清洁能源和新能源。有序发展水电，优化风能、太阳能开发布局，因地制宜发展地热能等。加大可再生能源消纳力度，基本解决弃水、弃风、弃光问题。</w:t>
                  </w:r>
                </w:p>
              </w:tc>
              <w:tc>
                <w:tcPr>
                  <w:tcW w:w="354" w:type="pct"/>
                  <w:vMerge w:val="continue"/>
                  <w:vAlign w:val="center"/>
                </w:tcPr>
                <w:p>
                  <w:pPr>
                    <w:pStyle w:val="56"/>
                    <w:wordWrap w:val="0"/>
                    <w:spacing w:before="24" w:beforeLines="10" w:after="24" w:afterLines="10" w:line="240" w:lineRule="exact"/>
                    <w:ind w:left="-105" w:leftChars="-50" w:right="-105" w:rightChars="-50"/>
                    <w:rPr>
                      <w:sz w:val="18"/>
                      <w:szCs w:val="18"/>
                    </w:rPr>
                  </w:pPr>
                </w:p>
              </w:tc>
              <w:tc>
                <w:tcPr>
                  <w:tcW w:w="95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本项目为专业实验室研究项目，不属于禁止类项目，不属于所列的高耗水、高污染项目，满足相关法律法规。</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3</w:t>
                  </w:r>
                </w:p>
              </w:tc>
              <w:tc>
                <w:tcPr>
                  <w:tcW w:w="172"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西安市</w:t>
                  </w:r>
                </w:p>
              </w:tc>
              <w:tc>
                <w:tcPr>
                  <w:tcW w:w="180"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长安区</w:t>
                  </w:r>
                </w:p>
              </w:tc>
              <w:tc>
                <w:tcPr>
                  <w:tcW w:w="198"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长安区重点管控单元单元3</w:t>
                  </w:r>
                </w:p>
              </w:tc>
              <w:tc>
                <w:tcPr>
                  <w:tcW w:w="295" w:type="pct"/>
                  <w:vAlign w:val="center"/>
                </w:tcPr>
                <w:p>
                  <w:pPr>
                    <w:pStyle w:val="56"/>
                    <w:spacing w:before="24" w:beforeLines="10" w:after="24" w:afterLines="10" w:line="240" w:lineRule="exact"/>
                    <w:ind w:left="-105" w:leftChars="-50" w:right="-105" w:rightChars="-50"/>
                    <w:rPr>
                      <w:sz w:val="18"/>
                      <w:szCs w:val="18"/>
                    </w:rPr>
                  </w:pPr>
                  <w:r>
                    <w:rPr>
                      <w:sz w:val="18"/>
                      <w:szCs w:val="18"/>
                    </w:rPr>
                    <w:t>水环境城镇生活污染重点管控区</w:t>
                  </w: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空间布局约束</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水环境城镇生活重点管控区：</w:t>
                  </w:r>
                </w:p>
                <w:p>
                  <w:pPr>
                    <w:pStyle w:val="56"/>
                    <w:spacing w:before="24" w:beforeLines="10" w:after="24" w:afterLines="10" w:line="240" w:lineRule="exact"/>
                    <w:ind w:left="-105" w:leftChars="-50" w:right="-105" w:rightChars="-50"/>
                    <w:jc w:val="both"/>
                    <w:rPr>
                      <w:sz w:val="18"/>
                      <w:szCs w:val="18"/>
                    </w:rPr>
                  </w:pPr>
                  <w:r>
                    <w:rPr>
                      <w:sz w:val="18"/>
                      <w:szCs w:val="18"/>
                    </w:rPr>
                    <w:t>1.加快建设城中村、老旧城区、建制镇、城乡结合部等生活污水收集管网，填补污水收集管网空白区。新建居住社区应同步规划、建设污水收集管网，推动支线管网和出户管的连接建设</w:t>
                  </w:r>
                </w:p>
              </w:tc>
              <w:tc>
                <w:tcPr>
                  <w:tcW w:w="354" w:type="pct"/>
                  <w:vMerge w:val="restart"/>
                  <w:vAlign w:val="center"/>
                </w:tcPr>
                <w:p>
                  <w:pPr>
                    <w:pStyle w:val="56"/>
                    <w:wordWrap w:val="0"/>
                    <w:spacing w:before="24" w:beforeLines="10" w:after="24" w:afterLines="10" w:line="240" w:lineRule="exact"/>
                    <w:ind w:left="-105" w:leftChars="-50" w:right="-105" w:rightChars="-50"/>
                    <w:rPr>
                      <w:sz w:val="18"/>
                      <w:szCs w:val="18"/>
                    </w:rPr>
                  </w:pPr>
                  <w:r>
                    <w:rPr>
                      <w:sz w:val="18"/>
                      <w:szCs w:val="18"/>
                    </w:rPr>
                    <w:t>394</w:t>
                  </w:r>
                </w:p>
              </w:tc>
              <w:tc>
                <w:tcPr>
                  <w:tcW w:w="95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本项目不属于所列的高耗水、高污染项目，项目产生的污水依托园区现有化粪池处理后，经市政污水管网排入西安市第九污水处理厂。</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continue"/>
                  <w:vAlign w:val="center"/>
                </w:tcPr>
                <w:p>
                  <w:pPr>
                    <w:widowControl/>
                    <w:jc w:val="left"/>
                    <w:rPr>
                      <w:kern w:val="0"/>
                      <w:sz w:val="18"/>
                      <w:szCs w:val="18"/>
                    </w:rPr>
                  </w:pPr>
                </w:p>
              </w:tc>
              <w:tc>
                <w:tcPr>
                  <w:tcW w:w="172" w:type="pct"/>
                  <w:vMerge w:val="continue"/>
                  <w:vAlign w:val="center"/>
                </w:tcPr>
                <w:p>
                  <w:pPr>
                    <w:widowControl/>
                    <w:jc w:val="left"/>
                    <w:rPr>
                      <w:kern w:val="0"/>
                      <w:sz w:val="18"/>
                      <w:szCs w:val="18"/>
                    </w:rPr>
                  </w:pPr>
                </w:p>
              </w:tc>
              <w:tc>
                <w:tcPr>
                  <w:tcW w:w="180" w:type="pct"/>
                  <w:vMerge w:val="continue"/>
                  <w:vAlign w:val="center"/>
                </w:tcPr>
                <w:p>
                  <w:pPr>
                    <w:widowControl/>
                    <w:jc w:val="left"/>
                    <w:rPr>
                      <w:kern w:val="0"/>
                      <w:sz w:val="18"/>
                      <w:szCs w:val="18"/>
                    </w:rPr>
                  </w:pPr>
                </w:p>
              </w:tc>
              <w:tc>
                <w:tcPr>
                  <w:tcW w:w="198" w:type="pct"/>
                  <w:vMerge w:val="continue"/>
                  <w:vAlign w:val="center"/>
                </w:tcPr>
                <w:p>
                  <w:pPr>
                    <w:widowControl/>
                    <w:jc w:val="left"/>
                    <w:rPr>
                      <w:kern w:val="0"/>
                      <w:sz w:val="18"/>
                      <w:szCs w:val="18"/>
                    </w:rPr>
                  </w:pPr>
                </w:p>
              </w:tc>
              <w:tc>
                <w:tcPr>
                  <w:tcW w:w="295" w:type="pct"/>
                  <w:vAlign w:val="center"/>
                </w:tcPr>
                <w:p>
                  <w:pPr>
                    <w:widowControl/>
                    <w:jc w:val="left"/>
                    <w:rPr>
                      <w:kern w:val="0"/>
                      <w:sz w:val="18"/>
                      <w:szCs w:val="18"/>
                    </w:rPr>
                  </w:pP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污染物排放管控</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水环境城镇生活重点管控区：</w:t>
                  </w:r>
                </w:p>
                <w:p>
                  <w:pPr>
                    <w:pStyle w:val="56"/>
                    <w:spacing w:before="24" w:beforeLines="10" w:after="24" w:afterLines="10" w:line="240" w:lineRule="exact"/>
                    <w:ind w:left="-105" w:leftChars="-50" w:right="-105" w:rightChars="-50"/>
                    <w:jc w:val="both"/>
                    <w:rPr>
                      <w:sz w:val="18"/>
                      <w:szCs w:val="18"/>
                    </w:rPr>
                  </w:pPr>
                  <w:r>
                    <w:rPr>
                      <w:sz w:val="18"/>
                      <w:szCs w:val="18"/>
                    </w:rPr>
                    <w:t>1.城镇新区管网建设及老旧城区管网升级改造中实行雨污分流，推进初期雨水收集、处理和资源化利用。</w:t>
                  </w:r>
                </w:p>
                <w:p>
                  <w:pPr>
                    <w:pStyle w:val="56"/>
                    <w:spacing w:before="24" w:beforeLines="10" w:after="24" w:afterLines="10" w:line="240" w:lineRule="exact"/>
                    <w:ind w:left="-105" w:leftChars="-50" w:right="-105" w:rightChars="-50"/>
                    <w:jc w:val="both"/>
                    <w:rPr>
                      <w:sz w:val="18"/>
                      <w:szCs w:val="18"/>
                    </w:rPr>
                  </w:pPr>
                  <w:r>
                    <w:rPr>
                      <w:sz w:val="18"/>
                      <w:szCs w:val="18"/>
                    </w:rPr>
                    <w:t>2.加强排污口长效监管，推进城镇污水处理厂提标改造工程。</w:t>
                  </w:r>
                </w:p>
              </w:tc>
              <w:tc>
                <w:tcPr>
                  <w:tcW w:w="354" w:type="pct"/>
                  <w:vMerge w:val="continue"/>
                  <w:vAlign w:val="center"/>
                </w:tcPr>
                <w:p>
                  <w:pPr>
                    <w:pStyle w:val="56"/>
                    <w:wordWrap w:val="0"/>
                    <w:spacing w:before="24" w:beforeLines="10" w:after="24" w:afterLines="10" w:line="240" w:lineRule="exact"/>
                    <w:ind w:left="-105" w:leftChars="-50" w:right="-105" w:rightChars="-50"/>
                    <w:rPr>
                      <w:sz w:val="18"/>
                      <w:szCs w:val="18"/>
                    </w:rPr>
                  </w:pPr>
                </w:p>
              </w:tc>
              <w:tc>
                <w:tcPr>
                  <w:tcW w:w="958" w:type="pct"/>
                  <w:vAlign w:val="center"/>
                </w:tcPr>
                <w:p>
                  <w:pPr>
                    <w:pStyle w:val="56"/>
                    <w:wordWrap w:val="0"/>
                    <w:spacing w:before="24" w:beforeLines="10" w:after="24" w:afterLines="10" w:line="240" w:lineRule="exact"/>
                    <w:ind w:left="-105" w:leftChars="-50" w:right="-105" w:rightChars="-50"/>
                    <w:jc w:val="both"/>
                    <w:rPr>
                      <w:sz w:val="18"/>
                      <w:szCs w:val="18"/>
                    </w:rPr>
                  </w:pPr>
                  <w:r>
                    <w:rPr>
                      <w:sz w:val="18"/>
                      <w:szCs w:val="18"/>
                    </w:rPr>
                    <w:t>本项目不属于所列的高耗水、高污染项目，项目产生的污水依托园区现有化粪池处理后，经市政污水管网排入西安市第九污水处理厂。</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restart"/>
                  <w:vAlign w:val="center"/>
                </w:tcPr>
                <w:p>
                  <w:pPr>
                    <w:pStyle w:val="56"/>
                    <w:spacing w:before="24" w:beforeLines="10" w:after="24" w:afterLines="10" w:line="240" w:lineRule="exact"/>
                    <w:ind w:left="-105" w:leftChars="-50" w:right="-105" w:rightChars="-50"/>
                    <w:rPr>
                      <w:sz w:val="18"/>
                      <w:szCs w:val="18"/>
                    </w:rPr>
                  </w:pPr>
                  <w:r>
                    <w:rPr>
                      <w:rFonts w:hint="eastAsia"/>
                      <w:sz w:val="18"/>
                      <w:szCs w:val="18"/>
                    </w:rPr>
                    <w:t>4</w:t>
                  </w:r>
                </w:p>
              </w:tc>
              <w:tc>
                <w:tcPr>
                  <w:tcW w:w="172"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西安市</w:t>
                  </w:r>
                </w:p>
              </w:tc>
              <w:tc>
                <w:tcPr>
                  <w:tcW w:w="180"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长安区</w:t>
                  </w:r>
                </w:p>
              </w:tc>
              <w:tc>
                <w:tcPr>
                  <w:tcW w:w="198" w:type="pct"/>
                  <w:vMerge w:val="restart"/>
                  <w:vAlign w:val="center"/>
                </w:tcPr>
                <w:p>
                  <w:pPr>
                    <w:pStyle w:val="56"/>
                    <w:spacing w:before="24" w:beforeLines="10" w:after="24" w:afterLines="10" w:line="240" w:lineRule="exact"/>
                    <w:ind w:left="-105" w:leftChars="-50" w:right="-105" w:rightChars="-50"/>
                    <w:rPr>
                      <w:sz w:val="18"/>
                      <w:szCs w:val="18"/>
                    </w:rPr>
                  </w:pPr>
                  <w:r>
                    <w:rPr>
                      <w:sz w:val="18"/>
                      <w:szCs w:val="18"/>
                    </w:rPr>
                    <w:t>长安区重点管控单元单元3</w:t>
                  </w:r>
                </w:p>
              </w:tc>
              <w:tc>
                <w:tcPr>
                  <w:tcW w:w="295" w:type="pct"/>
                  <w:vAlign w:val="center"/>
                </w:tcPr>
                <w:p>
                  <w:pPr>
                    <w:pStyle w:val="56"/>
                    <w:spacing w:before="24" w:beforeLines="10" w:after="24" w:afterLines="10" w:line="240" w:lineRule="exact"/>
                    <w:ind w:left="-105" w:leftChars="-50" w:right="-105" w:rightChars="-50"/>
                    <w:rPr>
                      <w:sz w:val="18"/>
                      <w:szCs w:val="18"/>
                    </w:rPr>
                  </w:pPr>
                  <w:r>
                    <w:rPr>
                      <w:sz w:val="18"/>
                      <w:szCs w:val="18"/>
                    </w:rPr>
                    <w:t>大气环境受体敏感重点管控区</w:t>
                  </w: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空间布局约束</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1.大气污染防治重点区域严禁新增钢铁、水泥熟料、平板玻璃、炼化产能。</w:t>
                  </w:r>
                </w:p>
                <w:p>
                  <w:pPr>
                    <w:pStyle w:val="56"/>
                    <w:spacing w:before="24" w:beforeLines="10" w:after="24" w:afterLines="10" w:line="240" w:lineRule="exact"/>
                    <w:ind w:left="-105" w:leftChars="-50" w:right="-105" w:rightChars="-50"/>
                    <w:jc w:val="both"/>
                    <w:rPr>
                      <w:sz w:val="18"/>
                      <w:szCs w:val="18"/>
                    </w:rPr>
                  </w:pPr>
                  <w:r>
                    <w:rPr>
                      <w:sz w:val="18"/>
                      <w:szCs w:val="18"/>
                    </w:rPr>
                    <w:t>2.推动重污染企业搬迁入园或依法关闭。</w:t>
                  </w:r>
                </w:p>
                <w:p>
                  <w:pPr>
                    <w:pStyle w:val="56"/>
                    <w:spacing w:before="24" w:beforeLines="10" w:after="24" w:afterLines="10" w:line="240" w:lineRule="exact"/>
                    <w:ind w:left="-105" w:leftChars="-50" w:right="-105" w:rightChars="-50"/>
                    <w:jc w:val="both"/>
                    <w:rPr>
                      <w:sz w:val="18"/>
                      <w:szCs w:val="18"/>
                    </w:rPr>
                  </w:pPr>
                  <w:r>
                    <w:rPr>
                      <w:sz w:val="18"/>
                      <w:szCs w:val="18"/>
                    </w:rPr>
                    <w:t>3.禁止新建非清洁能源供热企业，现有供热面积逐步提高清洁能源供热和远距离输送供热比重</w:t>
                  </w:r>
                </w:p>
              </w:tc>
              <w:tc>
                <w:tcPr>
                  <w:tcW w:w="354" w:type="pct"/>
                  <w:vMerge w:val="restart"/>
                  <w:vAlign w:val="center"/>
                </w:tcPr>
                <w:p>
                  <w:pPr>
                    <w:pStyle w:val="56"/>
                    <w:wordWrap w:val="0"/>
                    <w:spacing w:before="24" w:beforeLines="10" w:after="24" w:afterLines="10" w:line="240" w:lineRule="exact"/>
                    <w:ind w:left="-105" w:leftChars="-50" w:right="-105" w:rightChars="-50"/>
                    <w:rPr>
                      <w:sz w:val="18"/>
                      <w:szCs w:val="18"/>
                    </w:rPr>
                  </w:pPr>
                  <w:r>
                    <w:rPr>
                      <w:sz w:val="18"/>
                      <w:szCs w:val="18"/>
                    </w:rPr>
                    <w:t>394</w:t>
                  </w:r>
                </w:p>
              </w:tc>
              <w:tc>
                <w:tcPr>
                  <w:tcW w:w="958" w:type="pct"/>
                  <w:vAlign w:val="center"/>
                </w:tcPr>
                <w:p>
                  <w:pPr>
                    <w:pStyle w:val="56"/>
                    <w:spacing w:before="24" w:beforeLines="10" w:after="24" w:afterLines="10" w:line="240" w:lineRule="exact"/>
                    <w:ind w:left="-105" w:leftChars="-50" w:right="-105" w:rightChars="-50"/>
                    <w:rPr>
                      <w:sz w:val="18"/>
                      <w:szCs w:val="18"/>
                    </w:rPr>
                  </w:pPr>
                  <w:r>
                    <w:rPr>
                      <w:sz w:val="18"/>
                      <w:szCs w:val="18"/>
                    </w:rPr>
                    <w:t>本项目为专业实验室研究项目，不属于禁止类项目，不属于所列的高耗水、高污染项目，满足相关法律法规。</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 w:type="pct"/>
                  <w:vMerge w:val="continue"/>
                  <w:vAlign w:val="center"/>
                </w:tcPr>
                <w:p>
                  <w:pPr>
                    <w:widowControl/>
                    <w:jc w:val="left"/>
                    <w:rPr>
                      <w:kern w:val="0"/>
                      <w:sz w:val="18"/>
                      <w:szCs w:val="18"/>
                    </w:rPr>
                  </w:pPr>
                </w:p>
              </w:tc>
              <w:tc>
                <w:tcPr>
                  <w:tcW w:w="172" w:type="pct"/>
                  <w:vMerge w:val="continue"/>
                  <w:vAlign w:val="center"/>
                </w:tcPr>
                <w:p>
                  <w:pPr>
                    <w:widowControl/>
                    <w:jc w:val="left"/>
                    <w:rPr>
                      <w:kern w:val="0"/>
                      <w:sz w:val="18"/>
                      <w:szCs w:val="18"/>
                    </w:rPr>
                  </w:pPr>
                </w:p>
              </w:tc>
              <w:tc>
                <w:tcPr>
                  <w:tcW w:w="180" w:type="pct"/>
                  <w:vMerge w:val="continue"/>
                  <w:vAlign w:val="center"/>
                </w:tcPr>
                <w:p>
                  <w:pPr>
                    <w:widowControl/>
                    <w:jc w:val="left"/>
                    <w:rPr>
                      <w:kern w:val="0"/>
                      <w:sz w:val="18"/>
                      <w:szCs w:val="18"/>
                    </w:rPr>
                  </w:pPr>
                </w:p>
              </w:tc>
              <w:tc>
                <w:tcPr>
                  <w:tcW w:w="198" w:type="pct"/>
                  <w:vMerge w:val="continue"/>
                  <w:vAlign w:val="center"/>
                </w:tcPr>
                <w:p>
                  <w:pPr>
                    <w:widowControl/>
                    <w:jc w:val="left"/>
                    <w:rPr>
                      <w:kern w:val="0"/>
                      <w:sz w:val="18"/>
                      <w:szCs w:val="18"/>
                    </w:rPr>
                  </w:pPr>
                </w:p>
              </w:tc>
              <w:tc>
                <w:tcPr>
                  <w:tcW w:w="295" w:type="pct"/>
                  <w:vAlign w:val="center"/>
                </w:tcPr>
                <w:p>
                  <w:pPr>
                    <w:pStyle w:val="56"/>
                    <w:spacing w:before="24" w:beforeLines="10" w:after="24" w:afterLines="10" w:line="240" w:lineRule="exact"/>
                    <w:ind w:left="-105" w:leftChars="-50" w:right="-105" w:rightChars="-50"/>
                    <w:rPr>
                      <w:sz w:val="18"/>
                      <w:szCs w:val="18"/>
                    </w:rPr>
                  </w:pPr>
                </w:p>
              </w:tc>
              <w:tc>
                <w:tcPr>
                  <w:tcW w:w="397" w:type="pct"/>
                  <w:vAlign w:val="center"/>
                </w:tcPr>
                <w:p>
                  <w:pPr>
                    <w:pStyle w:val="56"/>
                    <w:spacing w:before="24" w:beforeLines="10" w:after="24" w:afterLines="10" w:line="240" w:lineRule="exact"/>
                    <w:ind w:left="-105" w:leftChars="-50" w:right="-105" w:rightChars="-50"/>
                    <w:rPr>
                      <w:sz w:val="18"/>
                      <w:szCs w:val="18"/>
                    </w:rPr>
                  </w:pPr>
                  <w:r>
                    <w:rPr>
                      <w:sz w:val="18"/>
                      <w:szCs w:val="18"/>
                    </w:rPr>
                    <w:t>污染物排放管控</w:t>
                  </w:r>
                </w:p>
              </w:tc>
              <w:tc>
                <w:tcPr>
                  <w:tcW w:w="1998" w:type="pct"/>
                  <w:vAlign w:val="center"/>
                </w:tcPr>
                <w:p>
                  <w:pPr>
                    <w:pStyle w:val="56"/>
                    <w:spacing w:before="24" w:beforeLines="10" w:after="24" w:afterLines="10" w:line="240" w:lineRule="exact"/>
                    <w:ind w:left="-105" w:leftChars="-50" w:right="-105" w:rightChars="-50"/>
                    <w:jc w:val="both"/>
                    <w:rPr>
                      <w:sz w:val="18"/>
                      <w:szCs w:val="18"/>
                    </w:rPr>
                  </w:pPr>
                  <w:r>
                    <w:rPr>
                      <w:sz w:val="18"/>
                      <w:szCs w:val="18"/>
                    </w:rPr>
                    <w:t>1.区域内保留企业采用先进生产工艺、严格落实污染治理设施，污染物执行超低排放或特别排放限值。</w:t>
                  </w:r>
                </w:p>
                <w:p>
                  <w:pPr>
                    <w:pStyle w:val="56"/>
                    <w:spacing w:before="24" w:beforeLines="10" w:after="24" w:afterLines="10" w:line="240" w:lineRule="exact"/>
                    <w:ind w:left="-105" w:leftChars="-50" w:right="-105" w:rightChars="-50"/>
                    <w:jc w:val="both"/>
                    <w:rPr>
                      <w:sz w:val="18"/>
                      <w:szCs w:val="18"/>
                    </w:rPr>
                  </w:pPr>
                  <w:r>
                    <w:rPr>
                      <w:sz w:val="18"/>
                      <w:szCs w:val="18"/>
                    </w:rPr>
                    <w:t>2.鼓励将老旧车辆和非道路移动机械替换为清洁能源车辆；推进新能源或清洁能源汽车使用。</w:t>
                  </w:r>
                </w:p>
                <w:p>
                  <w:pPr>
                    <w:pStyle w:val="56"/>
                    <w:spacing w:before="24" w:beforeLines="10" w:after="24" w:afterLines="10" w:line="240" w:lineRule="exact"/>
                    <w:ind w:left="-105" w:leftChars="-50" w:right="-105" w:rightChars="-50"/>
                    <w:jc w:val="both"/>
                    <w:rPr>
                      <w:sz w:val="18"/>
                      <w:szCs w:val="18"/>
                    </w:rPr>
                  </w:pPr>
                  <w:r>
                    <w:rPr>
                      <w:sz w:val="18"/>
                      <w:szCs w:val="18"/>
                    </w:rPr>
                    <w:t>3.加大餐饮油烟治理力度，排放油烟的饮食业单位全部安装油烟净化装置并实现达标排放。</w:t>
                  </w:r>
                </w:p>
                <w:p>
                  <w:pPr>
                    <w:pStyle w:val="56"/>
                    <w:spacing w:before="24" w:beforeLines="10" w:after="24" w:afterLines="10" w:line="240" w:lineRule="exact"/>
                    <w:ind w:left="-105" w:leftChars="-50" w:right="-105" w:rightChars="-50"/>
                    <w:jc w:val="both"/>
                    <w:rPr>
                      <w:sz w:val="18"/>
                      <w:szCs w:val="18"/>
                    </w:rPr>
                  </w:pPr>
                  <w:r>
                    <w:rPr>
                      <w:sz w:val="18"/>
                      <w:szCs w:val="18"/>
                    </w:rPr>
                    <w:t>4.西咸新区积极推进地热供暖技术。</w:t>
                  </w:r>
                </w:p>
              </w:tc>
              <w:tc>
                <w:tcPr>
                  <w:tcW w:w="354" w:type="pct"/>
                  <w:vMerge w:val="continue"/>
                  <w:vAlign w:val="center"/>
                </w:tcPr>
                <w:p>
                  <w:pPr>
                    <w:pStyle w:val="56"/>
                    <w:wordWrap w:val="0"/>
                    <w:spacing w:before="24" w:beforeLines="10" w:after="24" w:afterLines="10" w:line="240" w:lineRule="exact"/>
                    <w:ind w:left="-105" w:leftChars="-50" w:right="-105" w:rightChars="-50"/>
                    <w:rPr>
                      <w:sz w:val="18"/>
                      <w:szCs w:val="18"/>
                    </w:rPr>
                  </w:pPr>
                </w:p>
              </w:tc>
              <w:tc>
                <w:tcPr>
                  <w:tcW w:w="958" w:type="pct"/>
                  <w:vAlign w:val="center"/>
                </w:tcPr>
                <w:p>
                  <w:pPr>
                    <w:pStyle w:val="56"/>
                    <w:wordWrap w:val="0"/>
                    <w:spacing w:before="24" w:beforeLines="10" w:after="24" w:afterLines="10" w:line="240" w:lineRule="exact"/>
                    <w:ind w:left="-105" w:leftChars="-50" w:right="-105" w:rightChars="-50"/>
                    <w:jc w:val="both"/>
                    <w:rPr>
                      <w:sz w:val="18"/>
                      <w:szCs w:val="18"/>
                    </w:rPr>
                  </w:pPr>
                  <w:r>
                    <w:rPr>
                      <w:sz w:val="18"/>
                      <w:szCs w:val="18"/>
                    </w:rPr>
                    <w:t>本项目为专业实验室研究项目，不涉及煤炭，本项目实验仪器等均使用电能。本项目实验环节在密闭的实验室内，对实验中产生的废气</w:t>
                  </w:r>
                  <w:r>
                    <w:rPr>
                      <w:rFonts w:hint="eastAsia"/>
                      <w:sz w:val="18"/>
                      <w:szCs w:val="18"/>
                    </w:rPr>
                    <w:t>由</w:t>
                  </w:r>
                  <w:r>
                    <w:rPr>
                      <w:sz w:val="18"/>
                      <w:szCs w:val="18"/>
                    </w:rPr>
                    <w:t>通风橱收集后经活性炭吸附装置处理后达标排放。</w:t>
                  </w:r>
                </w:p>
              </w:tc>
              <w:tc>
                <w:tcPr>
                  <w:tcW w:w="273" w:type="pct"/>
                  <w:vAlign w:val="center"/>
                </w:tcPr>
                <w:p>
                  <w:pPr>
                    <w:pStyle w:val="56"/>
                    <w:spacing w:before="24" w:beforeLines="10" w:after="24" w:afterLines="10" w:line="240" w:lineRule="exact"/>
                    <w:ind w:left="-105" w:leftChars="-50" w:right="-105" w:rightChars="-50"/>
                    <w:rPr>
                      <w:sz w:val="18"/>
                      <w:szCs w:val="18"/>
                    </w:rPr>
                  </w:pPr>
                  <w:r>
                    <w:rPr>
                      <w:sz w:val="18"/>
                      <w:szCs w:val="18"/>
                    </w:rPr>
                    <w:t>符合</w:t>
                  </w:r>
                </w:p>
              </w:tc>
            </w:tr>
          </w:tbl>
          <w:p>
            <w:pPr>
              <w:adjustRightInd w:val="0"/>
              <w:snapToGrid w:val="0"/>
              <w:spacing w:before="120" w:beforeLines="50" w:line="360" w:lineRule="auto"/>
              <w:ind w:firstLine="480" w:firstLineChars="200"/>
              <w:rPr>
                <w:kern w:val="0"/>
                <w:sz w:val="24"/>
              </w:rPr>
            </w:pPr>
            <w:r>
              <w:rPr>
                <w:kern w:val="0"/>
                <w:sz w:val="24"/>
              </w:rPr>
              <w:t>三、其他符合性分析</w:t>
            </w:r>
          </w:p>
          <w:p>
            <w:pPr>
              <w:pStyle w:val="33"/>
              <w:adjustRightInd w:val="0"/>
              <w:spacing w:before="0" w:after="0" w:line="360" w:lineRule="auto"/>
              <w:ind w:right="0" w:firstLine="480" w:firstLineChars="200"/>
              <w:jc w:val="both"/>
              <w:rPr>
                <w:b w:val="0"/>
                <w:bCs/>
                <w:sz w:val="24"/>
                <w:szCs w:val="24"/>
              </w:rPr>
            </w:pPr>
            <w:r>
              <w:rPr>
                <w:b w:val="0"/>
                <w:bCs/>
                <w:sz w:val="24"/>
              </w:rPr>
              <w:t>与</w:t>
            </w:r>
            <w:r>
              <w:rPr>
                <w:b w:val="0"/>
                <w:bCs/>
                <w:sz w:val="24"/>
                <w:szCs w:val="24"/>
              </w:rPr>
              <w:t>相关技术政策符合性分析见</w:t>
            </w:r>
            <w:r>
              <w:rPr>
                <w:rFonts w:hint="eastAsia"/>
                <w:b w:val="0"/>
                <w:bCs/>
                <w:sz w:val="24"/>
                <w:szCs w:val="24"/>
              </w:rPr>
              <w:t>下</w:t>
            </w:r>
            <w:r>
              <w:rPr>
                <w:b w:val="0"/>
                <w:bCs/>
                <w:sz w:val="24"/>
                <w:szCs w:val="24"/>
              </w:rPr>
              <w:t>表。</w:t>
            </w:r>
          </w:p>
          <w:p>
            <w:pPr>
              <w:pStyle w:val="33"/>
              <w:adjustRightInd w:val="0"/>
              <w:spacing w:before="0" w:after="72" w:afterLines="30" w:line="240" w:lineRule="auto"/>
              <w:ind w:right="0" w:firstLine="420" w:firstLineChars="200"/>
              <w:rPr>
                <w:rFonts w:eastAsia="黑体"/>
                <w:b w:val="0"/>
                <w:kern w:val="24"/>
                <w:sz w:val="21"/>
                <w:szCs w:val="21"/>
              </w:rPr>
            </w:pPr>
            <w:r>
              <w:rPr>
                <w:rFonts w:eastAsia="黑体"/>
                <w:b w:val="0"/>
                <w:kern w:val="24"/>
                <w:sz w:val="21"/>
                <w:szCs w:val="21"/>
              </w:rPr>
              <w:t>表1-2  本项目与其他政策符合性分析表</w:t>
            </w:r>
          </w:p>
          <w:tbl>
            <w:tblPr>
              <w:tblStyle w:val="25"/>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3595"/>
              <w:gridCol w:w="1519"/>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67" w:type="pct"/>
                  <w:vAlign w:val="center"/>
                </w:tcPr>
                <w:p>
                  <w:pPr>
                    <w:wordWrap w:val="0"/>
                    <w:adjustRightInd w:val="0"/>
                    <w:snapToGrid w:val="0"/>
                    <w:ind w:left="-84" w:leftChars="-40" w:right="-84" w:rightChars="-40"/>
                    <w:jc w:val="center"/>
                    <w:rPr>
                      <w:szCs w:val="21"/>
                    </w:rPr>
                  </w:pPr>
                  <w:r>
                    <w:rPr>
                      <w:szCs w:val="21"/>
                    </w:rPr>
                    <w:t>政策</w:t>
                  </w:r>
                </w:p>
              </w:tc>
              <w:tc>
                <w:tcPr>
                  <w:tcW w:w="2652" w:type="pct"/>
                  <w:vAlign w:val="center"/>
                </w:tcPr>
                <w:p>
                  <w:pPr>
                    <w:wordWrap w:val="0"/>
                    <w:adjustRightInd w:val="0"/>
                    <w:snapToGrid w:val="0"/>
                    <w:ind w:left="-84" w:leftChars="-40" w:right="-84" w:rightChars="-40"/>
                    <w:jc w:val="center"/>
                    <w:rPr>
                      <w:szCs w:val="21"/>
                    </w:rPr>
                  </w:pPr>
                  <w:r>
                    <w:rPr>
                      <w:szCs w:val="21"/>
                    </w:rPr>
                    <w:t>内容</w:t>
                  </w:r>
                </w:p>
              </w:tc>
              <w:tc>
                <w:tcPr>
                  <w:tcW w:w="1121" w:type="pct"/>
                  <w:vAlign w:val="center"/>
                </w:tcPr>
                <w:p>
                  <w:pPr>
                    <w:wordWrap w:val="0"/>
                    <w:adjustRightInd w:val="0"/>
                    <w:snapToGrid w:val="0"/>
                    <w:ind w:left="-84" w:leftChars="-40" w:right="-84" w:rightChars="-40"/>
                    <w:jc w:val="center"/>
                    <w:rPr>
                      <w:szCs w:val="21"/>
                    </w:rPr>
                  </w:pPr>
                  <w:r>
                    <w:rPr>
                      <w:szCs w:val="21"/>
                    </w:rPr>
                    <w:t>本项目情况</w:t>
                  </w:r>
                </w:p>
              </w:tc>
              <w:tc>
                <w:tcPr>
                  <w:tcW w:w="360" w:type="pct"/>
                  <w:vAlign w:val="center"/>
                </w:tcPr>
                <w:p>
                  <w:pPr>
                    <w:wordWrap w:val="0"/>
                    <w:adjustRightInd w:val="0"/>
                    <w:snapToGrid w:val="0"/>
                    <w:ind w:left="-105" w:leftChars="-50" w:right="-105" w:rightChars="-50"/>
                    <w:jc w:val="center"/>
                    <w:rPr>
                      <w:szCs w:val="21"/>
                    </w:rPr>
                  </w:pPr>
                  <w:r>
                    <w:rPr>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Align w:val="center"/>
                </w:tcPr>
                <w:p>
                  <w:pPr>
                    <w:wordWrap w:val="0"/>
                    <w:adjustRightInd w:val="0"/>
                    <w:snapToGrid w:val="0"/>
                    <w:ind w:left="-84" w:leftChars="-40" w:right="-84" w:rightChars="-40"/>
                    <w:rPr>
                      <w:szCs w:val="21"/>
                    </w:rPr>
                  </w:pPr>
                  <w:r>
                    <w:rPr>
                      <w:bCs/>
                      <w:spacing w:val="4"/>
                      <w:szCs w:val="21"/>
                    </w:rPr>
                    <w:t>《西安市人民</w:t>
                  </w:r>
                  <w:r>
                    <w:rPr>
                      <w:rFonts w:asciiTheme="minorEastAsia" w:hAnsiTheme="minorEastAsia" w:eastAsiaTheme="minorEastAsia"/>
                      <w:bCs/>
                      <w:spacing w:val="4"/>
                      <w:szCs w:val="21"/>
                    </w:rPr>
                    <w:t>政府关于印发“十四五”生态环境保</w:t>
                  </w:r>
                  <w:r>
                    <w:rPr>
                      <w:bCs/>
                      <w:spacing w:val="4"/>
                      <w:szCs w:val="21"/>
                    </w:rPr>
                    <w:t>护规划的通知》</w:t>
                  </w:r>
                </w:p>
              </w:tc>
              <w:tc>
                <w:tcPr>
                  <w:tcW w:w="2652" w:type="pct"/>
                  <w:vAlign w:val="center"/>
                </w:tcPr>
                <w:p>
                  <w:pPr>
                    <w:wordWrap w:val="0"/>
                    <w:adjustRightInd w:val="0"/>
                    <w:snapToGrid w:val="0"/>
                    <w:ind w:left="-84" w:leftChars="-40" w:right="-84" w:rightChars="-40"/>
                    <w:rPr>
                      <w:szCs w:val="21"/>
                    </w:rPr>
                  </w:pPr>
                  <w:r>
                    <w:rPr>
                      <w:szCs w:val="21"/>
                    </w:rPr>
                    <w:t>强化VOCs综合整治。将挥发性有机物纳入污染物排放总量控制体系，有效减少重点污染源、全社会挥发性有机物和NOx排放总量。以建材、有色等行业带动工业窑炉的综合整治，从源头上对氮氧化物和挥发性有机物进行控制。开展重点行业工业企业挥发性有机物无组织排放治理，以工业涂装、包装印刷、汽修和油品储运销等为重点领域，以工业园区、企业集群和重点企业为重点管控对象，全面加强对光化学反应活性强的VOCs物质控制。建立完善重点行业源头、过程和末端VOCs全过程控制体系，实施VOCs总量控制。严格落实产品强制标准中VOCs含量限值；全面落实《挥发性有机物无组织排放控制标准》要求，引导企业加强对含VOCs物料的存储、转移和输送等环节的全方位密闭管理，以及对设备与管线组件泄漏、敞开液面逸散以及工艺过程等方面的全过程精细化管控，实现VOCs排放量明显下降。</w:t>
                  </w:r>
                </w:p>
              </w:tc>
              <w:tc>
                <w:tcPr>
                  <w:tcW w:w="1121" w:type="pct"/>
                  <w:vAlign w:val="center"/>
                </w:tcPr>
                <w:p>
                  <w:pPr>
                    <w:wordWrap w:val="0"/>
                    <w:autoSpaceDE w:val="0"/>
                    <w:autoSpaceDN w:val="0"/>
                    <w:adjustRightInd w:val="0"/>
                    <w:snapToGrid w:val="0"/>
                    <w:ind w:left="-84" w:leftChars="-40" w:right="-84" w:rightChars="-40"/>
                    <w:rPr>
                      <w:szCs w:val="21"/>
                    </w:rPr>
                  </w:pPr>
                  <w:r>
                    <w:rPr>
                      <w:szCs w:val="21"/>
                    </w:rPr>
                    <w:t>本项目实验环节在密闭的实验室内，对实验中产生的废气</w:t>
                  </w:r>
                  <w:r>
                    <w:rPr>
                      <w:rFonts w:hint="eastAsia"/>
                      <w:szCs w:val="21"/>
                    </w:rPr>
                    <w:t>由</w:t>
                  </w:r>
                  <w:r>
                    <w:rPr>
                      <w:szCs w:val="21"/>
                    </w:rPr>
                    <w:t>通风橱收集后经活性炭吸附装置处理后达标排放；本项目所使用的有机溶剂在非取用状态时均以瓶装、加盖、封口的方式存于库房内。</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Align w:val="center"/>
                </w:tcPr>
                <w:p>
                  <w:pPr>
                    <w:wordWrap w:val="0"/>
                    <w:adjustRightInd w:val="0"/>
                    <w:snapToGrid w:val="0"/>
                    <w:ind w:left="-84" w:leftChars="-40" w:right="-84" w:rightChars="-40"/>
                    <w:rPr>
                      <w:kern w:val="0"/>
                      <w:szCs w:val="21"/>
                    </w:rPr>
                  </w:pPr>
                  <w:r>
                    <w:rPr>
                      <w:kern w:val="0"/>
                      <w:szCs w:val="21"/>
                    </w:rPr>
                    <w:t>《挥发性有机物无组织排放控制标准》（GB37822-2019）</w:t>
                  </w:r>
                </w:p>
              </w:tc>
              <w:tc>
                <w:tcPr>
                  <w:tcW w:w="2652" w:type="pct"/>
                  <w:vAlign w:val="center"/>
                </w:tcPr>
                <w:p>
                  <w:pPr>
                    <w:wordWrap w:val="0"/>
                    <w:adjustRightInd w:val="0"/>
                    <w:snapToGrid w:val="0"/>
                    <w:ind w:left="-84" w:leftChars="-40" w:right="-84" w:rightChars="-40"/>
                    <w:rPr>
                      <w:kern w:val="0"/>
                      <w:szCs w:val="21"/>
                    </w:rPr>
                  </w:pPr>
                  <w:r>
                    <w:rPr>
                      <w:kern w:val="0"/>
                      <w:szCs w:val="21"/>
                    </w:rPr>
                    <w:t>工艺过程VOCs无组织排放控制要求：</w:t>
                  </w:r>
                </w:p>
                <w:p>
                  <w:pPr>
                    <w:numPr>
                      <w:ilvl w:val="0"/>
                      <w:numId w:val="4"/>
                    </w:numPr>
                    <w:wordWrap w:val="0"/>
                    <w:adjustRightInd w:val="0"/>
                    <w:snapToGrid w:val="0"/>
                    <w:ind w:left="-84" w:leftChars="-40" w:right="-84" w:rightChars="-40"/>
                    <w:rPr>
                      <w:kern w:val="0"/>
                      <w:szCs w:val="21"/>
                    </w:rPr>
                  </w:pPr>
                  <w:r>
                    <w:rPr>
                      <w:kern w:val="0"/>
                      <w:szCs w:val="21"/>
                    </w:rPr>
                    <w:t>VOCs物料应储存于密闭的容器、包装袋、钢瓶、储库、料仓中；</w:t>
                  </w:r>
                </w:p>
                <w:p>
                  <w:pPr>
                    <w:wordWrap w:val="0"/>
                    <w:adjustRightInd w:val="0"/>
                    <w:snapToGrid w:val="0"/>
                    <w:ind w:left="-84" w:leftChars="-40" w:right="-84" w:rightChars="-40"/>
                    <w:rPr>
                      <w:szCs w:val="21"/>
                    </w:rPr>
                  </w:pPr>
                  <w:r>
                    <w:rPr>
                      <w:szCs w:val="21"/>
                    </w:rPr>
                    <w:t>（</w:t>
                  </w:r>
                  <w:r>
                    <w:rPr>
                      <w:rFonts w:eastAsia="TimesNewRomanPSMT"/>
                      <w:szCs w:val="21"/>
                    </w:rPr>
                    <w:t>2</w:t>
                  </w:r>
                  <w:r>
                    <w:rPr>
                      <w:szCs w:val="21"/>
                    </w:rPr>
                    <w:t>）粉状、粒状、</w:t>
                  </w:r>
                  <w:r>
                    <w:rPr>
                      <w:rFonts w:eastAsia="TimesNewRomanPSMT"/>
                      <w:szCs w:val="21"/>
                    </w:rPr>
                    <w:t>VOCs</w:t>
                  </w:r>
                  <w:r>
                    <w:rPr>
                      <w:szCs w:val="21"/>
                    </w:rPr>
                    <w:t>物料应采用气力输送设备、管状带式输送机、螺旋输送机等密闭输送方式，或者采用密闭的包装袋、容器或罐车进行物料转移；</w:t>
                  </w:r>
                </w:p>
                <w:p>
                  <w:pPr>
                    <w:wordWrap w:val="0"/>
                    <w:adjustRightInd w:val="0"/>
                    <w:snapToGrid w:val="0"/>
                    <w:ind w:left="-84" w:leftChars="-40" w:right="-84" w:rightChars="-40"/>
                    <w:rPr>
                      <w:kern w:val="0"/>
                      <w:szCs w:val="21"/>
                    </w:rPr>
                  </w:pPr>
                  <w:r>
                    <w:rPr>
                      <w:szCs w:val="21"/>
                    </w:rPr>
                    <w:t>（</w:t>
                  </w:r>
                  <w:r>
                    <w:rPr>
                      <w:rFonts w:eastAsia="TimesNewRomanPSMT"/>
                      <w:szCs w:val="21"/>
                    </w:rPr>
                    <w:t>3</w:t>
                  </w:r>
                  <w:r>
                    <w:rPr>
                      <w:szCs w:val="21"/>
                    </w:rPr>
                    <w:t>）粉状、粒状、</w:t>
                  </w:r>
                  <w:r>
                    <w:rPr>
                      <w:rFonts w:eastAsia="TimesNewRomanPSMT"/>
                      <w:szCs w:val="21"/>
                    </w:rPr>
                    <w:t>VOCs</w:t>
                  </w:r>
                  <w:r>
                    <w:rPr>
                      <w:szCs w:val="21"/>
                    </w:rPr>
                    <w:t>物料应采用气力输送方式或采用密闭固体投料器等给料方式密闭投加。无法密闭投加的，应在密闭空间内操作，或进行局部气体收集，废气应排至除尘设施、</w:t>
                  </w:r>
                  <w:r>
                    <w:rPr>
                      <w:rFonts w:eastAsia="TimesNewRomanPSMT"/>
                      <w:szCs w:val="21"/>
                    </w:rPr>
                    <w:t>VOCs</w:t>
                  </w:r>
                  <w:r>
                    <w:rPr>
                      <w:szCs w:val="21"/>
                    </w:rPr>
                    <w:t>废气收集处理系统。</w:t>
                  </w:r>
                </w:p>
              </w:tc>
              <w:tc>
                <w:tcPr>
                  <w:tcW w:w="1121" w:type="pct"/>
                  <w:vAlign w:val="center"/>
                </w:tcPr>
                <w:p>
                  <w:pPr>
                    <w:wordWrap w:val="0"/>
                    <w:autoSpaceDE w:val="0"/>
                    <w:autoSpaceDN w:val="0"/>
                    <w:adjustRightInd w:val="0"/>
                    <w:snapToGrid w:val="0"/>
                    <w:ind w:left="-84" w:leftChars="-40" w:right="-84" w:rightChars="-40"/>
                    <w:rPr>
                      <w:szCs w:val="21"/>
                    </w:rPr>
                  </w:pPr>
                  <w:r>
                    <w:rPr>
                      <w:szCs w:val="21"/>
                    </w:rPr>
                    <w:t>本项目所使用的有机溶剂在非取用状态时均以瓶装、加盖、封口的方式存于库房内。</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Align w:val="center"/>
                </w:tcPr>
                <w:p>
                  <w:pPr>
                    <w:wordWrap w:val="0"/>
                    <w:adjustRightInd w:val="0"/>
                    <w:snapToGrid w:val="0"/>
                    <w:ind w:left="-84" w:leftChars="-40" w:right="-84" w:rightChars="-40"/>
                    <w:rPr>
                      <w:szCs w:val="21"/>
                    </w:rPr>
                  </w:pPr>
                  <w:r>
                    <w:rPr>
                      <w:szCs w:val="21"/>
                    </w:rPr>
                    <w:t>陕西省人民政府关于印发《陕西省大气污染治理专项行动方案（2023-2027年）》的通知</w:t>
                  </w:r>
                </w:p>
              </w:tc>
              <w:tc>
                <w:tcPr>
                  <w:tcW w:w="2652" w:type="pct"/>
                  <w:vAlign w:val="center"/>
                </w:tcPr>
                <w:p>
                  <w:pPr>
                    <w:wordWrap w:val="0"/>
                    <w:adjustRightInd w:val="0"/>
                    <w:snapToGrid w:val="0"/>
                    <w:ind w:left="-84" w:leftChars="-40" w:right="-84" w:rightChars="-40"/>
                    <w:rPr>
                      <w:szCs w:val="21"/>
                    </w:rPr>
                  </w:pPr>
                  <w:r>
                    <w:rPr>
                      <w:szCs w:val="21"/>
                    </w:rPr>
                    <w:t>动态更新挥发性有机物治理设施台账，开展简易低效挥发性有机物治理设施清理整治、涉活性炭挥发性有机物处理工艺专项整治行动，强化挥发性有机物无组织排放整治，确保达到相关标准要求。</w:t>
                  </w:r>
                </w:p>
              </w:tc>
              <w:tc>
                <w:tcPr>
                  <w:tcW w:w="1121" w:type="pct"/>
                  <w:vAlign w:val="center"/>
                </w:tcPr>
                <w:p>
                  <w:pPr>
                    <w:wordWrap w:val="0"/>
                    <w:autoSpaceDE w:val="0"/>
                    <w:autoSpaceDN w:val="0"/>
                    <w:adjustRightInd w:val="0"/>
                    <w:snapToGrid w:val="0"/>
                    <w:ind w:left="-84" w:leftChars="-40" w:right="-84" w:rightChars="-40"/>
                    <w:rPr>
                      <w:szCs w:val="21"/>
                    </w:rPr>
                  </w:pPr>
                  <w:r>
                    <w:rPr>
                      <w:szCs w:val="21"/>
                    </w:rPr>
                    <w:t>项目不属于重点高VOCs排放建设项目，项目生产中仅产生少量的有机废气，可实现达标排放，对环境影响很小。</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Align w:val="center"/>
                </w:tcPr>
                <w:p>
                  <w:pPr>
                    <w:wordWrap w:val="0"/>
                    <w:adjustRightInd w:val="0"/>
                    <w:snapToGrid w:val="0"/>
                    <w:ind w:left="-84" w:leftChars="-40" w:right="-84" w:rightChars="-40"/>
                  </w:pPr>
                  <w:r>
                    <w:t>西安市人民政府关于印发《西安市大气污染治理专项行动方案（2023-2027）》的通知</w:t>
                  </w:r>
                </w:p>
              </w:tc>
              <w:tc>
                <w:tcPr>
                  <w:tcW w:w="2652" w:type="pct"/>
                  <w:vAlign w:val="center"/>
                </w:tcPr>
                <w:p>
                  <w:pPr>
                    <w:wordWrap w:val="0"/>
                    <w:adjustRightInd w:val="0"/>
                    <w:snapToGrid w:val="0"/>
                    <w:ind w:left="-84" w:leftChars="-40" w:right="-84" w:rightChars="-40"/>
                  </w:pPr>
                  <w:r>
                    <w:rPr>
                      <w:szCs w:val="21"/>
                    </w:rPr>
                    <w:t>强化涉活性炭VOCs处理工艺治理。动态更新挥发性有机物治理设施台账，开展简易低效挥发性有机物治理设施清理整治、涉活性炭挥发性有机物处理工艺专项整治行动，强化挥发性有机物无组织排放整治，确保达到相关标准要求。</w:t>
                  </w:r>
                </w:p>
              </w:tc>
              <w:tc>
                <w:tcPr>
                  <w:tcW w:w="1121" w:type="pct"/>
                  <w:vAlign w:val="center"/>
                </w:tcPr>
                <w:p>
                  <w:pPr>
                    <w:wordWrap w:val="0"/>
                    <w:autoSpaceDE w:val="0"/>
                    <w:autoSpaceDN w:val="0"/>
                    <w:adjustRightInd w:val="0"/>
                    <w:snapToGrid w:val="0"/>
                    <w:ind w:left="-84" w:leftChars="-40" w:right="-84" w:rightChars="-40"/>
                    <w:rPr>
                      <w:szCs w:val="21"/>
                    </w:rPr>
                  </w:pPr>
                  <w:r>
                    <w:rPr>
                      <w:szCs w:val="21"/>
                    </w:rPr>
                    <w:t>项目不属于重点高VOCs排放建设项目，项目生产中仅产生少量的有机废气，可实现达标排放，对环境影响很小。</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restart"/>
                  <w:vAlign w:val="center"/>
                </w:tcPr>
                <w:p>
                  <w:pPr>
                    <w:wordWrap w:val="0"/>
                    <w:adjustRightInd w:val="0"/>
                    <w:snapToGrid w:val="0"/>
                    <w:ind w:left="-84" w:leftChars="-40" w:right="-84" w:rightChars="-40"/>
                  </w:pPr>
                  <w:r>
                    <w:t>《西安市空气质量达标规划（2023-2030年）》</w:t>
                  </w:r>
                </w:p>
              </w:tc>
              <w:tc>
                <w:tcPr>
                  <w:tcW w:w="2652" w:type="pct"/>
                  <w:vAlign w:val="center"/>
                </w:tcPr>
                <w:p>
                  <w:pPr>
                    <w:wordWrap w:val="0"/>
                    <w:adjustRightInd w:val="0"/>
                    <w:snapToGrid w:val="0"/>
                    <w:ind w:left="-84" w:leftChars="-40" w:right="-84" w:rightChars="-40"/>
                    <w:rPr>
                      <w:szCs w:val="21"/>
                    </w:rPr>
                  </w:pPr>
                  <w:r>
                    <w:t>加快推进产业结构调整。加快建设先进制造业强市，优化各园区产业定位，促进产业集聚和绿色发展转型，统筹推进产业布局与大气环境质量改善需求相适应，严格落实国家和我省产业规划、产业政</w:t>
                  </w:r>
                  <w:r>
                    <w:rPr>
                      <w:rFonts w:asciiTheme="minorEastAsia" w:hAnsiTheme="minorEastAsia" w:eastAsiaTheme="minorEastAsia"/>
                    </w:rPr>
                    <w:t>策、“三线一单”、规划环评等要求，新改扩建化工、石化</w:t>
                  </w:r>
                  <w:r>
                    <w:t>、建材、有色等项目的环境影响评价应满足区域和规划环评要求。</w:t>
                  </w:r>
                </w:p>
              </w:tc>
              <w:tc>
                <w:tcPr>
                  <w:tcW w:w="1121" w:type="pct"/>
                  <w:vAlign w:val="center"/>
                </w:tcPr>
                <w:p>
                  <w:pPr>
                    <w:wordWrap w:val="0"/>
                    <w:autoSpaceDE w:val="0"/>
                    <w:autoSpaceDN w:val="0"/>
                    <w:adjustRightInd w:val="0"/>
                    <w:snapToGrid w:val="0"/>
                    <w:ind w:left="-84" w:leftChars="-40" w:right="-84" w:rightChars="-40"/>
                    <w:rPr>
                      <w:szCs w:val="21"/>
                    </w:rPr>
                  </w:pPr>
                  <w:r>
                    <w:rPr>
                      <w:szCs w:val="21"/>
                    </w:rPr>
                    <w:t>本项目为专业实验室研究项目，位于长安创新科技产业园，不属于化工、石化、建材、有色等项目。</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pPr>
                  <w:r>
                    <w:t>新建项目不再采用单一低温等离子、光氧化、光催化等治理技术，非水溶性VOCs废气不再采用单一喷淋吸收方式处理。严格新改扩建涉气重点行业绩效评级限制条件，各区县、开发区范围内新改扩建涉气重点行业企业应达到环保绩效A级、绩效引领性水平，周至县、蓝田县应达到环保绩效B级及以上水平。督促指导企业落实重污染天气重点行业绩效分级技术指南要求。</w:t>
                  </w:r>
                </w:p>
              </w:tc>
              <w:tc>
                <w:tcPr>
                  <w:tcW w:w="1121" w:type="pct"/>
                  <w:vAlign w:val="center"/>
                </w:tcPr>
                <w:p>
                  <w:pPr>
                    <w:wordWrap w:val="0"/>
                    <w:autoSpaceDE w:val="0"/>
                    <w:autoSpaceDN w:val="0"/>
                    <w:adjustRightInd w:val="0"/>
                    <w:snapToGrid w:val="0"/>
                    <w:ind w:left="-84" w:leftChars="-40" w:right="-84" w:rightChars="-40"/>
                    <w:rPr>
                      <w:szCs w:val="21"/>
                    </w:rPr>
                  </w:pPr>
                  <w:r>
                    <w:rPr>
                      <w:szCs w:val="21"/>
                    </w:rPr>
                    <w:t>本项目实验环节在密闭的实验室内，对实验中产生的废气由通风橱收集后经活性炭吸附装置处理后达标排放。</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pPr>
                  <w:r>
                    <w:t>加快实施城市建成区高排放企业搬迁改造、搬迁入园或依法关闭，明确时间表，对逾期不按计划实施的依法依规予以停产。做优培强龙头骨干企</w:t>
                  </w:r>
                  <w:r>
                    <w:rPr>
                      <w:rFonts w:asciiTheme="minorEastAsia" w:hAnsiTheme="minorEastAsia" w:eastAsiaTheme="minorEastAsia"/>
                    </w:rPr>
                    <w:t>业、“专精特新”中小企业，鼓励绿色环保企业助力“一带一路”建设。</w:t>
                  </w:r>
                </w:p>
              </w:tc>
              <w:tc>
                <w:tcPr>
                  <w:tcW w:w="1121" w:type="pct"/>
                  <w:vAlign w:val="center"/>
                </w:tcPr>
                <w:p>
                  <w:pPr>
                    <w:wordWrap w:val="0"/>
                    <w:autoSpaceDE w:val="0"/>
                    <w:autoSpaceDN w:val="0"/>
                    <w:adjustRightInd w:val="0"/>
                    <w:snapToGrid w:val="0"/>
                    <w:ind w:left="-84" w:leftChars="-40" w:right="-84" w:rightChars="-40"/>
                    <w:rPr>
                      <w:szCs w:val="21"/>
                    </w:rPr>
                  </w:pPr>
                  <w:r>
                    <w:rPr>
                      <w:szCs w:val="21"/>
                    </w:rPr>
                    <w:t>本项目为专业实验室研究项目，位于长安创新科技产业园。</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pPr>
                  <w:r>
                    <w:t>大力推进涉VOCs企业低挥发性原辅材料替代和污染治理设施升级改造，鼓励企业积极进行源头替代，推广使用低（无）挥发性有机物含量、低反应活性的原辅材料。现有工业涂装、包装印刷、汽车整车制造等重点涉VOCs行业企业要加快产品升级转型，制定工作计划，加大低VOCs含量原辅材料的源头替代力度，提高水性、高固体分、无溶剂、粉末等低VOCs含量产品的比重。深入开展重点行业工业企业环保绩效提升工作，逐步提高绩效分级B级及以上和引领性企业占比，推动重点行业头部企业、排放大户率先升级。2025年底前评定为环保绩效最低等级水平的涉气企业，由区县政府、开发区管委会依法依规处置</w:t>
                  </w:r>
                </w:p>
              </w:tc>
              <w:tc>
                <w:tcPr>
                  <w:tcW w:w="1121" w:type="pct"/>
                  <w:vAlign w:val="center"/>
                </w:tcPr>
                <w:p>
                  <w:pPr>
                    <w:wordWrap w:val="0"/>
                    <w:autoSpaceDE w:val="0"/>
                    <w:autoSpaceDN w:val="0"/>
                    <w:adjustRightInd w:val="0"/>
                    <w:snapToGrid w:val="0"/>
                    <w:ind w:left="-84" w:leftChars="-40" w:right="-84" w:rightChars="-40"/>
                    <w:rPr>
                      <w:szCs w:val="21"/>
                    </w:rPr>
                  </w:pPr>
                  <w:r>
                    <w:rPr>
                      <w:szCs w:val="21"/>
                    </w:rPr>
                    <w:t>本项目为专业实验室研究项目。实验环节在密闭的实验室内，对实验中产生的废气由通风橱收集后经活性炭吸附装置处理后达标排放。项目所使用的有机溶剂在非取用状态时均以瓶装、加盖、封口的方式存于库房内。</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restart"/>
                  <w:vAlign w:val="center"/>
                </w:tcPr>
                <w:p>
                  <w:pPr>
                    <w:wordWrap w:val="0"/>
                    <w:adjustRightInd w:val="0"/>
                    <w:snapToGrid w:val="0"/>
                    <w:ind w:left="-84" w:leftChars="-40" w:right="-84" w:rightChars="-40"/>
                  </w:pPr>
                  <w:r>
                    <w:t>西安市生态环境局关于加强挥发性有机物活性炭吸附处理设施运行管理工作的通知（市环发〔2022〕65号）</w:t>
                  </w:r>
                </w:p>
              </w:tc>
              <w:tc>
                <w:tcPr>
                  <w:tcW w:w="2652" w:type="pct"/>
                  <w:vAlign w:val="center"/>
                </w:tcPr>
                <w:p>
                  <w:pPr>
                    <w:wordWrap w:val="0"/>
                    <w:adjustRightInd w:val="0"/>
                    <w:snapToGrid w:val="0"/>
                    <w:ind w:left="-84" w:leftChars="-40" w:right="-84" w:rightChars="-40"/>
                    <w:rPr>
                      <w:szCs w:val="21"/>
                    </w:rPr>
                  </w:pPr>
                  <w:r>
                    <w:t>保证活性炭质量。企业购置活性炭必须提供活性炭检测报告，保证活性炭质量。企业购置活性炭必须提供活性炭检测报告，技术指标至少应包括水分含量、耐磨强度（颗粒活性炭）、抗压强度（蜂窝活性炭）、碘吸附值、四氯化碳吸附率、着火点等。活性炭技术指标应符合《工业有机废气净化用活性炭技术指标及试验方法》(LY/T3284)规定的优级活性炭指标要求。</w:t>
                  </w:r>
                </w:p>
              </w:tc>
              <w:tc>
                <w:tcPr>
                  <w:tcW w:w="1121" w:type="pct"/>
                  <w:vAlign w:val="center"/>
                </w:tcPr>
                <w:p>
                  <w:pPr>
                    <w:wordWrap w:val="0"/>
                    <w:autoSpaceDE w:val="0"/>
                    <w:autoSpaceDN w:val="0"/>
                    <w:adjustRightInd w:val="0"/>
                    <w:snapToGrid w:val="0"/>
                    <w:ind w:left="-84" w:leftChars="-40" w:right="-84" w:rightChars="-40"/>
                    <w:rPr>
                      <w:szCs w:val="21"/>
                    </w:rPr>
                  </w:pPr>
                  <w:r>
                    <w:t>本项目要求企业选用满足《工业有机废气净化用活性炭技术指标及试验方法》(LY/T3284)规定的优级活性炭。</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rPr>
                      <w:szCs w:val="21"/>
                    </w:rPr>
                  </w:pPr>
                  <w:r>
                    <w:t>明确填充量并及时更换。企业应当根据风量和VOCS初始浓度范围，明确活性炭的填充量、填充厚度和更换时间。</w:t>
                  </w:r>
                </w:p>
              </w:tc>
              <w:tc>
                <w:tcPr>
                  <w:tcW w:w="1121" w:type="pct"/>
                  <w:vAlign w:val="center"/>
                </w:tcPr>
                <w:p>
                  <w:pPr>
                    <w:wordWrap w:val="0"/>
                    <w:autoSpaceDE w:val="0"/>
                    <w:autoSpaceDN w:val="0"/>
                    <w:adjustRightInd w:val="0"/>
                    <w:snapToGrid w:val="0"/>
                    <w:ind w:left="-84" w:leftChars="-40" w:right="-84" w:rightChars="-40"/>
                    <w:rPr>
                      <w:szCs w:val="21"/>
                    </w:rPr>
                  </w:pPr>
                  <w:r>
                    <w:t>本项目要求企业按环保设计单位要求，及时更换。</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rPr>
                      <w:szCs w:val="21"/>
                    </w:rPr>
                  </w:pPr>
                  <w:r>
                    <w:t>严格控制无组织排放。盛装VOCs物料的容器或包装袋应密闭储存于室内，或存放于设置有雨棚、遮阳和防渗设施的专用场地，非取用状态时应加盖、封口，保持封闭。VOCs物料调配过程应采用密闭设备或在密闭空间内操作，并设置专门的密闭调配间，调配废气应排至VOCs废气收集处理系统；无法密闭的，应采取局部气体收集措施，废气应排至VOCs废气收集处理系统。</w:t>
                  </w:r>
                </w:p>
              </w:tc>
              <w:tc>
                <w:tcPr>
                  <w:tcW w:w="1121" w:type="pct"/>
                  <w:vAlign w:val="center"/>
                </w:tcPr>
                <w:p>
                  <w:pPr>
                    <w:wordWrap w:val="0"/>
                    <w:autoSpaceDE w:val="0"/>
                    <w:autoSpaceDN w:val="0"/>
                    <w:adjustRightInd w:val="0"/>
                    <w:snapToGrid w:val="0"/>
                    <w:ind w:left="-84" w:leftChars="-40" w:right="-84" w:rightChars="-40"/>
                    <w:rPr>
                      <w:szCs w:val="21"/>
                    </w:rPr>
                  </w:pPr>
                  <w:r>
                    <w:rPr>
                      <w:szCs w:val="21"/>
                    </w:rPr>
                    <w:t>实验环节在密闭的实验室内，对实验中产生的废气由通风橱收集后经活性炭吸附装置处理后达标排放。项目所使用的有机溶剂在非取用状态时均以瓶装、加盖、封口的方式存于库房内。</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rPr>
                      <w:szCs w:val="21"/>
                    </w:rPr>
                  </w:pPr>
                  <w:r>
                    <w:t>严格危废管理。产生废活性炭的企业，必须与有许可证的危废经营单位签订危废处置协议。</w:t>
                  </w:r>
                </w:p>
              </w:tc>
              <w:tc>
                <w:tcPr>
                  <w:tcW w:w="1121" w:type="pct"/>
                  <w:vAlign w:val="center"/>
                </w:tcPr>
                <w:p>
                  <w:pPr>
                    <w:wordWrap w:val="0"/>
                    <w:autoSpaceDE w:val="0"/>
                    <w:autoSpaceDN w:val="0"/>
                    <w:adjustRightInd w:val="0"/>
                    <w:snapToGrid w:val="0"/>
                    <w:ind w:left="-84" w:leftChars="-40" w:right="-84" w:rightChars="-40"/>
                    <w:rPr>
                      <w:szCs w:val="21"/>
                    </w:rPr>
                  </w:pPr>
                  <w:r>
                    <w:t>环评要求建设单位与有危险废物经营许可证的单位签订危废处置协议。</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rPr>
                      <w:szCs w:val="21"/>
                    </w:rPr>
                  </w:pPr>
                  <w:r>
                    <w:t>鼓励循环再生活性炭。鼓励企业使用优质可循环使用的活性炭，并与有资质的企业签订废旧活性炭的收集、转运、循环利用服务协议，提高治理效率，减少危险废物产生。</w:t>
                  </w:r>
                </w:p>
              </w:tc>
              <w:tc>
                <w:tcPr>
                  <w:tcW w:w="1121" w:type="pct"/>
                  <w:vAlign w:val="center"/>
                </w:tcPr>
                <w:p>
                  <w:pPr>
                    <w:wordWrap w:val="0"/>
                    <w:autoSpaceDE w:val="0"/>
                    <w:autoSpaceDN w:val="0"/>
                    <w:adjustRightInd w:val="0"/>
                    <w:snapToGrid w:val="0"/>
                    <w:ind w:left="-84" w:leftChars="-40" w:right="-84" w:rightChars="-40"/>
                    <w:rPr>
                      <w:szCs w:val="21"/>
                    </w:rPr>
                  </w:pPr>
                  <w:r>
                    <w:rPr>
                      <w:szCs w:val="21"/>
                    </w:rPr>
                    <w:t>实验中产生的废气经通风橱收集后经活性炭吸附装置处理后达标排放</w:t>
                  </w:r>
                  <w:r>
                    <w:t>，定期更换后交有资质单位处置。</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rPr>
                      <w:szCs w:val="21"/>
                    </w:rPr>
                  </w:pPr>
                  <w:r>
                    <w:t>完善台账记录。企业应按要求做好活性炭吸附日常运行维护台账记录，台账内容应包括开启时间、关停时间、更换时间更换照片、装填数量、设计参数、风量等，以及活性炭主要技术指标检测合格材料。环境管理台账记录保存期限不得少于5年。</w:t>
                  </w:r>
                </w:p>
              </w:tc>
              <w:tc>
                <w:tcPr>
                  <w:tcW w:w="1121" w:type="pct"/>
                  <w:vAlign w:val="center"/>
                </w:tcPr>
                <w:p>
                  <w:pPr>
                    <w:wordWrap w:val="0"/>
                    <w:autoSpaceDE w:val="0"/>
                    <w:autoSpaceDN w:val="0"/>
                    <w:adjustRightInd w:val="0"/>
                    <w:snapToGrid w:val="0"/>
                    <w:ind w:left="-84" w:leftChars="-40" w:right="-84" w:rightChars="-40"/>
                    <w:rPr>
                      <w:szCs w:val="21"/>
                    </w:rPr>
                  </w:pPr>
                  <w:r>
                    <w:t>要求建设单位按要完善台账记录求</w:t>
                  </w:r>
                  <w:r>
                    <w:rPr>
                      <w:rFonts w:hint="eastAsia"/>
                    </w:rPr>
                    <w:t>，危废台账不少于1</w:t>
                  </w:r>
                  <w:r>
                    <w:t>0</w:t>
                  </w:r>
                  <w:r>
                    <w:rPr>
                      <w:rFonts w:hint="eastAsia"/>
                    </w:rPr>
                    <w:t>年，满足《</w:t>
                  </w:r>
                  <w:r>
                    <w:t>陕西省固体废物污染环境防治条例</w:t>
                  </w:r>
                  <w:r>
                    <w:rPr>
                      <w:rFonts w:hint="eastAsia"/>
                    </w:rPr>
                    <w:t>》相关要求。</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restart"/>
                  <w:vAlign w:val="center"/>
                </w:tcPr>
                <w:p>
                  <w:pPr>
                    <w:wordWrap w:val="0"/>
                    <w:adjustRightInd w:val="0"/>
                    <w:snapToGrid w:val="0"/>
                    <w:ind w:left="-84" w:leftChars="-40" w:right="-84" w:rightChars="-40"/>
                  </w:pPr>
                  <w:r>
                    <w:t>《西安市挥发性有机物污染整治专项实施方案(2023-2027年)》</w:t>
                  </w:r>
                </w:p>
              </w:tc>
              <w:tc>
                <w:tcPr>
                  <w:tcW w:w="2652" w:type="pct"/>
                  <w:vAlign w:val="center"/>
                </w:tcPr>
                <w:p>
                  <w:pPr>
                    <w:wordWrap w:val="0"/>
                    <w:adjustRightInd w:val="0"/>
                    <w:snapToGrid w:val="0"/>
                    <w:ind w:left="-84" w:leftChars="-40" w:right="-84" w:rightChars="-40"/>
                  </w:pPr>
                  <w:r>
                    <w:t>新建项目不再采用低温等离子、光氧化、光催化等单一处理方式，非水溶性挥发性有机物废气不再采用喷淋吸收方式处理。</w:t>
                  </w:r>
                </w:p>
              </w:tc>
              <w:tc>
                <w:tcPr>
                  <w:tcW w:w="1121" w:type="pct"/>
                  <w:vAlign w:val="center"/>
                </w:tcPr>
                <w:p>
                  <w:pPr>
                    <w:wordWrap w:val="0"/>
                    <w:autoSpaceDE w:val="0"/>
                    <w:autoSpaceDN w:val="0"/>
                    <w:adjustRightInd w:val="0"/>
                    <w:snapToGrid w:val="0"/>
                    <w:ind w:left="-84" w:leftChars="-40" w:right="-84" w:rightChars="-40"/>
                  </w:pPr>
                  <w:r>
                    <w:t>本项目</w:t>
                  </w:r>
                  <w:r>
                    <w:rPr>
                      <w:szCs w:val="21"/>
                    </w:rPr>
                    <w:t>实验中产生的废气经通风橱收集后经活性炭吸附装置处理</w:t>
                  </w:r>
                  <w:r>
                    <w:t>。</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pPr>
                  <w:r>
                    <w:t>严格控制无组织排放。在保证安全前提下，加强含VOCs物料全方位、全链条、全环节密闭管理，做好VOCs物料储存、转移和输送、设备与管线组件泄漏、敞开液面逸散以及工艺过程等无组织排放环节的管理。生产应优先采用密闭设备、在密闭空间中操作或采用全密闭集气罩收集方式，采用全密闭集气罩或密闭空间的，除行业有特殊要求外，应保持微负压状态，并根据相关规范合理设置通风量；采用局部集气罩的，距集气罩开口面最远处的VOCs无组织排放位置控制风速应不低于0.3米/秒</w:t>
                  </w:r>
                </w:p>
              </w:tc>
              <w:tc>
                <w:tcPr>
                  <w:tcW w:w="1121" w:type="pct"/>
                  <w:vAlign w:val="center"/>
                </w:tcPr>
                <w:p>
                  <w:pPr>
                    <w:wordWrap w:val="0"/>
                    <w:autoSpaceDE w:val="0"/>
                    <w:autoSpaceDN w:val="0"/>
                    <w:adjustRightInd w:val="0"/>
                    <w:snapToGrid w:val="0"/>
                    <w:ind w:left="-84" w:leftChars="-40" w:right="-84" w:rightChars="-40"/>
                  </w:pPr>
                  <w:r>
                    <w:t>本</w:t>
                  </w:r>
                  <w:r>
                    <w:rPr>
                      <w:szCs w:val="21"/>
                    </w:rPr>
                    <w:t>项目所使用的有机溶剂在非取用状态时均以瓶装、加盖、封口的方式存于库房内。</w:t>
                  </w:r>
                  <w:r>
                    <w:t>控制距通风橱开口面最远处的风速</w:t>
                  </w:r>
                  <w:r>
                    <w:rPr>
                      <w:rFonts w:hint="eastAsia"/>
                    </w:rPr>
                    <w:t>为</w:t>
                  </w:r>
                  <w:r>
                    <w:t>0.819米/秒。</w:t>
                  </w:r>
                </w:p>
              </w:tc>
              <w:tc>
                <w:tcPr>
                  <w:tcW w:w="360" w:type="pct"/>
                  <w:vAlign w:val="center"/>
                </w:tcPr>
                <w:p>
                  <w:pPr>
                    <w:wordWrap w:val="0"/>
                    <w:adjustRightInd w:val="0"/>
                    <w:snapToGrid w:val="0"/>
                    <w:ind w:left="-105" w:leftChars="-50" w:right="-105" w:rightChars="-5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7" w:type="pct"/>
                  <w:vMerge w:val="continue"/>
                  <w:vAlign w:val="center"/>
                </w:tcPr>
                <w:p>
                  <w:pPr>
                    <w:wordWrap w:val="0"/>
                    <w:adjustRightInd w:val="0"/>
                    <w:snapToGrid w:val="0"/>
                    <w:ind w:left="-84" w:leftChars="-40" w:right="-84" w:rightChars="-40"/>
                  </w:pPr>
                </w:p>
              </w:tc>
              <w:tc>
                <w:tcPr>
                  <w:tcW w:w="2652" w:type="pct"/>
                  <w:vAlign w:val="center"/>
                </w:tcPr>
                <w:p>
                  <w:pPr>
                    <w:wordWrap w:val="0"/>
                    <w:adjustRightInd w:val="0"/>
                    <w:snapToGrid w:val="0"/>
                    <w:ind w:left="-84" w:leftChars="-40" w:right="-84" w:rightChars="-40"/>
                  </w:pPr>
                  <w:r>
                    <w:t>采用活性炭吸附技术的，其中颗粒碳碘吸附值不低于800mg/g或四氯化碳吸附率不低于60%，蜂窝活性炭碘吸附值不低于600mg/g或四氯化碳吸附率不低于30%，按设计要求足量添加，定期更换，动态更新挥发性有机物治理设施台账。</w:t>
                  </w:r>
                </w:p>
              </w:tc>
              <w:tc>
                <w:tcPr>
                  <w:tcW w:w="1121" w:type="pct"/>
                  <w:vAlign w:val="center"/>
                </w:tcPr>
                <w:p>
                  <w:pPr>
                    <w:wordWrap w:val="0"/>
                    <w:autoSpaceDE w:val="0"/>
                    <w:autoSpaceDN w:val="0"/>
                    <w:adjustRightInd w:val="0"/>
                    <w:snapToGrid w:val="0"/>
                    <w:ind w:left="-84" w:leftChars="-40" w:right="-84" w:rightChars="-40"/>
                  </w:pPr>
                  <w:r>
                    <w:t>本项目按要求选用活性炭吸附床，</w:t>
                  </w:r>
                  <w:r>
                    <w:rPr>
                      <w:rFonts w:hint="eastAsia"/>
                    </w:rPr>
                    <w:t>蜂窝活性</w:t>
                  </w:r>
                  <w:r>
                    <w:t>碳碘吸附值不低于600mg/g。</w:t>
                  </w:r>
                </w:p>
              </w:tc>
              <w:tc>
                <w:tcPr>
                  <w:tcW w:w="360" w:type="pct"/>
                  <w:vAlign w:val="center"/>
                </w:tcPr>
                <w:p>
                  <w:pPr>
                    <w:wordWrap w:val="0"/>
                    <w:adjustRightInd w:val="0"/>
                    <w:snapToGrid w:val="0"/>
                    <w:ind w:left="-105" w:leftChars="-50" w:right="-105" w:rightChars="-50"/>
                    <w:jc w:val="center"/>
                    <w:rPr>
                      <w:szCs w:val="21"/>
                    </w:rPr>
                  </w:pPr>
                  <w:r>
                    <w:rPr>
                      <w:szCs w:val="21"/>
                    </w:rPr>
                    <w:t>符合</w:t>
                  </w:r>
                </w:p>
              </w:tc>
            </w:tr>
          </w:tbl>
          <w:p>
            <w:pPr>
              <w:adjustRightInd w:val="0"/>
              <w:snapToGrid w:val="0"/>
              <w:spacing w:line="360" w:lineRule="auto"/>
              <w:ind w:firstLine="480" w:firstLineChars="200"/>
              <w:rPr>
                <w:kern w:val="0"/>
                <w:sz w:val="24"/>
              </w:rPr>
            </w:pPr>
            <w:r>
              <w:rPr>
                <w:kern w:val="0"/>
                <w:sz w:val="24"/>
              </w:rPr>
              <w:t>四、选址可行性</w:t>
            </w:r>
          </w:p>
          <w:p>
            <w:pPr>
              <w:spacing w:line="360" w:lineRule="auto"/>
              <w:ind w:firstLine="480" w:firstLineChars="200"/>
              <w:rPr>
                <w:sz w:val="24"/>
              </w:rPr>
            </w:pPr>
            <w:r>
              <w:rPr>
                <w:sz w:val="24"/>
              </w:rPr>
              <w:t>本项目位于郭杜街办顺兴路99号长安创新科技产业园20403室，长安创新科技产业园北侧为建业三路，西侧为顺兴路，南侧为学府大街，东侧为翰林北路，项目所在四层楼层东侧为空置厂房、南侧为西安晶淼光电科技有限公司及西安恩赛信息科技有限公司，西侧为园区道路，北侧为电梯间。</w:t>
            </w:r>
          </w:p>
          <w:p>
            <w:pPr>
              <w:spacing w:line="360" w:lineRule="auto"/>
              <w:ind w:firstLine="480" w:firstLineChars="200"/>
              <w:rPr>
                <w:sz w:val="24"/>
              </w:rPr>
            </w:pPr>
            <w:r>
              <w:rPr>
                <w:sz w:val="24"/>
              </w:rPr>
              <w:t>长安创新科技产业园主要建设电子信息技术等相关智能制造产业的研发生产及办公和工业标准厂房，本项目满足产业园产业定位。</w:t>
            </w:r>
          </w:p>
          <w:p>
            <w:pPr>
              <w:spacing w:line="360" w:lineRule="auto"/>
              <w:ind w:firstLine="480" w:firstLineChars="200"/>
              <w:rPr>
                <w:sz w:val="24"/>
              </w:rPr>
            </w:pPr>
            <w:r>
              <w:rPr>
                <w:sz w:val="24"/>
              </w:rPr>
              <w:t>本项目用地性质属于工业用地</w:t>
            </w:r>
            <w:r>
              <w:rPr>
                <w:kern w:val="0"/>
                <w:sz w:val="24"/>
              </w:rPr>
              <w:t>，</w:t>
            </w:r>
            <w:r>
              <w:rPr>
                <w:sz w:val="24"/>
              </w:rPr>
              <w:t>项目周边不涉及基本农田保护区、自然保护区、风景名胜区、饮用水水源保护区，不在国家、地方规划的重点生态功能区的敏感区内。项目不属于高能耗企业，不触及资源利用上线。在采取相应的污染物防治措施后，项目运行期间各类污染物均能达标排放，对环境的影响可以接受。因此，在严格落实本报告提出的环保措施前提下，项目的建设和运行不会对外环境产生较大影响，从环境保护角度分析，本项目选址可行。</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bCs/>
                <w:sz w:val="24"/>
              </w:rPr>
            </w:pPr>
          </w:p>
        </w:tc>
      </w:tr>
    </w:tbl>
    <w:p>
      <w:pPr>
        <w:spacing w:line="360" w:lineRule="auto"/>
        <w:outlineLvl w:val="0"/>
        <w:rPr>
          <w:rFonts w:eastAsia="黑体"/>
          <w:sz w:val="30"/>
        </w:rPr>
        <w:sectPr>
          <w:footerReference r:id="rId4" w:type="default"/>
          <w:pgSz w:w="11906" w:h="16838"/>
          <w:pgMar w:top="1701" w:right="1531" w:bottom="1701" w:left="1531" w:header="851" w:footer="1077" w:gutter="0"/>
          <w:pgNumType w:start="1"/>
          <w:cols w:space="720" w:num="1"/>
          <w:docGrid w:linePitch="312" w:charSpace="0"/>
        </w:sectPr>
      </w:pPr>
    </w:p>
    <w:p>
      <w:pPr>
        <w:pStyle w:val="21"/>
        <w:jc w:val="center"/>
        <w:outlineLvl w:val="0"/>
        <w:rPr>
          <w:rFonts w:ascii="Times New Roman" w:hAnsi="Times New Roman" w:eastAsia="黑体"/>
          <w:snapToGrid w:val="0"/>
          <w:sz w:val="30"/>
          <w:szCs w:val="30"/>
        </w:rPr>
      </w:pPr>
      <w:bookmarkStart w:id="5" w:name="_Toc117495859"/>
      <w:r>
        <w:rPr>
          <w:rFonts w:ascii="Times New Roman" w:hAnsi="Times New Roman" w:eastAsia="黑体"/>
          <w:snapToGrid w:val="0"/>
          <w:sz w:val="30"/>
          <w:szCs w:val="30"/>
        </w:rPr>
        <w:t>二、建设项目工程分析</w:t>
      </w:r>
      <w:bookmarkEnd w:id="5"/>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3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pStyle w:val="21"/>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建设内容</w:t>
            </w:r>
          </w:p>
        </w:tc>
        <w:tc>
          <w:tcPr>
            <w:tcW w:w="8385" w:type="dxa"/>
          </w:tcPr>
          <w:p>
            <w:pPr>
              <w:pStyle w:val="6"/>
              <w:spacing w:after="0" w:line="360" w:lineRule="auto"/>
              <w:ind w:firstLine="482" w:firstLineChars="200"/>
              <w:rPr>
                <w:b/>
                <w:bCs/>
                <w:sz w:val="24"/>
              </w:rPr>
            </w:pPr>
            <w:r>
              <w:rPr>
                <w:b/>
                <w:bCs/>
                <w:sz w:val="24"/>
              </w:rPr>
              <w:t>一、项目背景</w:t>
            </w:r>
          </w:p>
          <w:p>
            <w:pPr>
              <w:pStyle w:val="6"/>
              <w:spacing w:after="0" w:line="360" w:lineRule="auto"/>
              <w:ind w:firstLine="480" w:firstLineChars="200"/>
              <w:rPr>
                <w:sz w:val="24"/>
              </w:rPr>
            </w:pPr>
            <w:r>
              <w:rPr>
                <w:sz w:val="24"/>
              </w:rPr>
              <w:t>西安福诺医药科技有限公司在用于生物检测试剂研发的生物正交反应接头、荧光探针和用于抗体药物偶联物ADC/PROTACS蛋白降解靶向嵌合体新药研发的单分散乙二醇产品方面发展了自己的核心技术，是西安康福诺生物科技有限公司的子公司，承接西安康福诺生物科技有限公司的研发项目，短期产业规划主要为生物检测及新药研发企业在他们的研发项目的前期阶段提供技术服务，主要进行化学实验。</w:t>
            </w:r>
          </w:p>
          <w:p>
            <w:pPr>
              <w:pStyle w:val="6"/>
              <w:spacing w:after="0" w:line="360" w:lineRule="auto"/>
              <w:ind w:firstLine="482" w:firstLineChars="200"/>
              <w:rPr>
                <w:b/>
                <w:bCs/>
                <w:sz w:val="24"/>
              </w:rPr>
            </w:pPr>
            <w:r>
              <w:rPr>
                <w:b/>
                <w:bCs/>
                <w:sz w:val="24"/>
              </w:rPr>
              <w:t>二、项目组成及建设内容</w:t>
            </w:r>
          </w:p>
          <w:p>
            <w:pPr>
              <w:spacing w:line="360" w:lineRule="auto"/>
              <w:ind w:firstLine="480" w:firstLineChars="200"/>
              <w:rPr>
                <w:sz w:val="24"/>
              </w:rPr>
            </w:pPr>
            <w:r>
              <w:rPr>
                <w:sz w:val="24"/>
              </w:rPr>
              <w:t>本项目租赁长安创新科技产业园2号楼403室（第四层的403室），项目所租赁403室东侧为空置厂房、南侧为西安晶淼光电科技有限公司及西安恩赛信息科技有限公司，西侧紧邻园区道路，北侧为电梯间。</w:t>
            </w:r>
          </w:p>
          <w:p>
            <w:pPr>
              <w:spacing w:line="360" w:lineRule="auto"/>
              <w:ind w:firstLine="480" w:firstLineChars="200"/>
              <w:rPr>
                <w:sz w:val="24"/>
              </w:rPr>
            </w:pPr>
            <w:r>
              <w:rPr>
                <w:sz w:val="24"/>
              </w:rPr>
              <w:t>厂房面积394平方米，主要建设内容为办公区和研发实验区。主要购置磁力搅拌器（常温）、小型机械搅拌器、旋转蒸发仪、低温恒温浴槽、加热油浴、水泵、油泵、冷冻干燥机、快速纯化制备液相、超声波清洗器、烘箱等设施，为生物检测及新药研发企业提供技术服务，本项目不设食堂和锅炉。</w:t>
            </w:r>
          </w:p>
          <w:p>
            <w:pPr>
              <w:pStyle w:val="6"/>
              <w:spacing w:after="0" w:line="360" w:lineRule="auto"/>
              <w:ind w:firstLine="480" w:firstLineChars="200"/>
              <w:rPr>
                <w:sz w:val="24"/>
              </w:rPr>
            </w:pPr>
            <w:r>
              <w:rPr>
                <w:sz w:val="24"/>
              </w:rPr>
              <w:t>主要建设内容见表2-1。</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表2-1  本项目主要建设内容</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3"/>
              <w:gridCol w:w="857"/>
              <w:gridCol w:w="5963"/>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Align w:val="center"/>
                </w:tcPr>
                <w:p>
                  <w:pPr>
                    <w:adjustRightInd w:val="0"/>
                    <w:snapToGrid w:val="0"/>
                    <w:jc w:val="center"/>
                    <w:rPr>
                      <w:b/>
                      <w:szCs w:val="21"/>
                    </w:rPr>
                  </w:pPr>
                  <w:r>
                    <w:rPr>
                      <w:b/>
                      <w:szCs w:val="21"/>
                    </w:rPr>
                    <w:t>类别</w:t>
                  </w:r>
                </w:p>
              </w:tc>
              <w:tc>
                <w:tcPr>
                  <w:tcW w:w="525" w:type="pct"/>
                  <w:vAlign w:val="center"/>
                </w:tcPr>
                <w:p>
                  <w:pPr>
                    <w:adjustRightInd w:val="0"/>
                    <w:snapToGrid w:val="0"/>
                    <w:jc w:val="center"/>
                    <w:rPr>
                      <w:b/>
                      <w:szCs w:val="21"/>
                    </w:rPr>
                  </w:pPr>
                  <w:r>
                    <w:rPr>
                      <w:b/>
                      <w:szCs w:val="21"/>
                    </w:rPr>
                    <w:t>工程名称</w:t>
                  </w:r>
                </w:p>
              </w:tc>
              <w:tc>
                <w:tcPr>
                  <w:tcW w:w="3653" w:type="pct"/>
                  <w:vAlign w:val="center"/>
                </w:tcPr>
                <w:p>
                  <w:pPr>
                    <w:adjustRightInd w:val="0"/>
                    <w:snapToGrid w:val="0"/>
                    <w:jc w:val="center"/>
                    <w:rPr>
                      <w:b/>
                      <w:szCs w:val="21"/>
                    </w:rPr>
                  </w:pPr>
                  <w:r>
                    <w:rPr>
                      <w:b/>
                      <w:szCs w:val="21"/>
                    </w:rPr>
                    <w:t>建设内容</w:t>
                  </w:r>
                </w:p>
              </w:tc>
              <w:tc>
                <w:tcPr>
                  <w:tcW w:w="445" w:type="pct"/>
                  <w:vAlign w:val="center"/>
                </w:tcPr>
                <w:p>
                  <w:pPr>
                    <w:adjustRightInd w:val="0"/>
                    <w:snapToGrid w:val="0"/>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Align w:val="center"/>
                </w:tcPr>
                <w:p>
                  <w:pPr>
                    <w:adjustRightInd w:val="0"/>
                    <w:snapToGrid w:val="0"/>
                    <w:jc w:val="center"/>
                    <w:rPr>
                      <w:szCs w:val="21"/>
                    </w:rPr>
                  </w:pPr>
                  <w:r>
                    <w:rPr>
                      <w:szCs w:val="21"/>
                    </w:rPr>
                    <w:t>主体</w:t>
                  </w:r>
                </w:p>
                <w:p>
                  <w:pPr>
                    <w:adjustRightInd w:val="0"/>
                    <w:snapToGrid w:val="0"/>
                    <w:jc w:val="center"/>
                    <w:rPr>
                      <w:szCs w:val="21"/>
                    </w:rPr>
                  </w:pPr>
                  <w:r>
                    <w:rPr>
                      <w:szCs w:val="21"/>
                    </w:rPr>
                    <w:t>工程</w:t>
                  </w:r>
                </w:p>
              </w:tc>
              <w:tc>
                <w:tcPr>
                  <w:tcW w:w="525" w:type="pct"/>
                  <w:vAlign w:val="center"/>
                </w:tcPr>
                <w:p>
                  <w:pPr>
                    <w:pStyle w:val="9"/>
                    <w:widowControl w:val="0"/>
                    <w:spacing w:after="0" w:line="240" w:lineRule="auto"/>
                    <w:ind w:firstLine="0" w:firstLineChars="0"/>
                    <w:jc w:val="center"/>
                    <w:rPr>
                      <w:szCs w:val="21"/>
                    </w:rPr>
                  </w:pPr>
                  <w:r>
                    <w:rPr>
                      <w:sz w:val="21"/>
                      <w:szCs w:val="21"/>
                    </w:rPr>
                    <w:t>实验研发区</w:t>
                  </w:r>
                </w:p>
              </w:tc>
              <w:tc>
                <w:tcPr>
                  <w:tcW w:w="3653" w:type="pct"/>
                  <w:tcMar>
                    <w:top w:w="0" w:type="dxa"/>
                    <w:left w:w="57" w:type="dxa"/>
                    <w:bottom w:w="0" w:type="dxa"/>
                    <w:right w:w="57" w:type="dxa"/>
                  </w:tcMar>
                  <w:vAlign w:val="center"/>
                </w:tcPr>
                <w:p>
                  <w:pPr>
                    <w:adjustRightInd w:val="0"/>
                    <w:snapToGrid w:val="0"/>
                    <w:rPr>
                      <w:szCs w:val="21"/>
                    </w:rPr>
                  </w:pPr>
                  <w:r>
                    <w:rPr>
                      <w:szCs w:val="21"/>
                    </w:rPr>
                    <w:t>面积约251.5m</w:t>
                  </w:r>
                  <w:r>
                    <w:rPr>
                      <w:szCs w:val="21"/>
                      <w:vertAlign w:val="superscript"/>
                    </w:rPr>
                    <w:t>2</w:t>
                  </w:r>
                  <w:r>
                    <w:rPr>
                      <w:szCs w:val="21"/>
                    </w:rPr>
                    <w:t>，主要为生物检测及新药研发企业提供技术服务，设置小型机械搅拌器、旋转蒸发仪等化学分析实验仪器，提供荧光染料、官能化单分散聚乙二醇、生物正交-荧光染料等数余种生物医药标准品、对照品的荧光染料、官能化单分散聚乙二醇、生物正交-荧光染料等数余种生物医药标准品、对照品的研发实验。</w:t>
                  </w:r>
                </w:p>
              </w:tc>
              <w:tc>
                <w:tcPr>
                  <w:tcW w:w="445" w:type="pct"/>
                  <w:vAlign w:val="center"/>
                </w:tcPr>
                <w:p>
                  <w:pPr>
                    <w:adjustRightInd w:val="0"/>
                    <w:snapToGrid w:val="0"/>
                    <w:jc w:val="center"/>
                    <w:rPr>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restart"/>
                  <w:vAlign w:val="center"/>
                </w:tcPr>
                <w:p>
                  <w:pPr>
                    <w:adjustRightInd w:val="0"/>
                    <w:snapToGrid w:val="0"/>
                    <w:jc w:val="center"/>
                    <w:rPr>
                      <w:szCs w:val="21"/>
                    </w:rPr>
                  </w:pPr>
                  <w:r>
                    <w:rPr>
                      <w:szCs w:val="21"/>
                    </w:rPr>
                    <w:t>辅助</w:t>
                  </w:r>
                </w:p>
                <w:p>
                  <w:pPr>
                    <w:adjustRightInd w:val="0"/>
                    <w:snapToGrid w:val="0"/>
                    <w:jc w:val="center"/>
                    <w:rPr>
                      <w:szCs w:val="21"/>
                    </w:rPr>
                  </w:pPr>
                  <w:r>
                    <w:rPr>
                      <w:szCs w:val="21"/>
                    </w:rPr>
                    <w:t>工程</w:t>
                  </w:r>
                </w:p>
              </w:tc>
              <w:tc>
                <w:tcPr>
                  <w:tcW w:w="525" w:type="pct"/>
                  <w:vAlign w:val="center"/>
                </w:tcPr>
                <w:p>
                  <w:pPr>
                    <w:autoSpaceDE w:val="0"/>
                    <w:autoSpaceDN w:val="0"/>
                    <w:adjustRightInd w:val="0"/>
                    <w:ind w:left="42" w:leftChars="20" w:right="42" w:rightChars="20"/>
                    <w:jc w:val="center"/>
                    <w:rPr>
                      <w:szCs w:val="21"/>
                    </w:rPr>
                  </w:pPr>
                  <w:r>
                    <w:rPr>
                      <w:szCs w:val="21"/>
                    </w:rPr>
                    <w:t>办公区</w:t>
                  </w:r>
                </w:p>
              </w:tc>
              <w:tc>
                <w:tcPr>
                  <w:tcW w:w="3653" w:type="pct"/>
                  <w:tcMar>
                    <w:top w:w="0" w:type="dxa"/>
                    <w:left w:w="57" w:type="dxa"/>
                    <w:bottom w:w="0" w:type="dxa"/>
                    <w:right w:w="57" w:type="dxa"/>
                  </w:tcMar>
                  <w:vAlign w:val="center"/>
                </w:tcPr>
                <w:p>
                  <w:pPr>
                    <w:ind w:left="42" w:leftChars="20" w:right="42" w:rightChars="20"/>
                    <w:rPr>
                      <w:szCs w:val="21"/>
                    </w:rPr>
                  </w:pPr>
                  <w:r>
                    <w:rPr>
                      <w:szCs w:val="21"/>
                    </w:rPr>
                    <w:t>办公区总建筑面积81m</w:t>
                  </w:r>
                  <w:r>
                    <w:rPr>
                      <w:szCs w:val="21"/>
                      <w:vertAlign w:val="superscript"/>
                    </w:rPr>
                    <w:t>2</w:t>
                  </w:r>
                  <w:r>
                    <w:rPr>
                      <w:szCs w:val="21"/>
                    </w:rPr>
                    <w:t>，主要用于公司员工的日常办公、会议等。</w:t>
                  </w:r>
                </w:p>
              </w:tc>
              <w:tc>
                <w:tcPr>
                  <w:tcW w:w="445" w:type="pct"/>
                  <w:vAlign w:val="center"/>
                </w:tcPr>
                <w:p>
                  <w:pPr>
                    <w:ind w:left="42" w:leftChars="20" w:right="42" w:rightChars="20"/>
                    <w:jc w:val="center"/>
                    <w:rPr>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Align w:val="center"/>
                </w:tcPr>
                <w:p>
                  <w:pPr>
                    <w:autoSpaceDE w:val="0"/>
                    <w:autoSpaceDN w:val="0"/>
                    <w:adjustRightInd w:val="0"/>
                    <w:ind w:left="42" w:leftChars="20" w:right="42" w:rightChars="20"/>
                    <w:jc w:val="center"/>
                    <w:rPr>
                      <w:szCs w:val="21"/>
                    </w:rPr>
                  </w:pPr>
                  <w:r>
                    <w:rPr>
                      <w:szCs w:val="21"/>
                    </w:rPr>
                    <w:t>通风设备间</w:t>
                  </w:r>
                </w:p>
              </w:tc>
              <w:tc>
                <w:tcPr>
                  <w:tcW w:w="3653" w:type="pct"/>
                  <w:tcMar>
                    <w:top w:w="0" w:type="dxa"/>
                    <w:left w:w="57" w:type="dxa"/>
                    <w:bottom w:w="0" w:type="dxa"/>
                    <w:right w:w="57" w:type="dxa"/>
                  </w:tcMar>
                  <w:vAlign w:val="center"/>
                </w:tcPr>
                <w:p>
                  <w:pPr>
                    <w:ind w:left="42" w:leftChars="20" w:right="42" w:rightChars="20"/>
                    <w:rPr>
                      <w:szCs w:val="21"/>
                    </w:rPr>
                  </w:pPr>
                  <w:r>
                    <w:rPr>
                      <w:szCs w:val="21"/>
                    </w:rPr>
                    <w:t>通风设备间19.5m</w:t>
                  </w:r>
                  <w:r>
                    <w:rPr>
                      <w:szCs w:val="21"/>
                      <w:vertAlign w:val="superscript"/>
                    </w:rPr>
                    <w:t>2</w:t>
                  </w:r>
                  <w:r>
                    <w:rPr>
                      <w:szCs w:val="21"/>
                    </w:rPr>
                    <w:t>。</w:t>
                  </w:r>
                </w:p>
              </w:tc>
              <w:tc>
                <w:tcPr>
                  <w:tcW w:w="445" w:type="pct"/>
                  <w:vAlign w:val="center"/>
                </w:tcPr>
                <w:p>
                  <w:pPr>
                    <w:ind w:left="42" w:leftChars="20" w:right="42" w:rightChars="20"/>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restart"/>
                  <w:vAlign w:val="center"/>
                </w:tcPr>
                <w:p>
                  <w:pPr>
                    <w:adjustRightInd w:val="0"/>
                    <w:snapToGrid w:val="0"/>
                    <w:jc w:val="center"/>
                    <w:rPr>
                      <w:szCs w:val="21"/>
                    </w:rPr>
                  </w:pPr>
                  <w:r>
                    <w:rPr>
                      <w:szCs w:val="21"/>
                    </w:rPr>
                    <w:t>储运</w:t>
                  </w:r>
                </w:p>
                <w:p>
                  <w:pPr>
                    <w:adjustRightInd w:val="0"/>
                    <w:snapToGrid w:val="0"/>
                    <w:jc w:val="center"/>
                    <w:rPr>
                      <w:szCs w:val="21"/>
                    </w:rPr>
                  </w:pPr>
                  <w:r>
                    <w:rPr>
                      <w:szCs w:val="21"/>
                    </w:rPr>
                    <w:t>工程</w:t>
                  </w:r>
                </w:p>
              </w:tc>
              <w:tc>
                <w:tcPr>
                  <w:tcW w:w="525" w:type="pct"/>
                  <w:vAlign w:val="center"/>
                </w:tcPr>
                <w:p>
                  <w:pPr>
                    <w:autoSpaceDE w:val="0"/>
                    <w:autoSpaceDN w:val="0"/>
                    <w:adjustRightInd w:val="0"/>
                    <w:ind w:left="42" w:leftChars="20" w:right="42" w:rightChars="20"/>
                    <w:jc w:val="center"/>
                    <w:rPr>
                      <w:szCs w:val="21"/>
                    </w:rPr>
                  </w:pPr>
                  <w:r>
                    <w:rPr>
                      <w:szCs w:val="21"/>
                    </w:rPr>
                    <w:t>库房</w:t>
                  </w:r>
                </w:p>
              </w:tc>
              <w:tc>
                <w:tcPr>
                  <w:tcW w:w="3653" w:type="pct"/>
                  <w:tcMar>
                    <w:top w:w="0" w:type="dxa"/>
                    <w:left w:w="57" w:type="dxa"/>
                    <w:bottom w:w="0" w:type="dxa"/>
                    <w:right w:w="57" w:type="dxa"/>
                  </w:tcMar>
                  <w:vAlign w:val="center"/>
                </w:tcPr>
                <w:p>
                  <w:pPr>
                    <w:ind w:left="42" w:leftChars="20" w:right="42" w:rightChars="20"/>
                    <w:rPr>
                      <w:szCs w:val="21"/>
                    </w:rPr>
                  </w:pPr>
                  <w:r>
                    <w:rPr>
                      <w:szCs w:val="21"/>
                    </w:rPr>
                    <w:t>面积约19m</w:t>
                  </w:r>
                  <w:r>
                    <w:rPr>
                      <w:szCs w:val="21"/>
                      <w:vertAlign w:val="superscript"/>
                    </w:rPr>
                    <w:t>2</w:t>
                  </w:r>
                  <w:r>
                    <w:rPr>
                      <w:szCs w:val="21"/>
                    </w:rPr>
                    <w:t>，主要用于实验试剂储存。</w:t>
                  </w:r>
                </w:p>
              </w:tc>
              <w:tc>
                <w:tcPr>
                  <w:tcW w:w="445" w:type="pct"/>
                  <w:vAlign w:val="center"/>
                </w:tcPr>
                <w:p>
                  <w:pPr>
                    <w:ind w:left="42" w:leftChars="20" w:right="42" w:rightChars="20"/>
                    <w:jc w:val="center"/>
                    <w:rPr>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Align w:val="center"/>
                </w:tcPr>
                <w:p>
                  <w:pPr>
                    <w:autoSpaceDE w:val="0"/>
                    <w:autoSpaceDN w:val="0"/>
                    <w:adjustRightInd w:val="0"/>
                    <w:ind w:left="42" w:leftChars="20" w:right="42" w:rightChars="20"/>
                    <w:jc w:val="center"/>
                    <w:rPr>
                      <w:szCs w:val="21"/>
                    </w:rPr>
                  </w:pPr>
                  <w:r>
                    <w:rPr>
                      <w:szCs w:val="21"/>
                    </w:rPr>
                    <w:t>运输</w:t>
                  </w:r>
                </w:p>
              </w:tc>
              <w:tc>
                <w:tcPr>
                  <w:tcW w:w="3653" w:type="pct"/>
                  <w:tcMar>
                    <w:top w:w="0" w:type="dxa"/>
                    <w:left w:w="57" w:type="dxa"/>
                    <w:bottom w:w="0" w:type="dxa"/>
                    <w:right w:w="57" w:type="dxa"/>
                  </w:tcMar>
                  <w:vAlign w:val="center"/>
                </w:tcPr>
                <w:p>
                  <w:pPr>
                    <w:widowControl/>
                    <w:jc w:val="left"/>
                    <w:rPr>
                      <w:szCs w:val="21"/>
                    </w:rPr>
                  </w:pPr>
                  <w:r>
                    <w:rPr>
                      <w:szCs w:val="21"/>
                    </w:rPr>
                    <w:t>实验试剂由供货方采用汽车运输。</w:t>
                  </w:r>
                </w:p>
              </w:tc>
              <w:tc>
                <w:tcPr>
                  <w:tcW w:w="445" w:type="pct"/>
                  <w:vAlign w:val="center"/>
                </w:tcPr>
                <w:p>
                  <w:pPr>
                    <w:widowControl/>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restart"/>
                  <w:vAlign w:val="center"/>
                </w:tcPr>
                <w:p>
                  <w:pPr>
                    <w:adjustRightInd w:val="0"/>
                    <w:snapToGrid w:val="0"/>
                    <w:jc w:val="center"/>
                    <w:rPr>
                      <w:szCs w:val="21"/>
                    </w:rPr>
                  </w:pPr>
                  <w:r>
                    <w:rPr>
                      <w:szCs w:val="21"/>
                    </w:rPr>
                    <w:t>公用</w:t>
                  </w:r>
                </w:p>
                <w:p>
                  <w:pPr>
                    <w:adjustRightInd w:val="0"/>
                    <w:snapToGrid w:val="0"/>
                    <w:jc w:val="center"/>
                    <w:rPr>
                      <w:szCs w:val="21"/>
                    </w:rPr>
                  </w:pPr>
                  <w:r>
                    <w:rPr>
                      <w:szCs w:val="21"/>
                    </w:rPr>
                    <w:t>工程</w:t>
                  </w:r>
                </w:p>
              </w:tc>
              <w:tc>
                <w:tcPr>
                  <w:tcW w:w="525" w:type="pct"/>
                  <w:vAlign w:val="center"/>
                </w:tcPr>
                <w:p>
                  <w:pPr>
                    <w:adjustRightInd w:val="0"/>
                    <w:snapToGrid w:val="0"/>
                    <w:jc w:val="center"/>
                    <w:rPr>
                      <w:szCs w:val="21"/>
                    </w:rPr>
                  </w:pPr>
                  <w:r>
                    <w:rPr>
                      <w:kern w:val="0"/>
                      <w:szCs w:val="21"/>
                    </w:rPr>
                    <w:t>供电</w:t>
                  </w:r>
                </w:p>
              </w:tc>
              <w:tc>
                <w:tcPr>
                  <w:tcW w:w="3653" w:type="pct"/>
                  <w:tcMar>
                    <w:top w:w="0" w:type="dxa"/>
                    <w:left w:w="57" w:type="dxa"/>
                    <w:bottom w:w="0" w:type="dxa"/>
                    <w:right w:w="57" w:type="dxa"/>
                  </w:tcMar>
                  <w:vAlign w:val="center"/>
                </w:tcPr>
                <w:p>
                  <w:pPr>
                    <w:adjustRightInd w:val="0"/>
                    <w:snapToGrid w:val="0"/>
                    <w:rPr>
                      <w:szCs w:val="21"/>
                    </w:rPr>
                  </w:pPr>
                  <w:r>
                    <w:t>本项目采用市政供电，无备用发电机。</w:t>
                  </w:r>
                </w:p>
              </w:tc>
              <w:tc>
                <w:tcPr>
                  <w:tcW w:w="445" w:type="pct"/>
                  <w:vAlign w:val="center"/>
                </w:tcPr>
                <w:p>
                  <w:pPr>
                    <w:adjustRightInd w:val="0"/>
                    <w:snapToGrid w:val="0"/>
                    <w:jc w:val="cente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Align w:val="center"/>
                </w:tcPr>
                <w:p>
                  <w:pPr>
                    <w:adjustRightInd w:val="0"/>
                    <w:snapToGrid w:val="0"/>
                    <w:jc w:val="center"/>
                    <w:rPr>
                      <w:szCs w:val="21"/>
                    </w:rPr>
                  </w:pPr>
                  <w:r>
                    <w:rPr>
                      <w:kern w:val="0"/>
                      <w:szCs w:val="21"/>
                    </w:rPr>
                    <w:t>供水</w:t>
                  </w:r>
                </w:p>
              </w:tc>
              <w:tc>
                <w:tcPr>
                  <w:tcW w:w="3653" w:type="pct"/>
                  <w:tcMar>
                    <w:top w:w="0" w:type="dxa"/>
                    <w:left w:w="57" w:type="dxa"/>
                    <w:bottom w:w="0" w:type="dxa"/>
                    <w:right w:w="57" w:type="dxa"/>
                  </w:tcMar>
                  <w:vAlign w:val="center"/>
                </w:tcPr>
                <w:p>
                  <w:pPr>
                    <w:adjustRightInd w:val="0"/>
                    <w:snapToGrid w:val="0"/>
                    <w:rPr>
                      <w:szCs w:val="21"/>
                    </w:rPr>
                  </w:pPr>
                  <w:r>
                    <w:t>本项目供水水源为市政管网</w:t>
                  </w:r>
                </w:p>
              </w:tc>
              <w:tc>
                <w:tcPr>
                  <w:tcW w:w="445" w:type="pct"/>
                  <w:vAlign w:val="center"/>
                </w:tcPr>
                <w:p>
                  <w:pPr>
                    <w:adjustRightInd w:val="0"/>
                    <w:snapToGrid w:val="0"/>
                    <w:jc w:val="cente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Align w:val="center"/>
                </w:tcPr>
                <w:p>
                  <w:pPr>
                    <w:adjustRightInd w:val="0"/>
                    <w:snapToGrid w:val="0"/>
                    <w:jc w:val="center"/>
                    <w:rPr>
                      <w:kern w:val="0"/>
                      <w:szCs w:val="21"/>
                    </w:rPr>
                  </w:pPr>
                  <w:r>
                    <w:rPr>
                      <w:kern w:val="0"/>
                      <w:szCs w:val="21"/>
                    </w:rPr>
                    <w:t>采暖制冷</w:t>
                  </w:r>
                </w:p>
              </w:tc>
              <w:tc>
                <w:tcPr>
                  <w:tcW w:w="3653" w:type="pct"/>
                  <w:tcMar>
                    <w:top w:w="0" w:type="dxa"/>
                    <w:left w:w="57" w:type="dxa"/>
                    <w:bottom w:w="0" w:type="dxa"/>
                    <w:right w:w="57" w:type="dxa"/>
                  </w:tcMar>
                  <w:vAlign w:val="center"/>
                </w:tcPr>
                <w:p>
                  <w:pPr>
                    <w:adjustRightInd w:val="0"/>
                    <w:snapToGrid w:val="0"/>
                  </w:pPr>
                  <w:r>
                    <w:t>采用中央空调</w:t>
                  </w:r>
                </w:p>
              </w:tc>
              <w:tc>
                <w:tcPr>
                  <w:tcW w:w="445" w:type="pct"/>
                  <w:vAlign w:val="center"/>
                </w:tcPr>
                <w:p>
                  <w:pPr>
                    <w:adjustRightInd w:val="0"/>
                    <w:snapToGrid w:val="0"/>
                    <w:jc w:val="center"/>
                  </w:pPr>
                  <w:r>
                    <w:rPr>
                      <w:rFonts w:hint="eastAsia"/>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Align w:val="center"/>
                </w:tcPr>
                <w:p>
                  <w:pPr>
                    <w:adjustRightInd w:val="0"/>
                    <w:snapToGrid w:val="0"/>
                    <w:jc w:val="center"/>
                    <w:rPr>
                      <w:szCs w:val="21"/>
                    </w:rPr>
                  </w:pPr>
                  <w:r>
                    <w:rPr>
                      <w:szCs w:val="21"/>
                    </w:rPr>
                    <w:t>排水</w:t>
                  </w:r>
                </w:p>
              </w:tc>
              <w:tc>
                <w:tcPr>
                  <w:tcW w:w="3653" w:type="pct"/>
                  <w:tcMar>
                    <w:top w:w="0" w:type="dxa"/>
                    <w:left w:w="57" w:type="dxa"/>
                    <w:bottom w:w="0" w:type="dxa"/>
                    <w:right w:w="57" w:type="dxa"/>
                  </w:tcMar>
                  <w:vAlign w:val="center"/>
                </w:tcPr>
                <w:p>
                  <w:pPr>
                    <w:adjustRightInd w:val="0"/>
                    <w:snapToGrid w:val="0"/>
                  </w:pPr>
                  <w:r>
                    <w:t>项目废水依托园区化粪池，排入西安市第九污水处理厂。</w:t>
                  </w:r>
                </w:p>
              </w:tc>
              <w:tc>
                <w:tcPr>
                  <w:tcW w:w="445" w:type="pct"/>
                  <w:vAlign w:val="center"/>
                </w:tcPr>
                <w:p>
                  <w:pPr>
                    <w:adjustRightInd w:val="0"/>
                    <w:snapToGrid w:val="0"/>
                    <w:jc w:val="center"/>
                  </w:pPr>
                  <w:r>
                    <w:rPr>
                      <w:rFonts w:hint="eastAsia"/>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restart"/>
                  <w:vAlign w:val="center"/>
                </w:tcPr>
                <w:p>
                  <w:pPr>
                    <w:adjustRightInd w:val="0"/>
                    <w:snapToGrid w:val="0"/>
                    <w:jc w:val="center"/>
                    <w:rPr>
                      <w:szCs w:val="21"/>
                    </w:rPr>
                  </w:pPr>
                  <w:r>
                    <w:rPr>
                      <w:szCs w:val="21"/>
                    </w:rPr>
                    <w:t>环保</w:t>
                  </w:r>
                </w:p>
                <w:p>
                  <w:pPr>
                    <w:adjustRightInd w:val="0"/>
                    <w:snapToGrid w:val="0"/>
                    <w:jc w:val="center"/>
                    <w:rPr>
                      <w:szCs w:val="21"/>
                    </w:rPr>
                  </w:pPr>
                  <w:r>
                    <w:rPr>
                      <w:szCs w:val="21"/>
                    </w:rPr>
                    <w:t>工程</w:t>
                  </w:r>
                </w:p>
              </w:tc>
              <w:tc>
                <w:tcPr>
                  <w:tcW w:w="525" w:type="pct"/>
                  <w:vAlign w:val="center"/>
                </w:tcPr>
                <w:p>
                  <w:pPr>
                    <w:adjustRightInd w:val="0"/>
                    <w:snapToGrid w:val="0"/>
                    <w:jc w:val="center"/>
                    <w:rPr>
                      <w:szCs w:val="21"/>
                    </w:rPr>
                  </w:pPr>
                  <w:r>
                    <w:rPr>
                      <w:szCs w:val="21"/>
                    </w:rPr>
                    <w:t>废气</w:t>
                  </w:r>
                </w:p>
              </w:tc>
              <w:tc>
                <w:tcPr>
                  <w:tcW w:w="3653" w:type="pct"/>
                  <w:tcMar>
                    <w:top w:w="0" w:type="dxa"/>
                    <w:left w:w="57" w:type="dxa"/>
                    <w:bottom w:w="0" w:type="dxa"/>
                    <w:right w:w="57" w:type="dxa"/>
                  </w:tcMar>
                  <w:vAlign w:val="center"/>
                </w:tcPr>
                <w:p>
                  <w:pPr>
                    <w:adjustRightInd w:val="0"/>
                    <w:snapToGrid w:val="0"/>
                  </w:pPr>
                  <w:r>
                    <w:rPr>
                      <w:lang w:bidi="ar"/>
                    </w:rPr>
                    <w:t>实验过程产生废气通过通风橱收集经1套活性炭吸附装置处理后引至楼顶排气筒（排气筒高度离地面15m）排放。</w:t>
                  </w:r>
                </w:p>
              </w:tc>
              <w:tc>
                <w:tcPr>
                  <w:tcW w:w="445" w:type="pct"/>
                  <w:vAlign w:val="center"/>
                </w:tcPr>
                <w:p>
                  <w:pPr>
                    <w:adjustRightInd w:val="0"/>
                    <w:snapToGrid w:val="0"/>
                    <w:jc w:val="center"/>
                    <w:rPr>
                      <w:lang w:bidi="ar"/>
                    </w:rPr>
                  </w:pPr>
                  <w:r>
                    <w:rPr>
                      <w:rFonts w:hint="eastAsia"/>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Align w:val="center"/>
                </w:tcPr>
                <w:p>
                  <w:pPr>
                    <w:adjustRightInd w:val="0"/>
                    <w:snapToGrid w:val="0"/>
                    <w:jc w:val="center"/>
                    <w:rPr>
                      <w:szCs w:val="21"/>
                    </w:rPr>
                  </w:pPr>
                  <w:r>
                    <w:rPr>
                      <w:szCs w:val="21"/>
                    </w:rPr>
                    <w:t>废水</w:t>
                  </w:r>
                </w:p>
              </w:tc>
              <w:tc>
                <w:tcPr>
                  <w:tcW w:w="3653" w:type="pct"/>
                  <w:tcMar>
                    <w:top w:w="0" w:type="dxa"/>
                    <w:left w:w="57" w:type="dxa"/>
                    <w:bottom w:w="0" w:type="dxa"/>
                    <w:right w:w="57" w:type="dxa"/>
                  </w:tcMar>
                  <w:vAlign w:val="center"/>
                </w:tcPr>
                <w:p>
                  <w:pPr>
                    <w:adjustRightInd w:val="0"/>
                    <w:snapToGrid w:val="0"/>
                  </w:pPr>
                  <w:r>
                    <w:rPr>
                      <w:szCs w:val="21"/>
                    </w:rPr>
                    <w:t>第2次清洗废水、第3次清洗废水</w:t>
                  </w:r>
                  <w:r>
                    <w:rPr>
                      <w:rFonts w:hint="eastAsia"/>
                      <w:szCs w:val="21"/>
                    </w:rPr>
                    <w:t>、</w:t>
                  </w:r>
                  <w:r>
                    <w:rPr>
                      <w:szCs w:val="21"/>
                    </w:rPr>
                    <w:t>润洗器具废水经中和池处理后与实验室地面清洁废水、生活污水依托园区现有化粪池处理后，经市政污水管网排入西安市第九污水处理厂</w:t>
                  </w:r>
                </w:p>
              </w:tc>
              <w:tc>
                <w:tcPr>
                  <w:tcW w:w="445" w:type="pct"/>
                  <w:vAlign w:val="center"/>
                </w:tcPr>
                <w:p>
                  <w:pPr>
                    <w:adjustRightInd w:val="0"/>
                    <w:snapToGrid w:val="0"/>
                    <w:jc w:val="center"/>
                    <w:rPr>
                      <w:szCs w:val="21"/>
                    </w:rPr>
                  </w:pPr>
                  <w:r>
                    <w:rPr>
                      <w:rFonts w:hint="eastAsia"/>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Align w:val="center"/>
                </w:tcPr>
                <w:p>
                  <w:pPr>
                    <w:adjustRightInd w:val="0"/>
                    <w:snapToGrid w:val="0"/>
                    <w:jc w:val="center"/>
                    <w:rPr>
                      <w:szCs w:val="21"/>
                    </w:rPr>
                  </w:pPr>
                  <w:r>
                    <w:rPr>
                      <w:szCs w:val="21"/>
                    </w:rPr>
                    <w:t>噪声</w:t>
                  </w:r>
                </w:p>
              </w:tc>
              <w:tc>
                <w:tcPr>
                  <w:tcW w:w="3653" w:type="pct"/>
                  <w:tcMar>
                    <w:top w:w="0" w:type="dxa"/>
                    <w:left w:w="57" w:type="dxa"/>
                    <w:bottom w:w="0" w:type="dxa"/>
                    <w:right w:w="57" w:type="dxa"/>
                  </w:tcMar>
                  <w:vAlign w:val="center"/>
                </w:tcPr>
                <w:p>
                  <w:pPr>
                    <w:adjustRightInd w:val="0"/>
                    <w:snapToGrid w:val="0"/>
                  </w:pPr>
                  <w:r>
                    <w:rPr>
                      <w:szCs w:val="21"/>
                    </w:rPr>
                    <w:t>设备噪声经隔声、减振、距离衰减后达标排放</w:t>
                  </w:r>
                  <w:r>
                    <w:t>。</w:t>
                  </w:r>
                </w:p>
              </w:tc>
              <w:tc>
                <w:tcPr>
                  <w:tcW w:w="445" w:type="pct"/>
                  <w:vAlign w:val="center"/>
                </w:tcPr>
                <w:p>
                  <w:pPr>
                    <w:adjustRightInd w:val="0"/>
                    <w:snapToGrid w:val="0"/>
                    <w:jc w:val="center"/>
                    <w:rPr>
                      <w:szCs w:val="21"/>
                    </w:rPr>
                  </w:pPr>
                  <w:r>
                    <w:rPr>
                      <w:rFonts w:hint="eastAsia"/>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Merge w:val="restart"/>
                  <w:vAlign w:val="center"/>
                </w:tcPr>
                <w:p>
                  <w:pPr>
                    <w:adjustRightInd w:val="0"/>
                    <w:snapToGrid w:val="0"/>
                    <w:jc w:val="center"/>
                    <w:rPr>
                      <w:szCs w:val="21"/>
                    </w:rPr>
                  </w:pPr>
                  <w:r>
                    <w:rPr>
                      <w:szCs w:val="21"/>
                    </w:rPr>
                    <w:t>固废</w:t>
                  </w:r>
                </w:p>
              </w:tc>
              <w:tc>
                <w:tcPr>
                  <w:tcW w:w="3653" w:type="pct"/>
                  <w:tcMar>
                    <w:top w:w="0" w:type="dxa"/>
                    <w:left w:w="57" w:type="dxa"/>
                    <w:bottom w:w="0" w:type="dxa"/>
                    <w:right w:w="57" w:type="dxa"/>
                  </w:tcMar>
                  <w:vAlign w:val="center"/>
                </w:tcPr>
                <w:p>
                  <w:pPr>
                    <w:widowControl/>
                    <w:jc w:val="left"/>
                  </w:pPr>
                  <w:r>
                    <w:t>一般固废：废包装材料外售综合利用</w:t>
                  </w:r>
                </w:p>
              </w:tc>
              <w:tc>
                <w:tcPr>
                  <w:tcW w:w="445" w:type="pct"/>
                  <w:vAlign w:val="center"/>
                </w:tcPr>
                <w:p>
                  <w:pPr>
                    <w:widowControl/>
                    <w:jc w:val="center"/>
                  </w:pPr>
                  <w:r>
                    <w:rPr>
                      <w:rFonts w:hint="eastAsia"/>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Merge w:val="continue"/>
                  <w:vAlign w:val="center"/>
                </w:tcPr>
                <w:p>
                  <w:pPr>
                    <w:adjustRightInd w:val="0"/>
                    <w:snapToGrid w:val="0"/>
                    <w:jc w:val="center"/>
                    <w:rPr>
                      <w:szCs w:val="21"/>
                    </w:rPr>
                  </w:pPr>
                </w:p>
              </w:tc>
              <w:tc>
                <w:tcPr>
                  <w:tcW w:w="3653" w:type="pct"/>
                  <w:tcMar>
                    <w:top w:w="0" w:type="dxa"/>
                    <w:left w:w="57" w:type="dxa"/>
                    <w:bottom w:w="0" w:type="dxa"/>
                    <w:right w:w="57" w:type="dxa"/>
                  </w:tcMar>
                  <w:vAlign w:val="center"/>
                </w:tcPr>
                <w:p>
                  <w:pPr>
                    <w:adjustRightInd w:val="0"/>
                    <w:snapToGrid w:val="0"/>
                  </w:pPr>
                  <w:r>
                    <w:t>危险废物：</w:t>
                  </w:r>
                  <w:r>
                    <w:rPr>
                      <w:szCs w:val="21"/>
                    </w:rPr>
                    <w:t>实验过程产生的实验废液、废试剂瓶、废手套、废气处理产生的废活性炭等危险废物统一收集于危废贮存库，定期交有资质单位处置</w:t>
                  </w:r>
                </w:p>
              </w:tc>
              <w:tc>
                <w:tcPr>
                  <w:tcW w:w="445" w:type="pct"/>
                  <w:vAlign w:val="center"/>
                </w:tcPr>
                <w:p>
                  <w:pPr>
                    <w:adjustRightInd w:val="0"/>
                    <w:snapToGrid w:val="0"/>
                    <w:jc w:val="center"/>
                  </w:pPr>
                  <w:r>
                    <w:rPr>
                      <w:rFonts w:hint="eastAsia"/>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76" w:type="pct"/>
                  <w:vMerge w:val="continue"/>
                  <w:vAlign w:val="center"/>
                </w:tcPr>
                <w:p>
                  <w:pPr>
                    <w:adjustRightInd w:val="0"/>
                    <w:snapToGrid w:val="0"/>
                    <w:jc w:val="center"/>
                    <w:rPr>
                      <w:szCs w:val="21"/>
                    </w:rPr>
                  </w:pPr>
                </w:p>
              </w:tc>
              <w:tc>
                <w:tcPr>
                  <w:tcW w:w="525" w:type="pct"/>
                  <w:vMerge w:val="continue"/>
                  <w:vAlign w:val="center"/>
                </w:tcPr>
                <w:p>
                  <w:pPr>
                    <w:adjustRightInd w:val="0"/>
                    <w:snapToGrid w:val="0"/>
                    <w:jc w:val="center"/>
                    <w:rPr>
                      <w:szCs w:val="21"/>
                    </w:rPr>
                  </w:pPr>
                </w:p>
              </w:tc>
              <w:tc>
                <w:tcPr>
                  <w:tcW w:w="3653" w:type="pct"/>
                  <w:tcMar>
                    <w:top w:w="0" w:type="dxa"/>
                    <w:left w:w="57" w:type="dxa"/>
                    <w:bottom w:w="0" w:type="dxa"/>
                    <w:right w:w="57" w:type="dxa"/>
                  </w:tcMar>
                  <w:vAlign w:val="center"/>
                </w:tcPr>
                <w:p>
                  <w:pPr>
                    <w:adjustRightInd w:val="0"/>
                    <w:snapToGrid w:val="0"/>
                  </w:pPr>
                  <w:r>
                    <w:t>生活垃圾：由带盖垃圾桶分类收集后，定期委托环卫部门清运。</w:t>
                  </w:r>
                </w:p>
              </w:tc>
              <w:tc>
                <w:tcPr>
                  <w:tcW w:w="445" w:type="pct"/>
                  <w:vAlign w:val="center"/>
                </w:tcPr>
                <w:p>
                  <w:pPr>
                    <w:adjustRightInd w:val="0"/>
                    <w:snapToGrid w:val="0"/>
                    <w:jc w:val="center"/>
                  </w:pPr>
                  <w:r>
                    <w:rPr>
                      <w:rFonts w:hint="eastAsia"/>
                      <w:lang w:bidi="ar"/>
                    </w:rPr>
                    <w:t>新建</w:t>
                  </w:r>
                </w:p>
              </w:tc>
            </w:tr>
          </w:tbl>
          <w:p>
            <w:pPr>
              <w:spacing w:line="360" w:lineRule="auto"/>
              <w:ind w:firstLine="482" w:firstLineChars="200"/>
              <w:rPr>
                <w:rFonts w:eastAsia="黑体"/>
                <w:b/>
                <w:bCs/>
                <w:sz w:val="24"/>
              </w:rPr>
            </w:pPr>
            <w:r>
              <w:rPr>
                <w:b/>
                <w:bCs/>
                <w:sz w:val="24"/>
              </w:rPr>
              <w:t>三、实验研究种类和数量一览表</w:t>
            </w:r>
          </w:p>
          <w:p>
            <w:pPr>
              <w:autoSpaceDE w:val="0"/>
              <w:autoSpaceDN w:val="0"/>
              <w:spacing w:line="360" w:lineRule="auto"/>
              <w:ind w:firstLine="480" w:firstLineChars="200"/>
              <w:jc w:val="left"/>
              <w:textAlignment w:val="baseline"/>
              <w:rPr>
                <w:sz w:val="24"/>
              </w:rPr>
            </w:pPr>
            <w:r>
              <w:rPr>
                <w:sz w:val="24"/>
              </w:rPr>
              <w:t>本项目主要为荧光染料、官能化单分散聚乙二醇、生物正交-荧光染料等数余种生物医药标准品、对照品的研发。</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表2-2  本项目研发种类和数量一览表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3803"/>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tcBorders>
                    <w:tl2br w:val="nil"/>
                    <w:tr2bl w:val="nil"/>
                  </w:tcBorders>
                  <w:vAlign w:val="center"/>
                </w:tcPr>
                <w:p>
                  <w:pPr>
                    <w:widowControl/>
                    <w:spacing w:line="243" w:lineRule="auto"/>
                    <w:jc w:val="center"/>
                    <w:textAlignment w:val="center"/>
                    <w:rPr>
                      <w:szCs w:val="21"/>
                    </w:rPr>
                  </w:pPr>
                  <w:r>
                    <w:rPr>
                      <w:szCs w:val="21"/>
                    </w:rPr>
                    <w:t>序号</w:t>
                  </w:r>
                </w:p>
              </w:tc>
              <w:tc>
                <w:tcPr>
                  <w:tcW w:w="2331" w:type="pct"/>
                  <w:tcBorders>
                    <w:tl2br w:val="nil"/>
                    <w:tr2bl w:val="nil"/>
                  </w:tcBorders>
                  <w:vAlign w:val="center"/>
                </w:tcPr>
                <w:p>
                  <w:pPr>
                    <w:widowControl/>
                    <w:spacing w:line="243" w:lineRule="auto"/>
                    <w:jc w:val="center"/>
                    <w:textAlignment w:val="center"/>
                    <w:rPr>
                      <w:szCs w:val="21"/>
                    </w:rPr>
                  </w:pPr>
                  <w:r>
                    <w:rPr>
                      <w:szCs w:val="21"/>
                    </w:rPr>
                    <w:t>名称种类</w:t>
                  </w:r>
                </w:p>
              </w:tc>
              <w:tc>
                <w:tcPr>
                  <w:tcW w:w="1665" w:type="pct"/>
                  <w:tcBorders>
                    <w:tl2br w:val="nil"/>
                    <w:tr2bl w:val="nil"/>
                  </w:tcBorders>
                  <w:vAlign w:val="center"/>
                </w:tcPr>
                <w:p>
                  <w:pPr>
                    <w:widowControl/>
                    <w:spacing w:line="243" w:lineRule="auto"/>
                    <w:jc w:val="center"/>
                    <w:textAlignment w:val="center"/>
                    <w:rPr>
                      <w:szCs w:val="21"/>
                    </w:rPr>
                  </w:pPr>
                  <w:r>
                    <w:rPr>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tcBorders>
                    <w:tl2br w:val="nil"/>
                    <w:tr2bl w:val="nil"/>
                  </w:tcBorders>
                  <w:vAlign w:val="center"/>
                </w:tcPr>
                <w:p>
                  <w:pPr>
                    <w:widowControl/>
                    <w:spacing w:line="243" w:lineRule="auto"/>
                    <w:jc w:val="center"/>
                    <w:textAlignment w:val="center"/>
                    <w:rPr>
                      <w:szCs w:val="21"/>
                    </w:rPr>
                  </w:pPr>
                  <w:r>
                    <w:rPr>
                      <w:szCs w:val="21"/>
                    </w:rPr>
                    <w:t>1</w:t>
                  </w:r>
                </w:p>
              </w:tc>
              <w:tc>
                <w:tcPr>
                  <w:tcW w:w="2331" w:type="pct"/>
                  <w:tcBorders>
                    <w:tl2br w:val="nil"/>
                    <w:tr2bl w:val="nil"/>
                  </w:tcBorders>
                  <w:vAlign w:val="center"/>
                </w:tcPr>
                <w:p>
                  <w:pPr>
                    <w:widowControl/>
                    <w:spacing w:line="243" w:lineRule="auto"/>
                    <w:jc w:val="center"/>
                    <w:textAlignment w:val="center"/>
                    <w:rPr>
                      <w:szCs w:val="21"/>
                    </w:rPr>
                  </w:pPr>
                  <w:r>
                    <w:rPr>
                      <w:szCs w:val="21"/>
                    </w:rPr>
                    <w:t>荧光染料</w:t>
                  </w:r>
                </w:p>
              </w:tc>
              <w:tc>
                <w:tcPr>
                  <w:tcW w:w="2649" w:type="dxa"/>
                  <w:tcBorders>
                    <w:tl2br w:val="nil"/>
                    <w:tr2bl w:val="nil"/>
                  </w:tcBorders>
                  <w:vAlign w:val="center"/>
                </w:tcPr>
                <w:p>
                  <w:pPr>
                    <w:widowControl/>
                    <w:spacing w:line="243" w:lineRule="auto"/>
                    <w:jc w:val="center"/>
                    <w:textAlignment w:val="center"/>
                    <w:rPr>
                      <w:szCs w:val="21"/>
                    </w:rPr>
                  </w:pPr>
                  <w:r>
                    <w:rPr>
                      <w:szCs w:val="21"/>
                    </w:rPr>
                    <w:t>1-10g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tcBorders>
                    <w:tl2br w:val="nil"/>
                    <w:tr2bl w:val="nil"/>
                  </w:tcBorders>
                  <w:vAlign w:val="center"/>
                </w:tcPr>
                <w:p>
                  <w:pPr>
                    <w:widowControl/>
                    <w:spacing w:line="243" w:lineRule="auto"/>
                    <w:jc w:val="center"/>
                    <w:textAlignment w:val="center"/>
                    <w:rPr>
                      <w:szCs w:val="21"/>
                    </w:rPr>
                  </w:pPr>
                  <w:r>
                    <w:rPr>
                      <w:szCs w:val="21"/>
                    </w:rPr>
                    <w:t>2</w:t>
                  </w:r>
                </w:p>
              </w:tc>
              <w:tc>
                <w:tcPr>
                  <w:tcW w:w="2331" w:type="pct"/>
                  <w:tcBorders>
                    <w:tl2br w:val="nil"/>
                    <w:tr2bl w:val="nil"/>
                  </w:tcBorders>
                  <w:vAlign w:val="center"/>
                </w:tcPr>
                <w:p>
                  <w:pPr>
                    <w:widowControl/>
                    <w:spacing w:line="243" w:lineRule="auto"/>
                    <w:jc w:val="center"/>
                    <w:textAlignment w:val="center"/>
                    <w:rPr>
                      <w:szCs w:val="21"/>
                    </w:rPr>
                  </w:pPr>
                  <w:r>
                    <w:rPr>
                      <w:szCs w:val="21"/>
                    </w:rPr>
                    <w:t>官能化单分散聚乙二醇</w:t>
                  </w:r>
                </w:p>
              </w:tc>
              <w:tc>
                <w:tcPr>
                  <w:tcW w:w="2649" w:type="dxa"/>
                  <w:tcBorders>
                    <w:tl2br w:val="nil"/>
                    <w:tr2bl w:val="nil"/>
                  </w:tcBorders>
                  <w:vAlign w:val="center"/>
                </w:tcPr>
                <w:p>
                  <w:pPr>
                    <w:widowControl/>
                    <w:spacing w:line="243" w:lineRule="auto"/>
                    <w:jc w:val="center"/>
                    <w:textAlignment w:val="center"/>
                    <w:rPr>
                      <w:szCs w:val="21"/>
                    </w:rPr>
                  </w:pPr>
                  <w:r>
                    <w:rPr>
                      <w:szCs w:val="21"/>
                    </w:rPr>
                    <w:t>1-500g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tcBorders>
                    <w:tl2br w:val="nil"/>
                    <w:tr2bl w:val="nil"/>
                  </w:tcBorders>
                  <w:vAlign w:val="center"/>
                </w:tcPr>
                <w:p>
                  <w:pPr>
                    <w:widowControl/>
                    <w:spacing w:line="243" w:lineRule="auto"/>
                    <w:jc w:val="center"/>
                    <w:textAlignment w:val="center"/>
                    <w:rPr>
                      <w:szCs w:val="21"/>
                    </w:rPr>
                  </w:pPr>
                  <w:r>
                    <w:rPr>
                      <w:szCs w:val="21"/>
                    </w:rPr>
                    <w:t>3</w:t>
                  </w:r>
                </w:p>
              </w:tc>
              <w:tc>
                <w:tcPr>
                  <w:tcW w:w="2331" w:type="pct"/>
                  <w:tcBorders>
                    <w:tl2br w:val="nil"/>
                    <w:tr2bl w:val="nil"/>
                  </w:tcBorders>
                  <w:vAlign w:val="center"/>
                </w:tcPr>
                <w:p>
                  <w:pPr>
                    <w:widowControl/>
                    <w:spacing w:line="243" w:lineRule="auto"/>
                    <w:jc w:val="center"/>
                    <w:textAlignment w:val="center"/>
                    <w:rPr>
                      <w:szCs w:val="21"/>
                    </w:rPr>
                  </w:pPr>
                  <w:r>
                    <w:rPr>
                      <w:szCs w:val="21"/>
                    </w:rPr>
                    <w:t>生物正交-荧光染料</w:t>
                  </w:r>
                </w:p>
              </w:tc>
              <w:tc>
                <w:tcPr>
                  <w:tcW w:w="1665" w:type="pct"/>
                  <w:tcBorders>
                    <w:tl2br w:val="nil"/>
                    <w:tr2bl w:val="nil"/>
                  </w:tcBorders>
                  <w:vAlign w:val="center"/>
                </w:tcPr>
                <w:p>
                  <w:pPr>
                    <w:widowControl/>
                    <w:spacing w:line="243" w:lineRule="auto"/>
                    <w:jc w:val="center"/>
                    <w:textAlignment w:val="center"/>
                    <w:rPr>
                      <w:szCs w:val="21"/>
                    </w:rPr>
                  </w:pPr>
                  <w:r>
                    <w:rPr>
                      <w:szCs w:val="21"/>
                    </w:rPr>
                    <w:t>1-10g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tcBorders>
                    <w:tl2br w:val="nil"/>
                    <w:tr2bl w:val="nil"/>
                  </w:tcBorders>
                  <w:vAlign w:val="center"/>
                </w:tcPr>
                <w:p>
                  <w:pPr>
                    <w:widowControl/>
                    <w:spacing w:line="243" w:lineRule="auto"/>
                    <w:jc w:val="center"/>
                    <w:textAlignment w:val="center"/>
                    <w:rPr>
                      <w:szCs w:val="21"/>
                    </w:rPr>
                  </w:pPr>
                  <w:r>
                    <w:rPr>
                      <w:szCs w:val="21"/>
                    </w:rPr>
                    <w:t>4</w:t>
                  </w:r>
                </w:p>
              </w:tc>
              <w:tc>
                <w:tcPr>
                  <w:tcW w:w="2331" w:type="pct"/>
                  <w:tcBorders>
                    <w:tl2br w:val="nil"/>
                    <w:tr2bl w:val="nil"/>
                  </w:tcBorders>
                  <w:vAlign w:val="center"/>
                </w:tcPr>
                <w:p>
                  <w:pPr>
                    <w:widowControl/>
                    <w:spacing w:line="243" w:lineRule="auto"/>
                    <w:jc w:val="center"/>
                    <w:textAlignment w:val="center"/>
                    <w:rPr>
                      <w:szCs w:val="21"/>
                    </w:rPr>
                  </w:pPr>
                  <w:r>
                    <w:rPr>
                      <w:szCs w:val="21"/>
                    </w:rPr>
                    <w:t>生物正交-生物素</w:t>
                  </w:r>
                </w:p>
              </w:tc>
              <w:tc>
                <w:tcPr>
                  <w:tcW w:w="1665" w:type="pct"/>
                  <w:tcBorders>
                    <w:tl2br w:val="nil"/>
                    <w:tr2bl w:val="nil"/>
                  </w:tcBorders>
                  <w:vAlign w:val="center"/>
                </w:tcPr>
                <w:p>
                  <w:pPr>
                    <w:widowControl/>
                    <w:spacing w:line="243" w:lineRule="auto"/>
                    <w:jc w:val="center"/>
                    <w:textAlignment w:val="center"/>
                    <w:rPr>
                      <w:szCs w:val="21"/>
                    </w:rPr>
                  </w:pPr>
                  <w:r>
                    <w:rPr>
                      <w:szCs w:val="21"/>
                    </w:rPr>
                    <w:t>1-10g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tcBorders>
                    <w:tl2br w:val="nil"/>
                    <w:tr2bl w:val="nil"/>
                  </w:tcBorders>
                  <w:vAlign w:val="center"/>
                </w:tcPr>
                <w:p>
                  <w:pPr>
                    <w:widowControl/>
                    <w:spacing w:line="243" w:lineRule="auto"/>
                    <w:jc w:val="center"/>
                    <w:textAlignment w:val="center"/>
                    <w:rPr>
                      <w:szCs w:val="21"/>
                    </w:rPr>
                  </w:pPr>
                  <w:r>
                    <w:rPr>
                      <w:szCs w:val="21"/>
                    </w:rPr>
                    <w:t>5</w:t>
                  </w:r>
                </w:p>
              </w:tc>
              <w:tc>
                <w:tcPr>
                  <w:tcW w:w="2331" w:type="pct"/>
                  <w:tcBorders>
                    <w:tl2br w:val="nil"/>
                    <w:tr2bl w:val="nil"/>
                  </w:tcBorders>
                  <w:vAlign w:val="center"/>
                </w:tcPr>
                <w:p>
                  <w:pPr>
                    <w:widowControl/>
                    <w:spacing w:line="243" w:lineRule="auto"/>
                    <w:jc w:val="center"/>
                    <w:textAlignment w:val="center"/>
                    <w:rPr>
                      <w:szCs w:val="21"/>
                    </w:rPr>
                  </w:pPr>
                  <w:r>
                    <w:rPr>
                      <w:szCs w:val="21"/>
                    </w:rPr>
                    <w:t>生物正交-PEG</w:t>
                  </w:r>
                </w:p>
              </w:tc>
              <w:tc>
                <w:tcPr>
                  <w:tcW w:w="1665" w:type="pct"/>
                  <w:tcBorders>
                    <w:tl2br w:val="nil"/>
                    <w:tr2bl w:val="nil"/>
                  </w:tcBorders>
                  <w:vAlign w:val="center"/>
                </w:tcPr>
                <w:p>
                  <w:pPr>
                    <w:widowControl/>
                    <w:spacing w:line="243" w:lineRule="auto"/>
                    <w:jc w:val="center"/>
                    <w:textAlignment w:val="center"/>
                    <w:rPr>
                      <w:szCs w:val="21"/>
                    </w:rPr>
                  </w:pPr>
                  <w:r>
                    <w:rPr>
                      <w:szCs w:val="21"/>
                    </w:rPr>
                    <w:t>1-10g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tcBorders>
                    <w:tl2br w:val="nil"/>
                    <w:tr2bl w:val="nil"/>
                  </w:tcBorders>
                  <w:vAlign w:val="center"/>
                </w:tcPr>
                <w:p>
                  <w:pPr>
                    <w:widowControl/>
                    <w:spacing w:line="243" w:lineRule="auto"/>
                    <w:jc w:val="center"/>
                    <w:textAlignment w:val="center"/>
                    <w:rPr>
                      <w:szCs w:val="21"/>
                    </w:rPr>
                  </w:pPr>
                  <w:r>
                    <w:rPr>
                      <w:szCs w:val="21"/>
                    </w:rPr>
                    <w:t>6</w:t>
                  </w:r>
                </w:p>
              </w:tc>
              <w:tc>
                <w:tcPr>
                  <w:tcW w:w="2331" w:type="pct"/>
                  <w:tcBorders>
                    <w:tl2br w:val="nil"/>
                    <w:tr2bl w:val="nil"/>
                  </w:tcBorders>
                  <w:vAlign w:val="center"/>
                </w:tcPr>
                <w:p>
                  <w:pPr>
                    <w:widowControl/>
                    <w:spacing w:line="243" w:lineRule="auto"/>
                    <w:jc w:val="center"/>
                    <w:textAlignment w:val="center"/>
                    <w:rPr>
                      <w:szCs w:val="21"/>
                    </w:rPr>
                  </w:pPr>
                  <w:r>
                    <w:rPr>
                      <w:szCs w:val="21"/>
                    </w:rPr>
                    <w:t>生物正交-生化小分子</w:t>
                  </w:r>
                </w:p>
              </w:tc>
              <w:tc>
                <w:tcPr>
                  <w:tcW w:w="1665" w:type="pct"/>
                  <w:tcBorders>
                    <w:tl2br w:val="nil"/>
                    <w:tr2bl w:val="nil"/>
                  </w:tcBorders>
                  <w:vAlign w:val="center"/>
                </w:tcPr>
                <w:p>
                  <w:pPr>
                    <w:widowControl/>
                    <w:spacing w:line="243" w:lineRule="auto"/>
                    <w:jc w:val="center"/>
                    <w:textAlignment w:val="center"/>
                    <w:rPr>
                      <w:szCs w:val="21"/>
                    </w:rPr>
                  </w:pPr>
                  <w:r>
                    <w:rPr>
                      <w:szCs w:val="21"/>
                    </w:rPr>
                    <w:t>100-500g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tcBorders>
                    <w:tl2br w:val="nil"/>
                    <w:tr2bl w:val="nil"/>
                  </w:tcBorders>
                  <w:vAlign w:val="center"/>
                </w:tcPr>
                <w:p>
                  <w:pPr>
                    <w:widowControl/>
                    <w:spacing w:line="243" w:lineRule="auto"/>
                    <w:jc w:val="center"/>
                    <w:textAlignment w:val="center"/>
                    <w:rPr>
                      <w:szCs w:val="21"/>
                    </w:rPr>
                  </w:pPr>
                  <w:r>
                    <w:rPr>
                      <w:szCs w:val="21"/>
                    </w:rPr>
                    <w:t>7</w:t>
                  </w:r>
                </w:p>
              </w:tc>
              <w:tc>
                <w:tcPr>
                  <w:tcW w:w="2331" w:type="pct"/>
                  <w:tcBorders>
                    <w:tl2br w:val="nil"/>
                    <w:tr2bl w:val="nil"/>
                  </w:tcBorders>
                  <w:vAlign w:val="center"/>
                </w:tcPr>
                <w:p>
                  <w:pPr>
                    <w:widowControl/>
                    <w:spacing w:line="243" w:lineRule="auto"/>
                    <w:jc w:val="center"/>
                    <w:textAlignment w:val="center"/>
                    <w:rPr>
                      <w:szCs w:val="21"/>
                    </w:rPr>
                  </w:pPr>
                  <w:r>
                    <w:rPr>
                      <w:szCs w:val="21"/>
                    </w:rPr>
                    <w:t>生物正交-蛋白交联剂</w:t>
                  </w:r>
                </w:p>
              </w:tc>
              <w:tc>
                <w:tcPr>
                  <w:tcW w:w="1665" w:type="pct"/>
                  <w:tcBorders>
                    <w:tl2br w:val="nil"/>
                    <w:tr2bl w:val="nil"/>
                  </w:tcBorders>
                  <w:vAlign w:val="center"/>
                </w:tcPr>
                <w:p>
                  <w:pPr>
                    <w:widowControl/>
                    <w:spacing w:line="243" w:lineRule="auto"/>
                    <w:jc w:val="center"/>
                    <w:textAlignment w:val="center"/>
                    <w:rPr>
                      <w:szCs w:val="21"/>
                    </w:rPr>
                  </w:pPr>
                  <w:r>
                    <w:rPr>
                      <w:szCs w:val="21"/>
                    </w:rPr>
                    <w:t>100-500g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tcBorders>
                    <w:tl2br w:val="nil"/>
                    <w:tr2bl w:val="nil"/>
                  </w:tcBorders>
                  <w:vAlign w:val="center"/>
                </w:tcPr>
                <w:p>
                  <w:pPr>
                    <w:widowControl/>
                    <w:spacing w:line="243" w:lineRule="auto"/>
                    <w:jc w:val="center"/>
                    <w:textAlignment w:val="center"/>
                    <w:rPr>
                      <w:szCs w:val="21"/>
                    </w:rPr>
                  </w:pPr>
                  <w:r>
                    <w:rPr>
                      <w:szCs w:val="21"/>
                    </w:rPr>
                    <w:t>8</w:t>
                  </w:r>
                </w:p>
              </w:tc>
              <w:tc>
                <w:tcPr>
                  <w:tcW w:w="2331" w:type="pct"/>
                  <w:tcBorders>
                    <w:tl2br w:val="nil"/>
                    <w:tr2bl w:val="nil"/>
                  </w:tcBorders>
                  <w:vAlign w:val="center"/>
                </w:tcPr>
                <w:p>
                  <w:pPr>
                    <w:widowControl/>
                    <w:spacing w:line="243" w:lineRule="auto"/>
                    <w:jc w:val="center"/>
                    <w:textAlignment w:val="center"/>
                    <w:rPr>
                      <w:szCs w:val="21"/>
                    </w:rPr>
                  </w:pPr>
                  <w:r>
                    <w:rPr>
                      <w:szCs w:val="21"/>
                    </w:rPr>
                    <w:t>生物正交-双功能螯合剂</w:t>
                  </w:r>
                </w:p>
              </w:tc>
              <w:tc>
                <w:tcPr>
                  <w:tcW w:w="1665" w:type="pct"/>
                  <w:tcBorders>
                    <w:tl2br w:val="nil"/>
                    <w:tr2bl w:val="nil"/>
                  </w:tcBorders>
                  <w:vAlign w:val="center"/>
                </w:tcPr>
                <w:p>
                  <w:pPr>
                    <w:widowControl/>
                    <w:spacing w:line="243" w:lineRule="auto"/>
                    <w:jc w:val="center"/>
                    <w:textAlignment w:val="center"/>
                    <w:rPr>
                      <w:szCs w:val="21"/>
                    </w:rPr>
                  </w:pPr>
                  <w:r>
                    <w:rPr>
                      <w:szCs w:val="21"/>
                    </w:rPr>
                    <w:t>100-500g</w:t>
                  </w:r>
                </w:p>
              </w:tc>
            </w:tr>
          </w:tbl>
          <w:p>
            <w:pPr>
              <w:adjustRightInd w:val="0"/>
              <w:snapToGrid w:val="0"/>
              <w:spacing w:line="360" w:lineRule="auto"/>
              <w:ind w:firstLine="482" w:firstLineChars="200"/>
              <w:rPr>
                <w:b/>
                <w:bCs/>
                <w:sz w:val="24"/>
              </w:rPr>
            </w:pPr>
            <w:r>
              <w:rPr>
                <w:b/>
                <w:bCs/>
                <w:sz w:val="24"/>
              </w:rPr>
              <w:t>四、主要原辅料</w:t>
            </w:r>
          </w:p>
          <w:p>
            <w:pPr>
              <w:widowControl/>
              <w:spacing w:line="360" w:lineRule="auto"/>
              <w:ind w:firstLine="480" w:firstLineChars="200"/>
              <w:jc w:val="left"/>
              <w:rPr>
                <w:sz w:val="24"/>
              </w:rPr>
            </w:pPr>
            <w:r>
              <w:rPr>
                <w:kern w:val="0"/>
                <w:sz w:val="24"/>
                <w:lang w:bidi="ar"/>
              </w:rPr>
              <w:t>本项目运营期主要原辅材料消耗情况见表2-3</w:t>
            </w:r>
            <w:r>
              <w:rPr>
                <w:sz w:val="24"/>
              </w:rPr>
              <w:t>。</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表2-3  项目主要原辅材料消耗情况一览表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592"/>
              <w:gridCol w:w="884"/>
              <w:gridCol w:w="1246"/>
              <w:gridCol w:w="1046"/>
              <w:gridCol w:w="1664"/>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序号</w:t>
                  </w:r>
                </w:p>
              </w:tc>
              <w:tc>
                <w:tcPr>
                  <w:tcW w:w="976" w:type="pct"/>
                  <w:vAlign w:val="center"/>
                </w:tcPr>
                <w:p>
                  <w:pPr>
                    <w:adjustRightInd w:val="0"/>
                    <w:snapToGrid w:val="0"/>
                    <w:jc w:val="center"/>
                    <w:rPr>
                      <w:szCs w:val="21"/>
                    </w:rPr>
                  </w:pPr>
                  <w:r>
                    <w:rPr>
                      <w:szCs w:val="21"/>
                    </w:rPr>
                    <w:t>名称</w:t>
                  </w:r>
                </w:p>
              </w:tc>
              <w:tc>
                <w:tcPr>
                  <w:tcW w:w="542" w:type="pct"/>
                  <w:vAlign w:val="center"/>
                </w:tcPr>
                <w:p>
                  <w:pPr>
                    <w:adjustRightInd w:val="0"/>
                    <w:snapToGrid w:val="0"/>
                    <w:jc w:val="center"/>
                    <w:rPr>
                      <w:szCs w:val="21"/>
                    </w:rPr>
                  </w:pPr>
                  <w:r>
                    <w:rPr>
                      <w:szCs w:val="21"/>
                    </w:rPr>
                    <w:t>年用量</w:t>
                  </w:r>
                </w:p>
              </w:tc>
              <w:tc>
                <w:tcPr>
                  <w:tcW w:w="764" w:type="pct"/>
                  <w:vAlign w:val="center"/>
                </w:tcPr>
                <w:p>
                  <w:pPr>
                    <w:adjustRightInd w:val="0"/>
                    <w:snapToGrid w:val="0"/>
                    <w:jc w:val="center"/>
                    <w:rPr>
                      <w:szCs w:val="21"/>
                    </w:rPr>
                  </w:pPr>
                  <w:r>
                    <w:rPr>
                      <w:szCs w:val="21"/>
                    </w:rPr>
                    <w:t>最大暂存量</w:t>
                  </w:r>
                </w:p>
              </w:tc>
              <w:tc>
                <w:tcPr>
                  <w:tcW w:w="641" w:type="pct"/>
                  <w:vAlign w:val="center"/>
                </w:tcPr>
                <w:p>
                  <w:pPr>
                    <w:widowControl/>
                    <w:jc w:val="center"/>
                    <w:textAlignment w:val="center"/>
                    <w:rPr>
                      <w:kern w:val="0"/>
                      <w:szCs w:val="21"/>
                      <w:lang w:bidi="ar"/>
                    </w:rPr>
                  </w:pPr>
                  <w:r>
                    <w:rPr>
                      <w:kern w:val="0"/>
                      <w:szCs w:val="21"/>
                      <w:lang w:bidi="ar"/>
                    </w:rPr>
                    <w:t>密度（g/ml）</w:t>
                  </w:r>
                </w:p>
              </w:tc>
              <w:tc>
                <w:tcPr>
                  <w:tcW w:w="1020" w:type="pct"/>
                  <w:vAlign w:val="center"/>
                </w:tcPr>
                <w:p>
                  <w:pPr>
                    <w:widowControl/>
                    <w:jc w:val="center"/>
                    <w:textAlignment w:val="center"/>
                    <w:rPr>
                      <w:kern w:val="0"/>
                      <w:szCs w:val="21"/>
                      <w:lang w:bidi="ar"/>
                    </w:rPr>
                  </w:pPr>
                  <w:r>
                    <w:rPr>
                      <w:kern w:val="0"/>
                      <w:szCs w:val="21"/>
                      <w:lang w:bidi="ar"/>
                    </w:rPr>
                    <w:t>储存方式及规格</w:t>
                  </w:r>
                </w:p>
              </w:tc>
              <w:tc>
                <w:tcPr>
                  <w:tcW w:w="639" w:type="pct"/>
                  <w:vAlign w:val="center"/>
                </w:tcPr>
                <w:p>
                  <w:pPr>
                    <w:widowControl/>
                    <w:jc w:val="center"/>
                    <w:textAlignment w:val="center"/>
                    <w:rPr>
                      <w:kern w:val="0"/>
                      <w:szCs w:val="21"/>
                      <w:lang w:bidi="ar"/>
                    </w:rPr>
                  </w:pPr>
                  <w:r>
                    <w:rPr>
                      <w:kern w:val="0"/>
                      <w:szCs w:val="21"/>
                      <w:lang w:bidi="ar"/>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w:t>
                  </w:r>
                </w:p>
              </w:tc>
              <w:tc>
                <w:tcPr>
                  <w:tcW w:w="976" w:type="pct"/>
                  <w:vAlign w:val="center"/>
                </w:tcPr>
                <w:p>
                  <w:pPr>
                    <w:adjustRightInd w:val="0"/>
                    <w:snapToGrid w:val="0"/>
                    <w:jc w:val="center"/>
                    <w:rPr>
                      <w:szCs w:val="21"/>
                    </w:rPr>
                  </w:pPr>
                  <w:r>
                    <w:rPr>
                      <w:szCs w:val="21"/>
                    </w:rPr>
                    <w:t>石油醚</w:t>
                  </w:r>
                </w:p>
              </w:tc>
              <w:tc>
                <w:tcPr>
                  <w:tcW w:w="542" w:type="pct"/>
                  <w:vAlign w:val="center"/>
                </w:tcPr>
                <w:p>
                  <w:pPr>
                    <w:adjustRightInd w:val="0"/>
                    <w:snapToGrid w:val="0"/>
                    <w:jc w:val="center"/>
                    <w:rPr>
                      <w:szCs w:val="21"/>
                    </w:rPr>
                  </w:pPr>
                  <w:r>
                    <w:rPr>
                      <w:szCs w:val="21"/>
                    </w:rPr>
                    <w:t>1000L</w:t>
                  </w:r>
                </w:p>
              </w:tc>
              <w:tc>
                <w:tcPr>
                  <w:tcW w:w="764" w:type="pct"/>
                  <w:vAlign w:val="center"/>
                </w:tcPr>
                <w:p>
                  <w:pPr>
                    <w:adjustRightInd w:val="0"/>
                    <w:snapToGrid w:val="0"/>
                    <w:jc w:val="center"/>
                    <w:rPr>
                      <w:szCs w:val="21"/>
                    </w:rPr>
                  </w:pPr>
                  <w:r>
                    <w:rPr>
                      <w:szCs w:val="21"/>
                    </w:rPr>
                    <w:t>50L</w:t>
                  </w:r>
                </w:p>
              </w:tc>
              <w:tc>
                <w:tcPr>
                  <w:tcW w:w="641" w:type="pct"/>
                  <w:vAlign w:val="center"/>
                </w:tcPr>
                <w:p>
                  <w:pPr>
                    <w:widowControl/>
                    <w:jc w:val="center"/>
                    <w:textAlignment w:val="center"/>
                    <w:rPr>
                      <w:kern w:val="0"/>
                      <w:szCs w:val="21"/>
                      <w:lang w:bidi="ar"/>
                    </w:rPr>
                  </w:pPr>
                  <w:r>
                    <w:rPr>
                      <w:kern w:val="0"/>
                      <w:szCs w:val="21"/>
                      <w:lang w:bidi="ar"/>
                    </w:rPr>
                    <w:t>0.66</w:t>
                  </w:r>
                </w:p>
              </w:tc>
              <w:tc>
                <w:tcPr>
                  <w:tcW w:w="1020" w:type="pct"/>
                  <w:vAlign w:val="center"/>
                </w:tcPr>
                <w:p>
                  <w:pPr>
                    <w:widowControl/>
                    <w:jc w:val="center"/>
                    <w:textAlignment w:val="center"/>
                    <w:rPr>
                      <w:kern w:val="0"/>
                      <w:szCs w:val="21"/>
                      <w:lang w:bidi="ar"/>
                    </w:rPr>
                  </w:pPr>
                  <w:r>
                    <w:rPr>
                      <w:kern w:val="0"/>
                      <w:szCs w:val="21"/>
                      <w:lang w:bidi="ar"/>
                    </w:rPr>
                    <w:t>桶装（25L）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2</w:t>
                  </w:r>
                </w:p>
              </w:tc>
              <w:tc>
                <w:tcPr>
                  <w:tcW w:w="976" w:type="pct"/>
                  <w:vAlign w:val="center"/>
                </w:tcPr>
                <w:p>
                  <w:pPr>
                    <w:adjustRightInd w:val="0"/>
                    <w:snapToGrid w:val="0"/>
                    <w:jc w:val="center"/>
                    <w:rPr>
                      <w:szCs w:val="21"/>
                    </w:rPr>
                  </w:pPr>
                  <w:r>
                    <w:rPr>
                      <w:szCs w:val="21"/>
                    </w:rPr>
                    <w:t>乙酸乙酯</w:t>
                  </w:r>
                </w:p>
              </w:tc>
              <w:tc>
                <w:tcPr>
                  <w:tcW w:w="542" w:type="pct"/>
                  <w:vAlign w:val="center"/>
                </w:tcPr>
                <w:p>
                  <w:pPr>
                    <w:adjustRightInd w:val="0"/>
                    <w:snapToGrid w:val="0"/>
                    <w:jc w:val="center"/>
                    <w:rPr>
                      <w:szCs w:val="21"/>
                    </w:rPr>
                  </w:pPr>
                  <w:r>
                    <w:rPr>
                      <w:szCs w:val="21"/>
                    </w:rPr>
                    <w:t>1000L</w:t>
                  </w:r>
                </w:p>
              </w:tc>
              <w:tc>
                <w:tcPr>
                  <w:tcW w:w="764" w:type="pct"/>
                  <w:vAlign w:val="center"/>
                </w:tcPr>
                <w:p>
                  <w:pPr>
                    <w:adjustRightInd w:val="0"/>
                    <w:snapToGrid w:val="0"/>
                    <w:jc w:val="center"/>
                    <w:rPr>
                      <w:szCs w:val="21"/>
                    </w:rPr>
                  </w:pPr>
                  <w:r>
                    <w:rPr>
                      <w:szCs w:val="21"/>
                    </w:rPr>
                    <w:t>50L</w:t>
                  </w:r>
                </w:p>
              </w:tc>
              <w:tc>
                <w:tcPr>
                  <w:tcW w:w="641" w:type="pct"/>
                  <w:vAlign w:val="center"/>
                </w:tcPr>
                <w:p>
                  <w:pPr>
                    <w:widowControl/>
                    <w:jc w:val="center"/>
                    <w:textAlignment w:val="center"/>
                    <w:rPr>
                      <w:kern w:val="0"/>
                      <w:szCs w:val="21"/>
                      <w:lang w:bidi="ar"/>
                    </w:rPr>
                  </w:pPr>
                  <w:r>
                    <w:rPr>
                      <w:kern w:val="0"/>
                      <w:szCs w:val="21"/>
                      <w:lang w:bidi="ar"/>
                    </w:rPr>
                    <w:t>0.902</w:t>
                  </w:r>
                </w:p>
              </w:tc>
              <w:tc>
                <w:tcPr>
                  <w:tcW w:w="1020" w:type="pct"/>
                  <w:vAlign w:val="center"/>
                </w:tcPr>
                <w:p>
                  <w:pPr>
                    <w:widowControl/>
                    <w:jc w:val="center"/>
                    <w:textAlignment w:val="center"/>
                    <w:rPr>
                      <w:kern w:val="0"/>
                      <w:szCs w:val="21"/>
                      <w:lang w:bidi="ar"/>
                    </w:rPr>
                  </w:pPr>
                  <w:r>
                    <w:rPr>
                      <w:kern w:val="0"/>
                      <w:szCs w:val="21"/>
                      <w:lang w:bidi="ar"/>
                    </w:rPr>
                    <w:t>桶装（25L）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3</w:t>
                  </w:r>
                </w:p>
              </w:tc>
              <w:tc>
                <w:tcPr>
                  <w:tcW w:w="976" w:type="pct"/>
                  <w:vAlign w:val="center"/>
                </w:tcPr>
                <w:p>
                  <w:pPr>
                    <w:adjustRightInd w:val="0"/>
                    <w:snapToGrid w:val="0"/>
                    <w:jc w:val="center"/>
                    <w:rPr>
                      <w:szCs w:val="21"/>
                    </w:rPr>
                  </w:pPr>
                  <w:r>
                    <w:rPr>
                      <w:szCs w:val="21"/>
                    </w:rPr>
                    <w:t>二氯甲烷</w:t>
                  </w:r>
                </w:p>
              </w:tc>
              <w:tc>
                <w:tcPr>
                  <w:tcW w:w="542" w:type="pct"/>
                  <w:vAlign w:val="center"/>
                </w:tcPr>
                <w:p>
                  <w:pPr>
                    <w:adjustRightInd w:val="0"/>
                    <w:snapToGrid w:val="0"/>
                    <w:jc w:val="center"/>
                    <w:rPr>
                      <w:szCs w:val="21"/>
                    </w:rPr>
                  </w:pPr>
                  <w:r>
                    <w:rPr>
                      <w:szCs w:val="21"/>
                    </w:rPr>
                    <w:t>1500L</w:t>
                  </w:r>
                </w:p>
              </w:tc>
              <w:tc>
                <w:tcPr>
                  <w:tcW w:w="764" w:type="pct"/>
                  <w:vAlign w:val="center"/>
                </w:tcPr>
                <w:p>
                  <w:pPr>
                    <w:adjustRightInd w:val="0"/>
                    <w:snapToGrid w:val="0"/>
                    <w:jc w:val="center"/>
                    <w:rPr>
                      <w:szCs w:val="21"/>
                    </w:rPr>
                  </w:pPr>
                  <w:r>
                    <w:rPr>
                      <w:szCs w:val="21"/>
                    </w:rPr>
                    <w:t>50L</w:t>
                  </w:r>
                </w:p>
              </w:tc>
              <w:tc>
                <w:tcPr>
                  <w:tcW w:w="641" w:type="pct"/>
                  <w:vAlign w:val="center"/>
                </w:tcPr>
                <w:p>
                  <w:pPr>
                    <w:widowControl/>
                    <w:jc w:val="center"/>
                    <w:textAlignment w:val="center"/>
                    <w:rPr>
                      <w:kern w:val="0"/>
                      <w:szCs w:val="21"/>
                      <w:lang w:bidi="ar"/>
                    </w:rPr>
                  </w:pPr>
                  <w:r>
                    <w:rPr>
                      <w:kern w:val="0"/>
                      <w:szCs w:val="21"/>
                      <w:lang w:bidi="ar"/>
                    </w:rPr>
                    <w:t>1.325</w:t>
                  </w:r>
                </w:p>
              </w:tc>
              <w:tc>
                <w:tcPr>
                  <w:tcW w:w="1020" w:type="pct"/>
                  <w:vAlign w:val="center"/>
                </w:tcPr>
                <w:p>
                  <w:pPr>
                    <w:widowControl/>
                    <w:jc w:val="center"/>
                    <w:textAlignment w:val="center"/>
                    <w:rPr>
                      <w:kern w:val="0"/>
                      <w:szCs w:val="21"/>
                      <w:lang w:bidi="ar"/>
                    </w:rPr>
                  </w:pPr>
                  <w:r>
                    <w:rPr>
                      <w:kern w:val="0"/>
                      <w:szCs w:val="21"/>
                      <w:lang w:bidi="ar"/>
                    </w:rPr>
                    <w:t>桶装（25L）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4</w:t>
                  </w:r>
                </w:p>
              </w:tc>
              <w:tc>
                <w:tcPr>
                  <w:tcW w:w="976" w:type="pct"/>
                  <w:vAlign w:val="center"/>
                </w:tcPr>
                <w:p>
                  <w:pPr>
                    <w:adjustRightInd w:val="0"/>
                    <w:snapToGrid w:val="0"/>
                    <w:jc w:val="center"/>
                    <w:rPr>
                      <w:szCs w:val="21"/>
                    </w:rPr>
                  </w:pPr>
                  <w:r>
                    <w:rPr>
                      <w:szCs w:val="21"/>
                    </w:rPr>
                    <w:t>甲醇</w:t>
                  </w:r>
                </w:p>
              </w:tc>
              <w:tc>
                <w:tcPr>
                  <w:tcW w:w="542" w:type="pct"/>
                  <w:vAlign w:val="center"/>
                </w:tcPr>
                <w:p>
                  <w:pPr>
                    <w:adjustRightInd w:val="0"/>
                    <w:snapToGrid w:val="0"/>
                    <w:jc w:val="center"/>
                    <w:rPr>
                      <w:szCs w:val="21"/>
                    </w:rPr>
                  </w:pPr>
                  <w:r>
                    <w:rPr>
                      <w:szCs w:val="21"/>
                    </w:rPr>
                    <w:t>250L</w:t>
                  </w:r>
                </w:p>
              </w:tc>
              <w:tc>
                <w:tcPr>
                  <w:tcW w:w="764" w:type="pct"/>
                  <w:vAlign w:val="center"/>
                </w:tcPr>
                <w:p>
                  <w:pPr>
                    <w:adjustRightInd w:val="0"/>
                    <w:snapToGrid w:val="0"/>
                    <w:jc w:val="center"/>
                    <w:rPr>
                      <w:szCs w:val="21"/>
                    </w:rPr>
                  </w:pPr>
                  <w:r>
                    <w:rPr>
                      <w:szCs w:val="21"/>
                    </w:rPr>
                    <w:t>25L</w:t>
                  </w:r>
                </w:p>
              </w:tc>
              <w:tc>
                <w:tcPr>
                  <w:tcW w:w="641" w:type="pct"/>
                  <w:vAlign w:val="center"/>
                </w:tcPr>
                <w:p>
                  <w:pPr>
                    <w:widowControl/>
                    <w:jc w:val="center"/>
                    <w:textAlignment w:val="center"/>
                    <w:rPr>
                      <w:kern w:val="0"/>
                      <w:szCs w:val="21"/>
                      <w:lang w:bidi="ar"/>
                    </w:rPr>
                  </w:pPr>
                  <w:r>
                    <w:rPr>
                      <w:kern w:val="0"/>
                      <w:szCs w:val="21"/>
                      <w:lang w:bidi="ar"/>
                    </w:rPr>
                    <w:t>0.7918</w:t>
                  </w:r>
                </w:p>
              </w:tc>
              <w:tc>
                <w:tcPr>
                  <w:tcW w:w="1020" w:type="pct"/>
                  <w:vAlign w:val="center"/>
                </w:tcPr>
                <w:p>
                  <w:pPr>
                    <w:widowControl/>
                    <w:jc w:val="center"/>
                    <w:textAlignment w:val="center"/>
                    <w:rPr>
                      <w:kern w:val="0"/>
                      <w:szCs w:val="21"/>
                      <w:lang w:bidi="ar"/>
                    </w:rPr>
                  </w:pPr>
                  <w:r>
                    <w:rPr>
                      <w:kern w:val="0"/>
                      <w:szCs w:val="21"/>
                      <w:lang w:bidi="ar"/>
                    </w:rPr>
                    <w:t>桶装（25L）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5</w:t>
                  </w:r>
                </w:p>
              </w:tc>
              <w:tc>
                <w:tcPr>
                  <w:tcW w:w="976" w:type="pct"/>
                  <w:vAlign w:val="center"/>
                </w:tcPr>
                <w:p>
                  <w:pPr>
                    <w:adjustRightInd w:val="0"/>
                    <w:snapToGrid w:val="0"/>
                    <w:jc w:val="center"/>
                    <w:rPr>
                      <w:szCs w:val="21"/>
                    </w:rPr>
                  </w:pPr>
                  <w:r>
                    <w:rPr>
                      <w:szCs w:val="21"/>
                    </w:rPr>
                    <w:t>乙腈</w:t>
                  </w:r>
                </w:p>
              </w:tc>
              <w:tc>
                <w:tcPr>
                  <w:tcW w:w="542" w:type="pct"/>
                  <w:vAlign w:val="center"/>
                </w:tcPr>
                <w:p>
                  <w:pPr>
                    <w:adjustRightInd w:val="0"/>
                    <w:snapToGrid w:val="0"/>
                    <w:jc w:val="center"/>
                    <w:rPr>
                      <w:szCs w:val="21"/>
                    </w:rPr>
                  </w:pPr>
                  <w:r>
                    <w:rPr>
                      <w:szCs w:val="21"/>
                    </w:rPr>
                    <w:t>100L</w:t>
                  </w:r>
                </w:p>
              </w:tc>
              <w:tc>
                <w:tcPr>
                  <w:tcW w:w="764" w:type="pct"/>
                  <w:vAlign w:val="center"/>
                </w:tcPr>
                <w:p>
                  <w:pPr>
                    <w:adjustRightInd w:val="0"/>
                    <w:snapToGrid w:val="0"/>
                    <w:jc w:val="center"/>
                    <w:rPr>
                      <w:szCs w:val="21"/>
                    </w:rPr>
                  </w:pPr>
                  <w:r>
                    <w:rPr>
                      <w:szCs w:val="21"/>
                    </w:rPr>
                    <w:t>25L</w:t>
                  </w:r>
                </w:p>
              </w:tc>
              <w:tc>
                <w:tcPr>
                  <w:tcW w:w="641" w:type="pct"/>
                  <w:vAlign w:val="center"/>
                </w:tcPr>
                <w:p>
                  <w:pPr>
                    <w:widowControl/>
                    <w:jc w:val="center"/>
                    <w:textAlignment w:val="center"/>
                    <w:rPr>
                      <w:kern w:val="0"/>
                      <w:szCs w:val="21"/>
                      <w:lang w:bidi="ar"/>
                    </w:rPr>
                  </w:pPr>
                  <w:r>
                    <w:rPr>
                      <w:kern w:val="0"/>
                      <w:szCs w:val="21"/>
                      <w:lang w:bidi="ar"/>
                    </w:rPr>
                    <w:t>0.79</w:t>
                  </w:r>
                </w:p>
              </w:tc>
              <w:tc>
                <w:tcPr>
                  <w:tcW w:w="1020" w:type="pct"/>
                  <w:vAlign w:val="center"/>
                </w:tcPr>
                <w:p>
                  <w:pPr>
                    <w:widowControl/>
                    <w:jc w:val="center"/>
                    <w:textAlignment w:val="center"/>
                    <w:rPr>
                      <w:kern w:val="0"/>
                      <w:szCs w:val="21"/>
                      <w:lang w:bidi="ar"/>
                    </w:rPr>
                  </w:pPr>
                  <w:r>
                    <w:rPr>
                      <w:kern w:val="0"/>
                      <w:szCs w:val="21"/>
                      <w:lang w:bidi="ar"/>
                    </w:rPr>
                    <w:t>桶装（25L）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6</w:t>
                  </w:r>
                </w:p>
              </w:tc>
              <w:tc>
                <w:tcPr>
                  <w:tcW w:w="976" w:type="pct"/>
                  <w:vAlign w:val="center"/>
                </w:tcPr>
                <w:p>
                  <w:pPr>
                    <w:adjustRightInd w:val="0"/>
                    <w:snapToGrid w:val="0"/>
                    <w:jc w:val="center"/>
                    <w:rPr>
                      <w:szCs w:val="21"/>
                    </w:rPr>
                  </w:pPr>
                  <w:r>
                    <w:rPr>
                      <w:szCs w:val="21"/>
                    </w:rPr>
                    <w:t>乙醇</w:t>
                  </w:r>
                </w:p>
              </w:tc>
              <w:tc>
                <w:tcPr>
                  <w:tcW w:w="542" w:type="pct"/>
                  <w:vAlign w:val="center"/>
                </w:tcPr>
                <w:p>
                  <w:pPr>
                    <w:adjustRightInd w:val="0"/>
                    <w:snapToGrid w:val="0"/>
                    <w:jc w:val="center"/>
                    <w:rPr>
                      <w:szCs w:val="21"/>
                    </w:rPr>
                  </w:pPr>
                  <w:r>
                    <w:rPr>
                      <w:szCs w:val="21"/>
                    </w:rPr>
                    <w:t>1000L</w:t>
                  </w:r>
                </w:p>
              </w:tc>
              <w:tc>
                <w:tcPr>
                  <w:tcW w:w="764" w:type="pct"/>
                  <w:vAlign w:val="center"/>
                </w:tcPr>
                <w:p>
                  <w:pPr>
                    <w:adjustRightInd w:val="0"/>
                    <w:snapToGrid w:val="0"/>
                    <w:jc w:val="center"/>
                    <w:rPr>
                      <w:szCs w:val="21"/>
                    </w:rPr>
                  </w:pPr>
                  <w:r>
                    <w:rPr>
                      <w:szCs w:val="21"/>
                    </w:rPr>
                    <w:t>25L</w:t>
                  </w:r>
                </w:p>
              </w:tc>
              <w:tc>
                <w:tcPr>
                  <w:tcW w:w="641" w:type="pct"/>
                  <w:vAlign w:val="center"/>
                </w:tcPr>
                <w:p>
                  <w:pPr>
                    <w:widowControl/>
                    <w:jc w:val="center"/>
                    <w:textAlignment w:val="center"/>
                    <w:rPr>
                      <w:kern w:val="0"/>
                      <w:szCs w:val="21"/>
                      <w:lang w:bidi="ar"/>
                    </w:rPr>
                  </w:pPr>
                  <w:r>
                    <w:rPr>
                      <w:kern w:val="0"/>
                      <w:szCs w:val="21"/>
                      <w:lang w:bidi="ar"/>
                    </w:rPr>
                    <w:t>0.789</w:t>
                  </w:r>
                </w:p>
              </w:tc>
              <w:tc>
                <w:tcPr>
                  <w:tcW w:w="1020" w:type="pct"/>
                  <w:vAlign w:val="center"/>
                </w:tcPr>
                <w:p>
                  <w:pPr>
                    <w:widowControl/>
                    <w:jc w:val="center"/>
                    <w:textAlignment w:val="center"/>
                    <w:rPr>
                      <w:kern w:val="0"/>
                      <w:szCs w:val="21"/>
                      <w:lang w:bidi="ar"/>
                    </w:rPr>
                  </w:pPr>
                  <w:r>
                    <w:rPr>
                      <w:kern w:val="0"/>
                      <w:szCs w:val="21"/>
                      <w:lang w:bidi="ar"/>
                    </w:rPr>
                    <w:t>桶装（25L）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7</w:t>
                  </w:r>
                </w:p>
              </w:tc>
              <w:tc>
                <w:tcPr>
                  <w:tcW w:w="976" w:type="pct"/>
                  <w:vAlign w:val="center"/>
                </w:tcPr>
                <w:p>
                  <w:pPr>
                    <w:adjustRightInd w:val="0"/>
                    <w:snapToGrid w:val="0"/>
                    <w:jc w:val="center"/>
                    <w:rPr>
                      <w:szCs w:val="21"/>
                    </w:rPr>
                  </w:pPr>
                  <w:r>
                    <w:rPr>
                      <w:szCs w:val="21"/>
                    </w:rPr>
                    <w:t>二甲基亚砜</w:t>
                  </w:r>
                </w:p>
              </w:tc>
              <w:tc>
                <w:tcPr>
                  <w:tcW w:w="542" w:type="pct"/>
                  <w:vAlign w:val="center"/>
                </w:tcPr>
                <w:p>
                  <w:pPr>
                    <w:adjustRightInd w:val="0"/>
                    <w:snapToGrid w:val="0"/>
                    <w:jc w:val="center"/>
                    <w:rPr>
                      <w:szCs w:val="21"/>
                    </w:rPr>
                  </w:pPr>
                  <w:r>
                    <w:rPr>
                      <w:szCs w:val="21"/>
                    </w:rPr>
                    <w:t>5L</w:t>
                  </w:r>
                </w:p>
              </w:tc>
              <w:tc>
                <w:tcPr>
                  <w:tcW w:w="764" w:type="pct"/>
                  <w:vAlign w:val="center"/>
                </w:tcPr>
                <w:p>
                  <w:pPr>
                    <w:adjustRightInd w:val="0"/>
                    <w:snapToGrid w:val="0"/>
                    <w:jc w:val="center"/>
                    <w:rPr>
                      <w:szCs w:val="21"/>
                    </w:rPr>
                  </w:pPr>
                  <w:r>
                    <w:rPr>
                      <w:szCs w:val="21"/>
                    </w:rPr>
                    <w:t>2L</w:t>
                  </w:r>
                </w:p>
              </w:tc>
              <w:tc>
                <w:tcPr>
                  <w:tcW w:w="641" w:type="pct"/>
                  <w:vAlign w:val="center"/>
                </w:tcPr>
                <w:p>
                  <w:pPr>
                    <w:widowControl/>
                    <w:jc w:val="center"/>
                    <w:textAlignment w:val="center"/>
                    <w:rPr>
                      <w:kern w:val="0"/>
                      <w:szCs w:val="21"/>
                      <w:lang w:bidi="ar"/>
                    </w:rPr>
                  </w:pPr>
                  <w:r>
                    <w:rPr>
                      <w:kern w:val="0"/>
                      <w:szCs w:val="21"/>
                      <w:lang w:bidi="ar"/>
                    </w:rPr>
                    <w:t>1.10</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8</w:t>
                  </w:r>
                </w:p>
              </w:tc>
              <w:tc>
                <w:tcPr>
                  <w:tcW w:w="976" w:type="pct"/>
                  <w:vAlign w:val="center"/>
                </w:tcPr>
                <w:p>
                  <w:pPr>
                    <w:adjustRightInd w:val="0"/>
                    <w:snapToGrid w:val="0"/>
                    <w:jc w:val="center"/>
                    <w:rPr>
                      <w:szCs w:val="21"/>
                    </w:rPr>
                  </w:pPr>
                  <w:r>
                    <w:rPr>
                      <w:szCs w:val="21"/>
                    </w:rPr>
                    <w:t>N,N-二甲基甲酰胺</w:t>
                  </w:r>
                </w:p>
              </w:tc>
              <w:tc>
                <w:tcPr>
                  <w:tcW w:w="542" w:type="pct"/>
                  <w:vAlign w:val="center"/>
                </w:tcPr>
                <w:p>
                  <w:pPr>
                    <w:adjustRightInd w:val="0"/>
                    <w:snapToGrid w:val="0"/>
                    <w:jc w:val="center"/>
                    <w:rPr>
                      <w:szCs w:val="21"/>
                    </w:rPr>
                  </w:pPr>
                  <w:r>
                    <w:rPr>
                      <w:szCs w:val="21"/>
                    </w:rPr>
                    <w:t>15L</w:t>
                  </w:r>
                </w:p>
              </w:tc>
              <w:tc>
                <w:tcPr>
                  <w:tcW w:w="764" w:type="pct"/>
                  <w:vAlign w:val="center"/>
                </w:tcPr>
                <w:p>
                  <w:pPr>
                    <w:adjustRightInd w:val="0"/>
                    <w:snapToGrid w:val="0"/>
                    <w:jc w:val="center"/>
                    <w:rPr>
                      <w:szCs w:val="21"/>
                    </w:rPr>
                  </w:pPr>
                  <w:r>
                    <w:rPr>
                      <w:szCs w:val="21"/>
                    </w:rPr>
                    <w:t>2L</w:t>
                  </w:r>
                </w:p>
              </w:tc>
              <w:tc>
                <w:tcPr>
                  <w:tcW w:w="641" w:type="pct"/>
                  <w:vAlign w:val="center"/>
                </w:tcPr>
                <w:p>
                  <w:pPr>
                    <w:widowControl/>
                    <w:jc w:val="center"/>
                    <w:textAlignment w:val="center"/>
                    <w:rPr>
                      <w:kern w:val="0"/>
                      <w:szCs w:val="21"/>
                      <w:lang w:bidi="ar"/>
                    </w:rPr>
                  </w:pPr>
                  <w:r>
                    <w:rPr>
                      <w:kern w:val="0"/>
                      <w:szCs w:val="21"/>
                      <w:lang w:bidi="ar"/>
                    </w:rPr>
                    <w:t>0.948</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9</w:t>
                  </w:r>
                </w:p>
              </w:tc>
              <w:tc>
                <w:tcPr>
                  <w:tcW w:w="976" w:type="pct"/>
                  <w:vAlign w:val="center"/>
                </w:tcPr>
                <w:p>
                  <w:pPr>
                    <w:adjustRightInd w:val="0"/>
                    <w:snapToGrid w:val="0"/>
                    <w:jc w:val="center"/>
                    <w:rPr>
                      <w:szCs w:val="21"/>
                    </w:rPr>
                  </w:pPr>
                  <w:r>
                    <w:rPr>
                      <w:szCs w:val="21"/>
                    </w:rPr>
                    <w:t>四氢呋喃</w:t>
                  </w:r>
                </w:p>
              </w:tc>
              <w:tc>
                <w:tcPr>
                  <w:tcW w:w="542" w:type="pct"/>
                  <w:vAlign w:val="center"/>
                </w:tcPr>
                <w:p>
                  <w:pPr>
                    <w:adjustRightInd w:val="0"/>
                    <w:snapToGrid w:val="0"/>
                    <w:jc w:val="center"/>
                    <w:rPr>
                      <w:szCs w:val="21"/>
                    </w:rPr>
                  </w:pPr>
                  <w:r>
                    <w:rPr>
                      <w:szCs w:val="21"/>
                    </w:rPr>
                    <w:t>50L</w:t>
                  </w:r>
                </w:p>
              </w:tc>
              <w:tc>
                <w:tcPr>
                  <w:tcW w:w="764" w:type="pct"/>
                  <w:vAlign w:val="center"/>
                </w:tcPr>
                <w:p>
                  <w:pPr>
                    <w:adjustRightInd w:val="0"/>
                    <w:snapToGrid w:val="0"/>
                    <w:jc w:val="center"/>
                    <w:rPr>
                      <w:szCs w:val="21"/>
                    </w:rPr>
                  </w:pPr>
                  <w:r>
                    <w:rPr>
                      <w:szCs w:val="21"/>
                    </w:rPr>
                    <w:t>2L</w:t>
                  </w:r>
                </w:p>
              </w:tc>
              <w:tc>
                <w:tcPr>
                  <w:tcW w:w="641" w:type="pct"/>
                  <w:vAlign w:val="center"/>
                </w:tcPr>
                <w:p>
                  <w:pPr>
                    <w:widowControl/>
                    <w:jc w:val="center"/>
                    <w:textAlignment w:val="center"/>
                    <w:rPr>
                      <w:kern w:val="0"/>
                      <w:szCs w:val="21"/>
                      <w:lang w:bidi="ar"/>
                    </w:rPr>
                  </w:pPr>
                  <w:r>
                    <w:rPr>
                      <w:kern w:val="0"/>
                      <w:szCs w:val="21"/>
                      <w:lang w:bidi="ar"/>
                    </w:rPr>
                    <w:t>0.89</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10</w:t>
                  </w:r>
                </w:p>
              </w:tc>
              <w:tc>
                <w:tcPr>
                  <w:tcW w:w="976" w:type="pct"/>
                  <w:vAlign w:val="center"/>
                </w:tcPr>
                <w:p>
                  <w:pPr>
                    <w:adjustRightInd w:val="0"/>
                    <w:snapToGrid w:val="0"/>
                    <w:jc w:val="center"/>
                    <w:rPr>
                      <w:szCs w:val="21"/>
                    </w:rPr>
                  </w:pPr>
                  <w:r>
                    <w:rPr>
                      <w:szCs w:val="21"/>
                    </w:rPr>
                    <w:t>二氧六环</w:t>
                  </w:r>
                </w:p>
              </w:tc>
              <w:tc>
                <w:tcPr>
                  <w:tcW w:w="542" w:type="pct"/>
                  <w:vAlign w:val="center"/>
                </w:tcPr>
                <w:p>
                  <w:pPr>
                    <w:adjustRightInd w:val="0"/>
                    <w:snapToGrid w:val="0"/>
                    <w:jc w:val="center"/>
                    <w:rPr>
                      <w:szCs w:val="21"/>
                    </w:rPr>
                  </w:pPr>
                  <w:r>
                    <w:rPr>
                      <w:szCs w:val="21"/>
                    </w:rPr>
                    <w:t>6L</w:t>
                  </w:r>
                </w:p>
              </w:tc>
              <w:tc>
                <w:tcPr>
                  <w:tcW w:w="764" w:type="pct"/>
                  <w:vAlign w:val="center"/>
                </w:tcPr>
                <w:p>
                  <w:pPr>
                    <w:adjustRightInd w:val="0"/>
                    <w:snapToGrid w:val="0"/>
                    <w:jc w:val="center"/>
                    <w:rPr>
                      <w:szCs w:val="21"/>
                    </w:rPr>
                  </w:pPr>
                  <w:r>
                    <w:rPr>
                      <w:szCs w:val="21"/>
                    </w:rPr>
                    <w:t>2L</w:t>
                  </w:r>
                </w:p>
              </w:tc>
              <w:tc>
                <w:tcPr>
                  <w:tcW w:w="641" w:type="pct"/>
                  <w:vAlign w:val="center"/>
                </w:tcPr>
                <w:p>
                  <w:pPr>
                    <w:widowControl/>
                    <w:jc w:val="center"/>
                    <w:textAlignment w:val="center"/>
                    <w:rPr>
                      <w:kern w:val="0"/>
                      <w:szCs w:val="21"/>
                      <w:lang w:bidi="ar"/>
                    </w:rPr>
                  </w:pPr>
                  <w:r>
                    <w:rPr>
                      <w:kern w:val="0"/>
                      <w:szCs w:val="21"/>
                      <w:lang w:bidi="ar"/>
                    </w:rPr>
                    <w:t>1.033</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11</w:t>
                  </w:r>
                </w:p>
              </w:tc>
              <w:tc>
                <w:tcPr>
                  <w:tcW w:w="976" w:type="pct"/>
                  <w:vAlign w:val="center"/>
                </w:tcPr>
                <w:p>
                  <w:pPr>
                    <w:adjustRightInd w:val="0"/>
                    <w:snapToGrid w:val="0"/>
                    <w:jc w:val="center"/>
                    <w:rPr>
                      <w:szCs w:val="21"/>
                    </w:rPr>
                  </w:pPr>
                  <w:r>
                    <w:rPr>
                      <w:szCs w:val="21"/>
                    </w:rPr>
                    <w:t>甲苯</w:t>
                  </w:r>
                </w:p>
              </w:tc>
              <w:tc>
                <w:tcPr>
                  <w:tcW w:w="542" w:type="pct"/>
                  <w:vAlign w:val="center"/>
                </w:tcPr>
                <w:p>
                  <w:pPr>
                    <w:adjustRightInd w:val="0"/>
                    <w:snapToGrid w:val="0"/>
                    <w:jc w:val="center"/>
                    <w:rPr>
                      <w:szCs w:val="21"/>
                    </w:rPr>
                  </w:pPr>
                  <w:r>
                    <w:rPr>
                      <w:szCs w:val="21"/>
                    </w:rPr>
                    <w:t>10L</w:t>
                  </w:r>
                </w:p>
              </w:tc>
              <w:tc>
                <w:tcPr>
                  <w:tcW w:w="764" w:type="pct"/>
                  <w:vAlign w:val="center"/>
                </w:tcPr>
                <w:p>
                  <w:pPr>
                    <w:adjustRightInd w:val="0"/>
                    <w:snapToGrid w:val="0"/>
                    <w:jc w:val="center"/>
                    <w:rPr>
                      <w:szCs w:val="21"/>
                    </w:rPr>
                  </w:pPr>
                  <w:r>
                    <w:rPr>
                      <w:szCs w:val="21"/>
                    </w:rPr>
                    <w:t>2L</w:t>
                  </w:r>
                </w:p>
              </w:tc>
              <w:tc>
                <w:tcPr>
                  <w:tcW w:w="641" w:type="pct"/>
                  <w:vAlign w:val="center"/>
                </w:tcPr>
                <w:p>
                  <w:pPr>
                    <w:widowControl/>
                    <w:jc w:val="center"/>
                    <w:textAlignment w:val="center"/>
                    <w:rPr>
                      <w:kern w:val="0"/>
                      <w:szCs w:val="21"/>
                      <w:lang w:bidi="ar"/>
                    </w:rPr>
                  </w:pPr>
                  <w:r>
                    <w:rPr>
                      <w:kern w:val="0"/>
                      <w:szCs w:val="21"/>
                      <w:lang w:bidi="ar"/>
                    </w:rPr>
                    <w:t>0.866</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12</w:t>
                  </w:r>
                </w:p>
              </w:tc>
              <w:tc>
                <w:tcPr>
                  <w:tcW w:w="976" w:type="pct"/>
                  <w:vAlign w:val="center"/>
                </w:tcPr>
                <w:p>
                  <w:pPr>
                    <w:adjustRightInd w:val="0"/>
                    <w:snapToGrid w:val="0"/>
                    <w:jc w:val="center"/>
                    <w:rPr>
                      <w:szCs w:val="21"/>
                    </w:rPr>
                  </w:pPr>
                  <w:r>
                    <w:rPr>
                      <w:szCs w:val="21"/>
                    </w:rPr>
                    <w:t>吡啶</w:t>
                  </w:r>
                </w:p>
              </w:tc>
              <w:tc>
                <w:tcPr>
                  <w:tcW w:w="542" w:type="pct"/>
                  <w:vAlign w:val="center"/>
                </w:tcPr>
                <w:p>
                  <w:pPr>
                    <w:adjustRightInd w:val="0"/>
                    <w:snapToGrid w:val="0"/>
                    <w:jc w:val="center"/>
                    <w:rPr>
                      <w:szCs w:val="21"/>
                    </w:rPr>
                  </w:pPr>
                  <w:r>
                    <w:rPr>
                      <w:szCs w:val="21"/>
                    </w:rPr>
                    <w:t>5L</w:t>
                  </w:r>
                </w:p>
              </w:tc>
              <w:tc>
                <w:tcPr>
                  <w:tcW w:w="764" w:type="pct"/>
                  <w:vAlign w:val="center"/>
                </w:tcPr>
                <w:p>
                  <w:pPr>
                    <w:adjustRightInd w:val="0"/>
                    <w:snapToGrid w:val="0"/>
                    <w:jc w:val="center"/>
                    <w:rPr>
                      <w:szCs w:val="21"/>
                    </w:rPr>
                  </w:pPr>
                  <w:r>
                    <w:rPr>
                      <w:szCs w:val="21"/>
                    </w:rPr>
                    <w:t>2L</w:t>
                  </w:r>
                </w:p>
              </w:tc>
              <w:tc>
                <w:tcPr>
                  <w:tcW w:w="641" w:type="pct"/>
                  <w:vAlign w:val="center"/>
                </w:tcPr>
                <w:p>
                  <w:pPr>
                    <w:widowControl/>
                    <w:jc w:val="center"/>
                    <w:textAlignment w:val="center"/>
                    <w:rPr>
                      <w:kern w:val="0"/>
                      <w:szCs w:val="21"/>
                      <w:lang w:bidi="ar"/>
                    </w:rPr>
                  </w:pPr>
                  <w:r>
                    <w:rPr>
                      <w:kern w:val="0"/>
                      <w:szCs w:val="21"/>
                      <w:lang w:bidi="ar"/>
                    </w:rPr>
                    <w:t>0.9819</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13</w:t>
                  </w:r>
                </w:p>
              </w:tc>
              <w:tc>
                <w:tcPr>
                  <w:tcW w:w="976" w:type="pct"/>
                  <w:vAlign w:val="center"/>
                </w:tcPr>
                <w:p>
                  <w:pPr>
                    <w:adjustRightInd w:val="0"/>
                    <w:snapToGrid w:val="0"/>
                    <w:jc w:val="center"/>
                    <w:rPr>
                      <w:szCs w:val="21"/>
                    </w:rPr>
                  </w:pPr>
                  <w:r>
                    <w:rPr>
                      <w:szCs w:val="21"/>
                    </w:rPr>
                    <w:t>纯水</w:t>
                  </w:r>
                </w:p>
              </w:tc>
              <w:tc>
                <w:tcPr>
                  <w:tcW w:w="542" w:type="pct"/>
                  <w:vAlign w:val="center"/>
                </w:tcPr>
                <w:p>
                  <w:pPr>
                    <w:adjustRightInd w:val="0"/>
                    <w:snapToGrid w:val="0"/>
                    <w:jc w:val="center"/>
                    <w:rPr>
                      <w:szCs w:val="21"/>
                    </w:rPr>
                  </w:pPr>
                  <w:r>
                    <w:rPr>
                      <w:szCs w:val="21"/>
                    </w:rPr>
                    <w:t>2000L</w:t>
                  </w:r>
                </w:p>
              </w:tc>
              <w:tc>
                <w:tcPr>
                  <w:tcW w:w="764" w:type="pct"/>
                  <w:vAlign w:val="center"/>
                </w:tcPr>
                <w:p>
                  <w:pPr>
                    <w:adjustRightInd w:val="0"/>
                    <w:snapToGrid w:val="0"/>
                    <w:jc w:val="center"/>
                    <w:rPr>
                      <w:szCs w:val="21"/>
                    </w:rPr>
                  </w:pPr>
                  <w:r>
                    <w:rPr>
                      <w:szCs w:val="21"/>
                    </w:rPr>
                    <w:t>200L</w:t>
                  </w:r>
                </w:p>
              </w:tc>
              <w:tc>
                <w:tcPr>
                  <w:tcW w:w="641" w:type="pct"/>
                  <w:vAlign w:val="center"/>
                </w:tcPr>
                <w:p>
                  <w:pPr>
                    <w:widowControl/>
                    <w:jc w:val="center"/>
                    <w:textAlignment w:val="center"/>
                    <w:rPr>
                      <w:kern w:val="0"/>
                      <w:szCs w:val="21"/>
                      <w:lang w:bidi="ar"/>
                    </w:rPr>
                  </w:pPr>
                  <w:r>
                    <w:rPr>
                      <w:kern w:val="0"/>
                      <w:szCs w:val="21"/>
                      <w:lang w:bidi="ar"/>
                    </w:rPr>
                    <w:t>1</w:t>
                  </w:r>
                </w:p>
              </w:tc>
              <w:tc>
                <w:tcPr>
                  <w:tcW w:w="1020" w:type="pct"/>
                  <w:vAlign w:val="center"/>
                </w:tcPr>
                <w:p>
                  <w:pPr>
                    <w:widowControl/>
                    <w:jc w:val="center"/>
                    <w:textAlignment w:val="center"/>
                    <w:rPr>
                      <w:kern w:val="0"/>
                      <w:szCs w:val="21"/>
                      <w:lang w:bidi="ar"/>
                    </w:rPr>
                  </w:pPr>
                  <w:r>
                    <w:rPr>
                      <w:kern w:val="0"/>
                      <w:szCs w:val="21"/>
                      <w:lang w:bidi="ar"/>
                    </w:rPr>
                    <w:t>瓶装（5L）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14</w:t>
                  </w:r>
                </w:p>
              </w:tc>
              <w:tc>
                <w:tcPr>
                  <w:tcW w:w="976" w:type="pct"/>
                  <w:vAlign w:val="center"/>
                </w:tcPr>
                <w:p>
                  <w:pPr>
                    <w:adjustRightInd w:val="0"/>
                    <w:snapToGrid w:val="0"/>
                    <w:jc w:val="center"/>
                    <w:rPr>
                      <w:szCs w:val="21"/>
                    </w:rPr>
                  </w:pPr>
                  <w:r>
                    <w:rPr>
                      <w:szCs w:val="21"/>
                    </w:rPr>
                    <w:t>盐酸</w:t>
                  </w:r>
                </w:p>
              </w:tc>
              <w:tc>
                <w:tcPr>
                  <w:tcW w:w="542" w:type="pct"/>
                  <w:vAlign w:val="center"/>
                </w:tcPr>
                <w:p>
                  <w:pPr>
                    <w:adjustRightInd w:val="0"/>
                    <w:snapToGrid w:val="0"/>
                    <w:jc w:val="center"/>
                    <w:rPr>
                      <w:szCs w:val="21"/>
                    </w:rPr>
                  </w:pPr>
                  <w:r>
                    <w:rPr>
                      <w:szCs w:val="21"/>
                    </w:rPr>
                    <w:t>25L</w:t>
                  </w:r>
                </w:p>
              </w:tc>
              <w:tc>
                <w:tcPr>
                  <w:tcW w:w="764" w:type="pct"/>
                  <w:vAlign w:val="center"/>
                </w:tcPr>
                <w:p>
                  <w:pPr>
                    <w:adjustRightInd w:val="0"/>
                    <w:snapToGrid w:val="0"/>
                    <w:jc w:val="center"/>
                    <w:rPr>
                      <w:szCs w:val="21"/>
                    </w:rPr>
                  </w:pPr>
                  <w:r>
                    <w:rPr>
                      <w:szCs w:val="21"/>
                    </w:rPr>
                    <w:t>2L</w:t>
                  </w:r>
                </w:p>
              </w:tc>
              <w:tc>
                <w:tcPr>
                  <w:tcW w:w="641" w:type="pct"/>
                  <w:vAlign w:val="center"/>
                </w:tcPr>
                <w:p>
                  <w:pPr>
                    <w:widowControl/>
                    <w:jc w:val="center"/>
                    <w:textAlignment w:val="center"/>
                    <w:rPr>
                      <w:kern w:val="0"/>
                      <w:szCs w:val="21"/>
                      <w:lang w:bidi="ar"/>
                    </w:rPr>
                  </w:pPr>
                  <w:r>
                    <w:rPr>
                      <w:kern w:val="0"/>
                      <w:szCs w:val="21"/>
                      <w:lang w:bidi="ar"/>
                    </w:rPr>
                    <w:t>1.2</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15</w:t>
                  </w:r>
                </w:p>
              </w:tc>
              <w:tc>
                <w:tcPr>
                  <w:tcW w:w="976" w:type="pct"/>
                  <w:vAlign w:val="center"/>
                </w:tcPr>
                <w:p>
                  <w:pPr>
                    <w:adjustRightInd w:val="0"/>
                    <w:snapToGrid w:val="0"/>
                    <w:jc w:val="center"/>
                    <w:rPr>
                      <w:szCs w:val="21"/>
                    </w:rPr>
                  </w:pPr>
                  <w:r>
                    <w:rPr>
                      <w:szCs w:val="21"/>
                    </w:rPr>
                    <w:t>硫酸</w:t>
                  </w:r>
                </w:p>
              </w:tc>
              <w:tc>
                <w:tcPr>
                  <w:tcW w:w="542" w:type="pct"/>
                  <w:vAlign w:val="center"/>
                </w:tcPr>
                <w:p>
                  <w:pPr>
                    <w:adjustRightInd w:val="0"/>
                    <w:snapToGrid w:val="0"/>
                    <w:jc w:val="center"/>
                    <w:rPr>
                      <w:szCs w:val="21"/>
                    </w:rPr>
                  </w:pPr>
                  <w:r>
                    <w:rPr>
                      <w:szCs w:val="21"/>
                    </w:rPr>
                    <w:t>5L</w:t>
                  </w:r>
                </w:p>
              </w:tc>
              <w:tc>
                <w:tcPr>
                  <w:tcW w:w="764" w:type="pct"/>
                  <w:vAlign w:val="center"/>
                </w:tcPr>
                <w:p>
                  <w:pPr>
                    <w:adjustRightInd w:val="0"/>
                    <w:snapToGrid w:val="0"/>
                    <w:jc w:val="center"/>
                    <w:rPr>
                      <w:szCs w:val="21"/>
                    </w:rPr>
                  </w:pPr>
                  <w:r>
                    <w:rPr>
                      <w:szCs w:val="21"/>
                    </w:rPr>
                    <w:t>500mL</w:t>
                  </w:r>
                </w:p>
              </w:tc>
              <w:tc>
                <w:tcPr>
                  <w:tcW w:w="641" w:type="pct"/>
                  <w:vAlign w:val="center"/>
                </w:tcPr>
                <w:p>
                  <w:pPr>
                    <w:widowControl/>
                    <w:jc w:val="center"/>
                    <w:textAlignment w:val="center"/>
                    <w:rPr>
                      <w:kern w:val="0"/>
                      <w:szCs w:val="21"/>
                      <w:lang w:bidi="ar"/>
                    </w:rPr>
                  </w:pPr>
                  <w:r>
                    <w:rPr>
                      <w:kern w:val="0"/>
                      <w:szCs w:val="21"/>
                      <w:lang w:bidi="ar"/>
                    </w:rPr>
                    <w:t>1.84</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16</w:t>
                  </w:r>
                </w:p>
              </w:tc>
              <w:tc>
                <w:tcPr>
                  <w:tcW w:w="976" w:type="pct"/>
                  <w:vAlign w:val="center"/>
                </w:tcPr>
                <w:p>
                  <w:pPr>
                    <w:adjustRightInd w:val="0"/>
                    <w:snapToGrid w:val="0"/>
                    <w:jc w:val="center"/>
                    <w:rPr>
                      <w:szCs w:val="21"/>
                    </w:rPr>
                  </w:pPr>
                  <w:r>
                    <w:rPr>
                      <w:szCs w:val="21"/>
                    </w:rPr>
                    <w:t>醋酸</w:t>
                  </w:r>
                </w:p>
              </w:tc>
              <w:tc>
                <w:tcPr>
                  <w:tcW w:w="542" w:type="pct"/>
                  <w:vAlign w:val="center"/>
                </w:tcPr>
                <w:p>
                  <w:pPr>
                    <w:adjustRightInd w:val="0"/>
                    <w:snapToGrid w:val="0"/>
                    <w:jc w:val="center"/>
                    <w:rPr>
                      <w:szCs w:val="21"/>
                    </w:rPr>
                  </w:pPr>
                  <w:r>
                    <w:rPr>
                      <w:szCs w:val="21"/>
                    </w:rPr>
                    <w:t>1L</w:t>
                  </w:r>
                </w:p>
              </w:tc>
              <w:tc>
                <w:tcPr>
                  <w:tcW w:w="764" w:type="pct"/>
                  <w:vAlign w:val="center"/>
                </w:tcPr>
                <w:p>
                  <w:pPr>
                    <w:adjustRightInd w:val="0"/>
                    <w:snapToGrid w:val="0"/>
                    <w:jc w:val="center"/>
                    <w:rPr>
                      <w:szCs w:val="21"/>
                    </w:rPr>
                  </w:pPr>
                  <w:r>
                    <w:rPr>
                      <w:szCs w:val="21"/>
                    </w:rPr>
                    <w:t>500mL</w:t>
                  </w:r>
                </w:p>
              </w:tc>
              <w:tc>
                <w:tcPr>
                  <w:tcW w:w="641" w:type="pct"/>
                  <w:vAlign w:val="center"/>
                </w:tcPr>
                <w:p>
                  <w:pPr>
                    <w:widowControl/>
                    <w:jc w:val="center"/>
                    <w:textAlignment w:val="center"/>
                    <w:rPr>
                      <w:kern w:val="0"/>
                      <w:szCs w:val="21"/>
                      <w:lang w:bidi="ar"/>
                    </w:rPr>
                  </w:pPr>
                  <w:r>
                    <w:rPr>
                      <w:kern w:val="0"/>
                      <w:szCs w:val="21"/>
                      <w:lang w:bidi="ar"/>
                    </w:rPr>
                    <w:t>1.05</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17</w:t>
                  </w:r>
                </w:p>
              </w:tc>
              <w:tc>
                <w:tcPr>
                  <w:tcW w:w="976" w:type="pct"/>
                  <w:vAlign w:val="center"/>
                </w:tcPr>
                <w:p>
                  <w:pPr>
                    <w:adjustRightInd w:val="0"/>
                    <w:snapToGrid w:val="0"/>
                    <w:jc w:val="center"/>
                    <w:rPr>
                      <w:szCs w:val="21"/>
                    </w:rPr>
                  </w:pPr>
                  <w:r>
                    <w:rPr>
                      <w:szCs w:val="21"/>
                    </w:rPr>
                    <w:t>氢溴酸</w:t>
                  </w:r>
                </w:p>
              </w:tc>
              <w:tc>
                <w:tcPr>
                  <w:tcW w:w="542" w:type="pct"/>
                  <w:vAlign w:val="center"/>
                </w:tcPr>
                <w:p>
                  <w:pPr>
                    <w:adjustRightInd w:val="0"/>
                    <w:snapToGrid w:val="0"/>
                    <w:jc w:val="center"/>
                    <w:rPr>
                      <w:szCs w:val="21"/>
                    </w:rPr>
                  </w:pPr>
                  <w:r>
                    <w:rPr>
                      <w:szCs w:val="21"/>
                    </w:rPr>
                    <w:t>1L</w:t>
                  </w:r>
                </w:p>
              </w:tc>
              <w:tc>
                <w:tcPr>
                  <w:tcW w:w="764" w:type="pct"/>
                  <w:vAlign w:val="center"/>
                </w:tcPr>
                <w:p>
                  <w:pPr>
                    <w:adjustRightInd w:val="0"/>
                    <w:snapToGrid w:val="0"/>
                    <w:jc w:val="center"/>
                    <w:rPr>
                      <w:szCs w:val="21"/>
                    </w:rPr>
                  </w:pPr>
                  <w:r>
                    <w:rPr>
                      <w:szCs w:val="21"/>
                    </w:rPr>
                    <w:t>500mL</w:t>
                  </w:r>
                </w:p>
              </w:tc>
              <w:tc>
                <w:tcPr>
                  <w:tcW w:w="641" w:type="pct"/>
                  <w:vAlign w:val="center"/>
                </w:tcPr>
                <w:p>
                  <w:pPr>
                    <w:widowControl/>
                    <w:jc w:val="center"/>
                    <w:textAlignment w:val="center"/>
                    <w:rPr>
                      <w:kern w:val="0"/>
                      <w:szCs w:val="21"/>
                      <w:lang w:bidi="ar"/>
                    </w:rPr>
                  </w:pPr>
                  <w:r>
                    <w:rPr>
                      <w:kern w:val="0"/>
                      <w:szCs w:val="21"/>
                      <w:lang w:bidi="ar"/>
                    </w:rPr>
                    <w:t>1.49</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18</w:t>
                  </w:r>
                </w:p>
              </w:tc>
              <w:tc>
                <w:tcPr>
                  <w:tcW w:w="976" w:type="pct"/>
                  <w:vAlign w:val="center"/>
                </w:tcPr>
                <w:p>
                  <w:pPr>
                    <w:adjustRightInd w:val="0"/>
                    <w:snapToGrid w:val="0"/>
                    <w:jc w:val="center"/>
                    <w:rPr>
                      <w:szCs w:val="21"/>
                    </w:rPr>
                  </w:pPr>
                  <w:r>
                    <w:rPr>
                      <w:szCs w:val="21"/>
                    </w:rPr>
                    <w:t>三氟乙酸</w:t>
                  </w:r>
                </w:p>
              </w:tc>
              <w:tc>
                <w:tcPr>
                  <w:tcW w:w="542" w:type="pct"/>
                  <w:vAlign w:val="center"/>
                </w:tcPr>
                <w:p>
                  <w:pPr>
                    <w:adjustRightInd w:val="0"/>
                    <w:snapToGrid w:val="0"/>
                    <w:jc w:val="center"/>
                    <w:rPr>
                      <w:szCs w:val="21"/>
                    </w:rPr>
                  </w:pPr>
                  <w:r>
                    <w:rPr>
                      <w:szCs w:val="21"/>
                    </w:rPr>
                    <w:t>10L</w:t>
                  </w:r>
                </w:p>
              </w:tc>
              <w:tc>
                <w:tcPr>
                  <w:tcW w:w="764" w:type="pct"/>
                  <w:vAlign w:val="center"/>
                </w:tcPr>
                <w:p>
                  <w:pPr>
                    <w:adjustRightInd w:val="0"/>
                    <w:snapToGrid w:val="0"/>
                    <w:jc w:val="center"/>
                    <w:rPr>
                      <w:szCs w:val="21"/>
                    </w:rPr>
                  </w:pPr>
                  <w:r>
                    <w:rPr>
                      <w:szCs w:val="21"/>
                    </w:rPr>
                    <w:t>500mL</w:t>
                  </w:r>
                </w:p>
              </w:tc>
              <w:tc>
                <w:tcPr>
                  <w:tcW w:w="641" w:type="pct"/>
                  <w:vAlign w:val="center"/>
                </w:tcPr>
                <w:p>
                  <w:pPr>
                    <w:widowControl/>
                    <w:jc w:val="center"/>
                    <w:textAlignment w:val="center"/>
                    <w:rPr>
                      <w:kern w:val="0"/>
                      <w:szCs w:val="21"/>
                      <w:lang w:bidi="ar"/>
                    </w:rPr>
                  </w:pPr>
                  <w:r>
                    <w:rPr>
                      <w:kern w:val="0"/>
                      <w:szCs w:val="21"/>
                      <w:lang w:bidi="ar"/>
                    </w:rPr>
                    <w:t>1.5351</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19</w:t>
                  </w:r>
                </w:p>
              </w:tc>
              <w:tc>
                <w:tcPr>
                  <w:tcW w:w="976" w:type="pct"/>
                  <w:vAlign w:val="center"/>
                </w:tcPr>
                <w:p>
                  <w:pPr>
                    <w:adjustRightInd w:val="0"/>
                    <w:snapToGrid w:val="0"/>
                    <w:jc w:val="center"/>
                    <w:rPr>
                      <w:szCs w:val="21"/>
                    </w:rPr>
                  </w:pPr>
                  <w:r>
                    <w:rPr>
                      <w:szCs w:val="21"/>
                    </w:rPr>
                    <w:t>碳酸钠</w:t>
                  </w:r>
                </w:p>
              </w:tc>
              <w:tc>
                <w:tcPr>
                  <w:tcW w:w="542" w:type="pct"/>
                  <w:vAlign w:val="center"/>
                </w:tcPr>
                <w:p>
                  <w:pPr>
                    <w:adjustRightInd w:val="0"/>
                    <w:snapToGrid w:val="0"/>
                    <w:jc w:val="center"/>
                    <w:rPr>
                      <w:szCs w:val="21"/>
                    </w:rPr>
                  </w:pPr>
                  <w:r>
                    <w:rPr>
                      <w:szCs w:val="21"/>
                    </w:rPr>
                    <w:t>5kg</w:t>
                  </w:r>
                </w:p>
              </w:tc>
              <w:tc>
                <w:tcPr>
                  <w:tcW w:w="764" w:type="pct"/>
                  <w:vAlign w:val="center"/>
                </w:tcPr>
                <w:p>
                  <w:pPr>
                    <w:adjustRightInd w:val="0"/>
                    <w:snapToGrid w:val="0"/>
                    <w:jc w:val="center"/>
                    <w:rPr>
                      <w:szCs w:val="21"/>
                    </w:rPr>
                  </w:pPr>
                  <w:r>
                    <w:rPr>
                      <w:szCs w:val="21"/>
                    </w:rPr>
                    <w:t>2kg</w:t>
                  </w:r>
                </w:p>
              </w:tc>
              <w:tc>
                <w:tcPr>
                  <w:tcW w:w="641" w:type="pct"/>
                  <w:vAlign w:val="center"/>
                </w:tcPr>
                <w:p>
                  <w:pPr>
                    <w:widowControl/>
                    <w:jc w:val="center"/>
                    <w:textAlignment w:val="center"/>
                    <w:rPr>
                      <w:kern w:val="0"/>
                      <w:szCs w:val="21"/>
                      <w:lang w:bidi="ar"/>
                    </w:rPr>
                  </w:pPr>
                  <w:r>
                    <w:rPr>
                      <w:kern w:val="0"/>
                      <w:szCs w:val="21"/>
                      <w:lang w:bidi="ar"/>
                    </w:rPr>
                    <w:t>2.532</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20</w:t>
                  </w:r>
                </w:p>
              </w:tc>
              <w:tc>
                <w:tcPr>
                  <w:tcW w:w="976" w:type="pct"/>
                  <w:vAlign w:val="center"/>
                </w:tcPr>
                <w:p>
                  <w:pPr>
                    <w:adjustRightInd w:val="0"/>
                    <w:snapToGrid w:val="0"/>
                    <w:jc w:val="center"/>
                    <w:rPr>
                      <w:szCs w:val="21"/>
                    </w:rPr>
                  </w:pPr>
                  <w:r>
                    <w:rPr>
                      <w:szCs w:val="21"/>
                    </w:rPr>
                    <w:t>氢氧化钠</w:t>
                  </w:r>
                </w:p>
              </w:tc>
              <w:tc>
                <w:tcPr>
                  <w:tcW w:w="542" w:type="pct"/>
                  <w:vAlign w:val="center"/>
                </w:tcPr>
                <w:p>
                  <w:pPr>
                    <w:adjustRightInd w:val="0"/>
                    <w:snapToGrid w:val="0"/>
                    <w:jc w:val="center"/>
                    <w:rPr>
                      <w:szCs w:val="21"/>
                    </w:rPr>
                  </w:pPr>
                  <w:r>
                    <w:rPr>
                      <w:szCs w:val="21"/>
                    </w:rPr>
                    <w:t>10kg</w:t>
                  </w:r>
                </w:p>
              </w:tc>
              <w:tc>
                <w:tcPr>
                  <w:tcW w:w="764" w:type="pct"/>
                  <w:vAlign w:val="center"/>
                </w:tcPr>
                <w:p>
                  <w:pPr>
                    <w:adjustRightInd w:val="0"/>
                    <w:snapToGrid w:val="0"/>
                    <w:jc w:val="center"/>
                    <w:rPr>
                      <w:szCs w:val="21"/>
                    </w:rPr>
                  </w:pPr>
                  <w:r>
                    <w:rPr>
                      <w:szCs w:val="21"/>
                    </w:rPr>
                    <w:t>5kg</w:t>
                  </w:r>
                </w:p>
              </w:tc>
              <w:tc>
                <w:tcPr>
                  <w:tcW w:w="641" w:type="pct"/>
                  <w:vAlign w:val="center"/>
                </w:tcPr>
                <w:p>
                  <w:pPr>
                    <w:widowControl/>
                    <w:jc w:val="center"/>
                    <w:textAlignment w:val="center"/>
                    <w:rPr>
                      <w:kern w:val="0"/>
                      <w:szCs w:val="21"/>
                      <w:lang w:bidi="ar"/>
                    </w:rPr>
                  </w:pPr>
                  <w:r>
                    <w:rPr>
                      <w:kern w:val="0"/>
                      <w:szCs w:val="21"/>
                      <w:lang w:bidi="ar"/>
                    </w:rPr>
                    <w:t>2.130</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21</w:t>
                  </w:r>
                </w:p>
              </w:tc>
              <w:tc>
                <w:tcPr>
                  <w:tcW w:w="976" w:type="pct"/>
                  <w:vAlign w:val="center"/>
                </w:tcPr>
                <w:p>
                  <w:pPr>
                    <w:adjustRightInd w:val="0"/>
                    <w:snapToGrid w:val="0"/>
                    <w:jc w:val="center"/>
                    <w:rPr>
                      <w:szCs w:val="21"/>
                    </w:rPr>
                  </w:pPr>
                  <w:r>
                    <w:rPr>
                      <w:szCs w:val="21"/>
                    </w:rPr>
                    <w:t>碳酸氢钠</w:t>
                  </w:r>
                </w:p>
              </w:tc>
              <w:tc>
                <w:tcPr>
                  <w:tcW w:w="542" w:type="pct"/>
                  <w:vAlign w:val="center"/>
                </w:tcPr>
                <w:p>
                  <w:pPr>
                    <w:adjustRightInd w:val="0"/>
                    <w:snapToGrid w:val="0"/>
                    <w:jc w:val="center"/>
                    <w:rPr>
                      <w:szCs w:val="21"/>
                    </w:rPr>
                  </w:pPr>
                  <w:r>
                    <w:rPr>
                      <w:szCs w:val="21"/>
                    </w:rPr>
                    <w:t>10kg</w:t>
                  </w:r>
                </w:p>
              </w:tc>
              <w:tc>
                <w:tcPr>
                  <w:tcW w:w="764" w:type="pct"/>
                  <w:vAlign w:val="center"/>
                </w:tcPr>
                <w:p>
                  <w:pPr>
                    <w:adjustRightInd w:val="0"/>
                    <w:snapToGrid w:val="0"/>
                    <w:jc w:val="center"/>
                    <w:rPr>
                      <w:szCs w:val="21"/>
                    </w:rPr>
                  </w:pPr>
                  <w:r>
                    <w:rPr>
                      <w:szCs w:val="21"/>
                    </w:rPr>
                    <w:t>5kg</w:t>
                  </w:r>
                </w:p>
              </w:tc>
              <w:tc>
                <w:tcPr>
                  <w:tcW w:w="641" w:type="pct"/>
                  <w:vAlign w:val="center"/>
                </w:tcPr>
                <w:p>
                  <w:pPr>
                    <w:widowControl/>
                    <w:jc w:val="center"/>
                    <w:textAlignment w:val="center"/>
                    <w:rPr>
                      <w:kern w:val="0"/>
                      <w:szCs w:val="21"/>
                      <w:lang w:bidi="ar"/>
                    </w:rPr>
                  </w:pPr>
                  <w:r>
                    <w:rPr>
                      <w:kern w:val="0"/>
                      <w:szCs w:val="21"/>
                      <w:lang w:bidi="ar"/>
                    </w:rPr>
                    <w:t>2.159</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8" w:type="pct"/>
                  <w:vAlign w:val="center"/>
                </w:tcPr>
                <w:p>
                  <w:pPr>
                    <w:adjustRightInd w:val="0"/>
                    <w:snapToGrid w:val="0"/>
                    <w:jc w:val="center"/>
                    <w:rPr>
                      <w:szCs w:val="21"/>
                    </w:rPr>
                  </w:pPr>
                  <w:r>
                    <w:rPr>
                      <w:szCs w:val="21"/>
                    </w:rPr>
                    <w:t>22</w:t>
                  </w:r>
                </w:p>
              </w:tc>
              <w:tc>
                <w:tcPr>
                  <w:tcW w:w="976" w:type="pct"/>
                  <w:vAlign w:val="center"/>
                </w:tcPr>
                <w:p>
                  <w:pPr>
                    <w:adjustRightInd w:val="0"/>
                    <w:snapToGrid w:val="0"/>
                    <w:jc w:val="center"/>
                    <w:rPr>
                      <w:szCs w:val="21"/>
                    </w:rPr>
                  </w:pPr>
                  <w:r>
                    <w:rPr>
                      <w:szCs w:val="21"/>
                    </w:rPr>
                    <w:t>碳酸钾</w:t>
                  </w:r>
                </w:p>
              </w:tc>
              <w:tc>
                <w:tcPr>
                  <w:tcW w:w="542" w:type="pct"/>
                  <w:vAlign w:val="center"/>
                </w:tcPr>
                <w:p>
                  <w:pPr>
                    <w:adjustRightInd w:val="0"/>
                    <w:snapToGrid w:val="0"/>
                    <w:jc w:val="center"/>
                    <w:rPr>
                      <w:szCs w:val="21"/>
                    </w:rPr>
                  </w:pPr>
                  <w:r>
                    <w:rPr>
                      <w:szCs w:val="21"/>
                    </w:rPr>
                    <w:t>1kg</w:t>
                  </w:r>
                </w:p>
              </w:tc>
              <w:tc>
                <w:tcPr>
                  <w:tcW w:w="764" w:type="pct"/>
                  <w:vAlign w:val="center"/>
                </w:tcPr>
                <w:p>
                  <w:pPr>
                    <w:adjustRightInd w:val="0"/>
                    <w:snapToGrid w:val="0"/>
                    <w:jc w:val="center"/>
                    <w:rPr>
                      <w:szCs w:val="21"/>
                    </w:rPr>
                  </w:pPr>
                  <w:r>
                    <w:rPr>
                      <w:szCs w:val="21"/>
                    </w:rPr>
                    <w:t>500g</w:t>
                  </w:r>
                </w:p>
              </w:tc>
              <w:tc>
                <w:tcPr>
                  <w:tcW w:w="641" w:type="pct"/>
                  <w:vAlign w:val="center"/>
                </w:tcPr>
                <w:p>
                  <w:pPr>
                    <w:widowControl/>
                    <w:jc w:val="center"/>
                    <w:textAlignment w:val="center"/>
                    <w:rPr>
                      <w:kern w:val="0"/>
                      <w:szCs w:val="21"/>
                      <w:lang w:bidi="ar"/>
                    </w:rPr>
                  </w:pPr>
                  <w:r>
                    <w:rPr>
                      <w:kern w:val="0"/>
                      <w:szCs w:val="21"/>
                      <w:lang w:bidi="ar"/>
                    </w:rPr>
                    <w:t>2.43</w:t>
                  </w:r>
                </w:p>
              </w:tc>
              <w:tc>
                <w:tcPr>
                  <w:tcW w:w="1020" w:type="pct"/>
                  <w:vAlign w:val="center"/>
                </w:tcPr>
                <w:p>
                  <w:pPr>
                    <w:widowControl/>
                    <w:jc w:val="center"/>
                    <w:textAlignment w:val="center"/>
                    <w:rPr>
                      <w:kern w:val="0"/>
                      <w:szCs w:val="21"/>
                      <w:lang w:bidi="ar"/>
                    </w:rPr>
                  </w:pPr>
                  <w:r>
                    <w:rPr>
                      <w:kern w:val="0"/>
                      <w:szCs w:val="21"/>
                      <w:lang w:bidi="ar"/>
                    </w:rPr>
                    <w:t>瓶装（0.5L）</w:t>
                  </w:r>
                </w:p>
              </w:tc>
              <w:tc>
                <w:tcPr>
                  <w:tcW w:w="639" w:type="pct"/>
                  <w:vAlign w:val="center"/>
                </w:tcPr>
                <w:p>
                  <w:pPr>
                    <w:widowControl/>
                    <w:jc w:val="center"/>
                    <w:textAlignment w:val="center"/>
                    <w:rPr>
                      <w:kern w:val="0"/>
                      <w:szCs w:val="21"/>
                      <w:lang w:bidi="ar"/>
                    </w:rPr>
                  </w:pPr>
                  <w:r>
                    <w:rPr>
                      <w:kern w:val="0"/>
                      <w:szCs w:val="21"/>
                      <w:lang w:bidi="ar"/>
                    </w:rPr>
                    <w:t>库房</w:t>
                  </w:r>
                </w:p>
              </w:tc>
            </w:tr>
          </w:tbl>
          <w:p>
            <w:pPr>
              <w:pStyle w:val="33"/>
              <w:adjustRightInd w:val="0"/>
              <w:spacing w:before="120" w:beforeLines="50" w:after="72" w:afterLines="30" w:line="240" w:lineRule="auto"/>
              <w:ind w:right="0" w:firstLine="420" w:firstLineChars="200"/>
              <w:rPr>
                <w:rFonts w:eastAsia="黑体"/>
                <w:b w:val="0"/>
                <w:kern w:val="24"/>
                <w:sz w:val="21"/>
                <w:szCs w:val="21"/>
              </w:rPr>
            </w:pPr>
            <w:r>
              <w:rPr>
                <w:rFonts w:eastAsia="黑体"/>
                <w:b w:val="0"/>
                <w:kern w:val="24"/>
                <w:sz w:val="21"/>
                <w:szCs w:val="21"/>
              </w:rPr>
              <w:t>表2-4  项目主要原辅材料理化性质一览表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39"/>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4" w:type="pct"/>
                  <w:vAlign w:val="center"/>
                </w:tcPr>
                <w:p>
                  <w:pPr>
                    <w:adjustRightInd w:val="0"/>
                    <w:snapToGrid w:val="0"/>
                    <w:spacing w:line="320" w:lineRule="exact"/>
                    <w:ind w:left="-105" w:leftChars="-50" w:right="-105" w:rightChars="-50"/>
                    <w:jc w:val="center"/>
                    <w:rPr>
                      <w:bCs/>
                      <w:szCs w:val="21"/>
                      <w:lang w:bidi="ar"/>
                    </w:rPr>
                  </w:pPr>
                  <w:r>
                    <w:rPr>
                      <w:bCs/>
                      <w:szCs w:val="21"/>
                      <w:lang w:bidi="ar"/>
                    </w:rPr>
                    <w:t>项目</w:t>
                  </w:r>
                </w:p>
              </w:tc>
              <w:tc>
                <w:tcPr>
                  <w:tcW w:w="698" w:type="pct"/>
                  <w:vAlign w:val="center"/>
                </w:tcPr>
                <w:p>
                  <w:pPr>
                    <w:adjustRightInd w:val="0"/>
                    <w:snapToGrid w:val="0"/>
                    <w:spacing w:line="320" w:lineRule="exact"/>
                    <w:jc w:val="center"/>
                    <w:rPr>
                      <w:bCs/>
                      <w:szCs w:val="21"/>
                    </w:rPr>
                  </w:pPr>
                  <w:r>
                    <w:rPr>
                      <w:bCs/>
                      <w:szCs w:val="21"/>
                      <w:lang w:bidi="ar"/>
                    </w:rPr>
                    <w:t>名称</w:t>
                  </w:r>
                </w:p>
              </w:tc>
              <w:tc>
                <w:tcPr>
                  <w:tcW w:w="3947" w:type="pct"/>
                  <w:vAlign w:val="center"/>
                </w:tcPr>
                <w:p>
                  <w:pPr>
                    <w:adjustRightInd w:val="0"/>
                    <w:snapToGrid w:val="0"/>
                    <w:spacing w:line="320" w:lineRule="exact"/>
                    <w:jc w:val="center"/>
                    <w:rPr>
                      <w:szCs w:val="21"/>
                    </w:rPr>
                  </w:pPr>
                  <w:r>
                    <w:rPr>
                      <w:szCs w:val="21"/>
                    </w:rPr>
                    <w:t>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w:t>
                  </w:r>
                </w:p>
              </w:tc>
              <w:tc>
                <w:tcPr>
                  <w:tcW w:w="698" w:type="pct"/>
                  <w:vAlign w:val="center"/>
                </w:tcPr>
                <w:p>
                  <w:pPr>
                    <w:adjustRightInd w:val="0"/>
                    <w:snapToGrid w:val="0"/>
                    <w:spacing w:line="340" w:lineRule="exact"/>
                    <w:jc w:val="center"/>
                    <w:rPr>
                      <w:bCs/>
                      <w:szCs w:val="21"/>
                      <w:lang w:bidi="ar"/>
                    </w:rPr>
                  </w:pPr>
                  <w:r>
                    <w:rPr>
                      <w:szCs w:val="21"/>
                    </w:rPr>
                    <w:t>石油醚</w:t>
                  </w:r>
                </w:p>
              </w:tc>
              <w:tc>
                <w:tcPr>
                  <w:tcW w:w="3947" w:type="pct"/>
                  <w:vAlign w:val="center"/>
                </w:tcPr>
                <w:p>
                  <w:pPr>
                    <w:adjustRightInd w:val="0"/>
                    <w:snapToGrid w:val="0"/>
                    <w:spacing w:line="340" w:lineRule="exact"/>
                    <w:rPr>
                      <w:szCs w:val="21"/>
                    </w:rPr>
                  </w:pPr>
                  <w:r>
                    <w:rPr>
                      <w:szCs w:val="21"/>
                    </w:rPr>
                    <w:t>CAS号：101316-46-5，化学式：C</w:t>
                  </w:r>
                  <w:r>
                    <w:rPr>
                      <w:szCs w:val="21"/>
                      <w:vertAlign w:val="subscript"/>
                    </w:rPr>
                    <w:t>5</w:t>
                  </w:r>
                  <w:r>
                    <w:rPr>
                      <w:szCs w:val="21"/>
                    </w:rPr>
                    <w:t>H</w:t>
                  </w:r>
                  <w:r>
                    <w:rPr>
                      <w:szCs w:val="21"/>
                      <w:vertAlign w:val="subscript"/>
                    </w:rPr>
                    <w:t>12</w:t>
                  </w:r>
                  <w:r>
                    <w:rPr>
                      <w:szCs w:val="21"/>
                    </w:rPr>
                    <w:t>、C</w:t>
                  </w:r>
                  <w:r>
                    <w:rPr>
                      <w:szCs w:val="21"/>
                      <w:vertAlign w:val="subscript"/>
                    </w:rPr>
                    <w:t>6</w:t>
                  </w:r>
                  <w:r>
                    <w:rPr>
                      <w:szCs w:val="21"/>
                    </w:rPr>
                    <w:t>H</w:t>
                  </w:r>
                  <w:r>
                    <w:rPr>
                      <w:szCs w:val="21"/>
                      <w:vertAlign w:val="subscript"/>
                    </w:rPr>
                    <w:t>14</w:t>
                  </w:r>
                  <w:r>
                    <w:rPr>
                      <w:szCs w:val="21"/>
                    </w:rPr>
                    <w:t>、C</w:t>
                  </w:r>
                  <w:r>
                    <w:rPr>
                      <w:szCs w:val="21"/>
                      <w:vertAlign w:val="subscript"/>
                    </w:rPr>
                    <w:t>7</w:t>
                  </w:r>
                  <w:r>
                    <w:rPr>
                      <w:szCs w:val="21"/>
                    </w:rPr>
                    <w:t>H</w:t>
                  </w:r>
                  <w:r>
                    <w:rPr>
                      <w:szCs w:val="21"/>
                      <w:vertAlign w:val="subscript"/>
                    </w:rPr>
                    <w:t>16</w:t>
                  </w:r>
                  <w:r>
                    <w:rPr>
                      <w:szCs w:val="21"/>
                    </w:rPr>
                    <w:t>，相对密度：（水=1）：0.64～0.66，沸点(℃)：40～80，为无色透明液体，有煤油气味。主要为戊烷和己烷的混合物。不溶于水，溶于无水乙醇、苯、氯仿、油类等多数有机溶剂。易燃易爆，与氧化剂可强烈反应，其蒸气或雾对眼睛、粘膜和呼吸道有刺激性。中毒表现可有烧灼感、喘息、喉炎、气短头痛、恶心和呕吐。本品可引起周围神经炎，对皮肤有强烈刺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2</w:t>
                  </w:r>
                </w:p>
              </w:tc>
              <w:tc>
                <w:tcPr>
                  <w:tcW w:w="698" w:type="pct"/>
                  <w:vAlign w:val="center"/>
                </w:tcPr>
                <w:p>
                  <w:pPr>
                    <w:adjustRightInd w:val="0"/>
                    <w:snapToGrid w:val="0"/>
                    <w:spacing w:line="340" w:lineRule="exact"/>
                    <w:jc w:val="center"/>
                    <w:rPr>
                      <w:kern w:val="0"/>
                      <w:szCs w:val="21"/>
                      <w:lang w:bidi="ar"/>
                    </w:rPr>
                  </w:pPr>
                  <w:r>
                    <w:rPr>
                      <w:kern w:val="0"/>
                      <w:szCs w:val="21"/>
                      <w:lang w:bidi="ar"/>
                    </w:rPr>
                    <w:t>乙酸</w:t>
                  </w:r>
                </w:p>
                <w:p>
                  <w:pPr>
                    <w:adjustRightInd w:val="0"/>
                    <w:snapToGrid w:val="0"/>
                    <w:spacing w:line="340" w:lineRule="exact"/>
                    <w:jc w:val="center"/>
                    <w:rPr>
                      <w:kern w:val="0"/>
                      <w:szCs w:val="21"/>
                      <w:lang w:bidi="ar"/>
                    </w:rPr>
                  </w:pPr>
                  <w:r>
                    <w:rPr>
                      <w:kern w:val="0"/>
                      <w:szCs w:val="21"/>
                      <w:lang w:bidi="ar"/>
                    </w:rPr>
                    <w:t>乙酯</w:t>
                  </w:r>
                </w:p>
              </w:tc>
              <w:tc>
                <w:tcPr>
                  <w:tcW w:w="3947" w:type="pct"/>
                  <w:vAlign w:val="center"/>
                </w:tcPr>
                <w:p>
                  <w:pPr>
                    <w:pStyle w:val="21"/>
                    <w:adjustRightInd w:val="0"/>
                    <w:snapToGrid w:val="0"/>
                    <w:spacing w:before="0" w:beforeAutospacing="0" w:after="0" w:afterAutospacing="0" w:line="340" w:lineRule="exact"/>
                    <w:rPr>
                      <w:rFonts w:ascii="Times New Roman" w:hAnsi="Times New Roman"/>
                      <w:kern w:val="2"/>
                      <w:sz w:val="21"/>
                      <w:szCs w:val="21"/>
                    </w:rPr>
                  </w:pPr>
                  <w:r>
                    <w:rPr>
                      <w:rFonts w:ascii="Times New Roman" w:hAnsi="Times New Roman"/>
                      <w:kern w:val="2"/>
                      <w:sz w:val="21"/>
                      <w:szCs w:val="21"/>
                    </w:rPr>
                    <w:t>CAS号：141-78-6，化学式：C</w:t>
                  </w:r>
                  <w:r>
                    <w:rPr>
                      <w:rFonts w:ascii="Times New Roman" w:hAnsi="Times New Roman"/>
                      <w:kern w:val="2"/>
                      <w:sz w:val="21"/>
                      <w:szCs w:val="21"/>
                      <w:vertAlign w:val="subscript"/>
                    </w:rPr>
                    <w:t>4</w:t>
                  </w:r>
                  <w:r>
                    <w:rPr>
                      <w:rFonts w:ascii="Times New Roman" w:hAnsi="Times New Roman"/>
                      <w:kern w:val="2"/>
                      <w:sz w:val="21"/>
                      <w:szCs w:val="21"/>
                    </w:rPr>
                    <w:t>H</w:t>
                  </w:r>
                  <w:r>
                    <w:rPr>
                      <w:rFonts w:ascii="Times New Roman" w:hAnsi="Times New Roman"/>
                      <w:kern w:val="2"/>
                      <w:sz w:val="21"/>
                      <w:szCs w:val="21"/>
                      <w:vertAlign w:val="subscript"/>
                    </w:rPr>
                    <w:t>8</w:t>
                  </w:r>
                  <w:r>
                    <w:rPr>
                      <w:rFonts w:ascii="Times New Roman" w:hAnsi="Times New Roman"/>
                      <w:kern w:val="2"/>
                      <w:sz w:val="21"/>
                      <w:szCs w:val="21"/>
                    </w:rPr>
                    <w:t>O</w:t>
                  </w:r>
                  <w:r>
                    <w:rPr>
                      <w:rFonts w:ascii="Times New Roman" w:hAnsi="Times New Roman"/>
                      <w:kern w:val="2"/>
                      <w:sz w:val="21"/>
                      <w:szCs w:val="21"/>
                      <w:vertAlign w:val="subscript"/>
                    </w:rPr>
                    <w:t>2</w:t>
                  </w:r>
                  <w:r>
                    <w:rPr>
                      <w:rFonts w:ascii="Times New Roman" w:hAnsi="Times New Roman"/>
                      <w:kern w:val="2"/>
                      <w:sz w:val="21"/>
                      <w:szCs w:val="21"/>
                    </w:rPr>
                    <w:t>，分子量：88.11g·mol</w:t>
                  </w:r>
                  <w:r>
                    <w:rPr>
                      <w:rFonts w:ascii="Times New Roman" w:hAnsi="Times New Roman"/>
                      <w:kern w:val="2"/>
                      <w:sz w:val="21"/>
                      <w:szCs w:val="21"/>
                      <w:vertAlign w:val="superscript"/>
                    </w:rPr>
                    <w:t>−1</w:t>
                  </w:r>
                  <w:r>
                    <w:rPr>
                      <w:rFonts w:ascii="Times New Roman" w:hAnsi="Times New Roman"/>
                      <w:kern w:val="2"/>
                      <w:sz w:val="21"/>
                      <w:szCs w:val="21"/>
                    </w:rPr>
                    <w:t>，熔点（℃）：-83.6，无色澄清液体。有芳香气味，易挥发。微溶于水，溶于醇、酮、醚、氯仿等多数有机溶剂。对眼、鼻、咽喉有刺激作用。高浓度吸入可引进行性麻醉作用，急性肺水肿，肝、肾损害。持续大量吸入，可致呼吸麻痹。误服者可产生恶心、腹痛、腹泻等。有致敏作用，因血管神经障碍而致牙龈出血；可致湿疹样皮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3</w:t>
                  </w:r>
                </w:p>
              </w:tc>
              <w:tc>
                <w:tcPr>
                  <w:tcW w:w="698" w:type="pct"/>
                  <w:vAlign w:val="center"/>
                </w:tcPr>
                <w:p>
                  <w:pPr>
                    <w:adjustRightInd w:val="0"/>
                    <w:snapToGrid w:val="0"/>
                    <w:spacing w:line="340" w:lineRule="exact"/>
                    <w:jc w:val="center"/>
                    <w:rPr>
                      <w:kern w:val="0"/>
                      <w:szCs w:val="21"/>
                      <w:lang w:bidi="ar"/>
                    </w:rPr>
                  </w:pPr>
                  <w:r>
                    <w:rPr>
                      <w:szCs w:val="21"/>
                    </w:rPr>
                    <w:t>二氯甲烷</w:t>
                  </w:r>
                </w:p>
              </w:tc>
              <w:tc>
                <w:tcPr>
                  <w:tcW w:w="3947" w:type="pct"/>
                  <w:vAlign w:val="center"/>
                </w:tcPr>
                <w:p>
                  <w:pPr>
                    <w:pStyle w:val="21"/>
                    <w:adjustRightInd w:val="0"/>
                    <w:snapToGrid w:val="0"/>
                    <w:spacing w:before="0" w:beforeAutospacing="0" w:after="0" w:afterAutospacing="0" w:line="340" w:lineRule="exact"/>
                    <w:jc w:val="both"/>
                    <w:rPr>
                      <w:rFonts w:ascii="Times New Roman" w:hAnsi="Times New Roman"/>
                      <w:kern w:val="2"/>
                      <w:sz w:val="21"/>
                      <w:szCs w:val="21"/>
                    </w:rPr>
                  </w:pPr>
                  <w:r>
                    <w:rPr>
                      <w:rFonts w:ascii="Times New Roman" w:hAnsi="Times New Roman"/>
                      <w:sz w:val="21"/>
                      <w:szCs w:val="21"/>
                    </w:rPr>
                    <w:t>CAS号：75-09-2，化学式：CH</w:t>
                  </w:r>
                  <w:r>
                    <w:rPr>
                      <w:rFonts w:ascii="Times New Roman" w:hAnsi="Times New Roman"/>
                      <w:sz w:val="21"/>
                      <w:szCs w:val="21"/>
                      <w:vertAlign w:val="subscript"/>
                    </w:rPr>
                    <w:t>2</w:t>
                  </w:r>
                  <w:r>
                    <w:rPr>
                      <w:rFonts w:ascii="Times New Roman" w:hAnsi="Times New Roman"/>
                      <w:sz w:val="21"/>
                      <w:szCs w:val="21"/>
                    </w:rPr>
                    <w:t>Cl</w:t>
                  </w:r>
                  <w:r>
                    <w:rPr>
                      <w:rFonts w:ascii="Times New Roman" w:hAnsi="Times New Roman"/>
                      <w:sz w:val="21"/>
                      <w:szCs w:val="21"/>
                      <w:vertAlign w:val="subscript"/>
                    </w:rPr>
                    <w:t>2</w:t>
                  </w:r>
                  <w:r>
                    <w:rPr>
                      <w:rFonts w:ascii="Times New Roman" w:hAnsi="Times New Roman"/>
                      <w:sz w:val="21"/>
                      <w:szCs w:val="21"/>
                    </w:rPr>
                    <w:t>，分子量：84.93，熔点：-97°C，沸点：39.75℃，水溶性：不溶于水，密度：1.325g/mL，无色透明易挥发液体</w:t>
                  </w:r>
                  <w:r>
                    <w:rPr>
                      <w:rFonts w:ascii="Times New Roman" w:hAnsi="Times New Roman"/>
                      <w:kern w:val="2"/>
                      <w:sz w:val="21"/>
                      <w:szCs w:val="21"/>
                    </w:rPr>
                    <w:t>，有具有类似醚的刺激性气味。不溶于水，溶于乙醇和乙醚。是不可燃低沸点溶剂，常用来代替易燃的</w:t>
                  </w:r>
                  <w:r>
                    <w:fldChar w:fldCharType="begin"/>
                  </w:r>
                  <w:r>
                    <w:instrText xml:space="preserve"> HYPERLINK "https://baike.so.com/doc/721112-763466.html" \t "https://baike.so.com/doc/_blank" </w:instrText>
                  </w:r>
                  <w:r>
                    <w:fldChar w:fldCharType="separate"/>
                  </w:r>
                  <w:r>
                    <w:rPr>
                      <w:rFonts w:ascii="Times New Roman" w:hAnsi="Times New Roman"/>
                      <w:kern w:val="2"/>
                      <w:sz w:val="21"/>
                      <w:szCs w:val="21"/>
                    </w:rPr>
                    <w:t>石油醚</w:t>
                  </w:r>
                  <w:r>
                    <w:rPr>
                      <w:rFonts w:ascii="Times New Roman" w:hAnsi="Times New Roman"/>
                      <w:kern w:val="2"/>
                      <w:sz w:val="21"/>
                      <w:szCs w:val="21"/>
                    </w:rPr>
                    <w:fldChar w:fldCharType="end"/>
                  </w:r>
                  <w:r>
                    <w:rPr>
                      <w:rFonts w:ascii="Times New Roman" w:hAnsi="Times New Roman"/>
                      <w:kern w:val="2"/>
                      <w:sz w:val="21"/>
                      <w:szCs w:val="21"/>
                    </w:rPr>
                    <w:t>、</w:t>
                  </w:r>
                  <w:r>
                    <w:fldChar w:fldCharType="begin"/>
                  </w:r>
                  <w:r>
                    <w:instrText xml:space="preserve"> HYPERLINK "https://baike.so.com/doc/6744681-6959224.html" \t "https://baike.so.com/doc/_blank" </w:instrText>
                  </w:r>
                  <w:r>
                    <w:fldChar w:fldCharType="separate"/>
                  </w:r>
                  <w:r>
                    <w:rPr>
                      <w:rFonts w:ascii="Times New Roman" w:hAnsi="Times New Roman"/>
                      <w:kern w:val="2"/>
                      <w:sz w:val="21"/>
                      <w:szCs w:val="21"/>
                    </w:rPr>
                    <w:t>乙醚</w:t>
                  </w:r>
                  <w:r>
                    <w:rPr>
                      <w:rFonts w:ascii="Times New Roman" w:hAnsi="Times New Roman"/>
                      <w:kern w:val="2"/>
                      <w:sz w:val="21"/>
                      <w:szCs w:val="21"/>
                    </w:rPr>
                    <w:fldChar w:fldCharType="end"/>
                  </w:r>
                  <w:r>
                    <w:rPr>
                      <w:rFonts w:ascii="Times New Roman" w:hAnsi="Times New Roman"/>
                      <w:kern w:val="2"/>
                      <w:sz w:val="21"/>
                      <w:szCs w:val="21"/>
                    </w:rPr>
                    <w:t>等。毒性:经口属中等毒性。</w:t>
                  </w:r>
                  <w:r>
                    <w:fldChar w:fldCharType="begin"/>
                  </w:r>
                  <w:r>
                    <w:instrText xml:space="preserve"> HYPERLINK "https://baike.so.com/doc/6921075-7143035.html" \t "https://baike.so.com/doc/_blank" </w:instrText>
                  </w:r>
                  <w:r>
                    <w:fldChar w:fldCharType="separate"/>
                  </w:r>
                  <w:r>
                    <w:rPr>
                      <w:rFonts w:ascii="Times New Roman" w:hAnsi="Times New Roman"/>
                      <w:kern w:val="2"/>
                      <w:sz w:val="21"/>
                      <w:szCs w:val="21"/>
                    </w:rPr>
                    <w:t>急性毒性</w:t>
                  </w:r>
                  <w:r>
                    <w:rPr>
                      <w:rFonts w:ascii="Times New Roman" w:hAnsi="Times New Roman"/>
                      <w:kern w:val="2"/>
                      <w:sz w:val="21"/>
                      <w:szCs w:val="21"/>
                    </w:rPr>
                    <w:fldChar w:fldCharType="end"/>
                  </w:r>
                  <w:r>
                    <w:rPr>
                      <w:rFonts w:ascii="Times New Roman" w:hAnsi="Times New Roman"/>
                      <w:kern w:val="2"/>
                      <w:sz w:val="21"/>
                      <w:szCs w:val="21"/>
                    </w:rPr>
                    <w:t>:LD501600~2000mg/kg(大鼠经口)；LC5056.2g/m</w:t>
                  </w:r>
                  <w:r>
                    <w:rPr>
                      <w:rFonts w:ascii="Times New Roman" w:hAnsi="Times New Roman"/>
                      <w:kern w:val="2"/>
                      <w:sz w:val="21"/>
                      <w:szCs w:val="21"/>
                      <w:vertAlign w:val="superscript"/>
                    </w:rPr>
                    <w:t>3</w:t>
                  </w:r>
                  <w:r>
                    <w:rPr>
                      <w:rFonts w:ascii="Times New Roman" w:hAnsi="Times New Roman"/>
                      <w:kern w:val="2"/>
                      <w:sz w:val="21"/>
                      <w:szCs w:val="21"/>
                    </w:rPr>
                    <w:t>，8小时(小鼠吸入)；小鼠吸入67.4g/m</w:t>
                  </w:r>
                  <w:r>
                    <w:rPr>
                      <w:rFonts w:ascii="Times New Roman" w:hAnsi="Times New Roman"/>
                      <w:kern w:val="2"/>
                      <w:sz w:val="21"/>
                      <w:szCs w:val="21"/>
                      <w:vertAlign w:val="superscript"/>
                    </w:rPr>
                    <w:t>3</w:t>
                  </w:r>
                  <w:r>
                    <w:rPr>
                      <w:rFonts w:ascii="Times New Roman" w:hAnsi="Times New Roman"/>
                      <w:kern w:val="2"/>
                      <w:sz w:val="21"/>
                      <w:szCs w:val="21"/>
                    </w:rPr>
                    <w:t>×67分钟，致死；人经口20~50ml，轻度中毒；人经口100~150ml，致死；人吸入2.9~4.0g/m3，20分钟后眩晕。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4</w:t>
                  </w:r>
                </w:p>
              </w:tc>
              <w:tc>
                <w:tcPr>
                  <w:tcW w:w="698" w:type="pct"/>
                  <w:vAlign w:val="center"/>
                </w:tcPr>
                <w:p>
                  <w:pPr>
                    <w:adjustRightInd w:val="0"/>
                    <w:snapToGrid w:val="0"/>
                    <w:spacing w:line="340" w:lineRule="exact"/>
                    <w:jc w:val="center"/>
                    <w:rPr>
                      <w:szCs w:val="21"/>
                    </w:rPr>
                  </w:pPr>
                  <w:r>
                    <w:rPr>
                      <w:szCs w:val="21"/>
                    </w:rPr>
                    <w:t>甲醇</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kern w:val="2"/>
                      <w:sz w:val="21"/>
                      <w:szCs w:val="21"/>
                    </w:rPr>
                    <w:t>CAS号：67-56-1，分子式为CH</w:t>
                  </w:r>
                  <w:r>
                    <w:rPr>
                      <w:rFonts w:ascii="Times New Roman" w:hAnsi="Times New Roman"/>
                      <w:kern w:val="2"/>
                      <w:sz w:val="21"/>
                      <w:szCs w:val="21"/>
                      <w:vertAlign w:val="subscript"/>
                    </w:rPr>
                    <w:t>3</w:t>
                  </w:r>
                  <w:r>
                    <w:rPr>
                      <w:rFonts w:ascii="Times New Roman" w:hAnsi="Times New Roman"/>
                      <w:kern w:val="2"/>
                      <w:sz w:val="21"/>
                      <w:szCs w:val="21"/>
                    </w:rPr>
                    <w:t>OH，相对分子质量：32.04，密度0.7918g/cm</w:t>
                  </w:r>
                  <w:r>
                    <w:rPr>
                      <w:rFonts w:ascii="Times New Roman" w:hAnsi="Times New Roman"/>
                      <w:kern w:val="2"/>
                      <w:sz w:val="21"/>
                      <w:szCs w:val="21"/>
                      <w:vertAlign w:val="superscript"/>
                    </w:rPr>
                    <w:t>3</w:t>
                  </w:r>
                  <w:r>
                    <w:rPr>
                      <w:rFonts w:ascii="Times New Roman" w:hAnsi="Times New Roman"/>
                      <w:kern w:val="2"/>
                      <w:sz w:val="21"/>
                      <w:szCs w:val="21"/>
                    </w:rPr>
                    <w:t>，沸点：64.7℃，熔点：-97℃，闪点：11℃，是无色有酒精气味易挥发的液体。人口服中毒最低剂量约为100mg/kg体重，经口摄入0.3～1g/kg可致死。用于制造甲醛和农药等，并用作有机物的萃取剂和酒精的变性剂等。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5</w:t>
                  </w:r>
                </w:p>
              </w:tc>
              <w:tc>
                <w:tcPr>
                  <w:tcW w:w="698" w:type="pct"/>
                  <w:vAlign w:val="center"/>
                </w:tcPr>
                <w:p>
                  <w:pPr>
                    <w:adjustRightInd w:val="0"/>
                    <w:snapToGrid w:val="0"/>
                    <w:spacing w:line="340" w:lineRule="exact"/>
                    <w:jc w:val="center"/>
                    <w:rPr>
                      <w:szCs w:val="21"/>
                    </w:rPr>
                  </w:pPr>
                  <w:r>
                    <w:rPr>
                      <w:szCs w:val="21"/>
                    </w:rPr>
                    <w:t>乙腈</w:t>
                  </w:r>
                </w:p>
              </w:tc>
              <w:tc>
                <w:tcPr>
                  <w:tcW w:w="3947" w:type="pct"/>
                  <w:vAlign w:val="center"/>
                </w:tcPr>
                <w:p>
                  <w:pPr>
                    <w:pStyle w:val="21"/>
                    <w:adjustRightInd w:val="0"/>
                    <w:snapToGrid w:val="0"/>
                    <w:spacing w:before="0" w:beforeAutospacing="0" w:after="0" w:afterAutospacing="0" w:line="340" w:lineRule="exact"/>
                    <w:rPr>
                      <w:rFonts w:ascii="Times New Roman" w:hAnsi="Times New Roman"/>
                      <w:kern w:val="2"/>
                      <w:sz w:val="21"/>
                      <w:szCs w:val="21"/>
                    </w:rPr>
                  </w:pPr>
                  <w:r>
                    <w:rPr>
                      <w:rFonts w:ascii="Times New Roman" w:hAnsi="Times New Roman"/>
                      <w:kern w:val="2"/>
                      <w:sz w:val="21"/>
                      <w:szCs w:val="21"/>
                    </w:rPr>
                    <w:t>CAS号：75-05-8，分子式为C</w:t>
                  </w:r>
                  <w:r>
                    <w:rPr>
                      <w:rFonts w:ascii="Times New Roman" w:hAnsi="Times New Roman"/>
                      <w:kern w:val="2"/>
                      <w:sz w:val="21"/>
                      <w:szCs w:val="21"/>
                      <w:vertAlign w:val="subscript"/>
                    </w:rPr>
                    <w:t>2</w:t>
                  </w:r>
                  <w:r>
                    <w:rPr>
                      <w:rFonts w:ascii="Times New Roman" w:hAnsi="Times New Roman"/>
                      <w:kern w:val="2"/>
                      <w:sz w:val="21"/>
                      <w:szCs w:val="21"/>
                    </w:rPr>
                    <w:t>H</w:t>
                  </w:r>
                  <w:r>
                    <w:rPr>
                      <w:rFonts w:ascii="Times New Roman" w:hAnsi="Times New Roman"/>
                      <w:kern w:val="2"/>
                      <w:sz w:val="21"/>
                      <w:szCs w:val="21"/>
                      <w:vertAlign w:val="subscript"/>
                    </w:rPr>
                    <w:t>3</w:t>
                  </w:r>
                  <w:r>
                    <w:rPr>
                      <w:rFonts w:ascii="Times New Roman" w:hAnsi="Times New Roman"/>
                      <w:kern w:val="2"/>
                      <w:sz w:val="21"/>
                      <w:szCs w:val="21"/>
                    </w:rPr>
                    <w:t>N，相对分子质量41.052，熔点：-45℃，沸点：81-82℃，闪点：12.8℃（CC），急性毒性LD50：2460mg/kg（大鼠经口）；LC50：7551ppm（大鼠吸入，8h），是一种有机化合物，为无色透明液体，有优良的溶剂性能，能溶解多种有机、无机和气体物质，与水和醇无限互溶。乙腈能发生典型的腈类反应，并被用于制备许多典型含氮化合物，是一个重要的有机中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6</w:t>
                  </w:r>
                </w:p>
              </w:tc>
              <w:tc>
                <w:tcPr>
                  <w:tcW w:w="698" w:type="pct"/>
                  <w:vAlign w:val="center"/>
                </w:tcPr>
                <w:p>
                  <w:pPr>
                    <w:adjustRightInd w:val="0"/>
                    <w:snapToGrid w:val="0"/>
                    <w:spacing w:line="340" w:lineRule="exact"/>
                    <w:jc w:val="center"/>
                    <w:rPr>
                      <w:szCs w:val="21"/>
                    </w:rPr>
                  </w:pPr>
                  <w:r>
                    <w:rPr>
                      <w:szCs w:val="21"/>
                    </w:rPr>
                    <w:t>乙醇</w:t>
                  </w:r>
                </w:p>
              </w:tc>
              <w:tc>
                <w:tcPr>
                  <w:tcW w:w="3947" w:type="pct"/>
                  <w:vAlign w:val="center"/>
                </w:tcPr>
                <w:p>
                  <w:pPr>
                    <w:pStyle w:val="21"/>
                    <w:adjustRightInd w:val="0"/>
                    <w:snapToGrid w:val="0"/>
                    <w:spacing w:before="0" w:beforeAutospacing="0" w:after="0" w:afterAutospacing="0" w:line="340" w:lineRule="exact"/>
                    <w:rPr>
                      <w:rFonts w:ascii="Times New Roman" w:hAnsi="Times New Roman"/>
                      <w:kern w:val="2"/>
                      <w:sz w:val="21"/>
                      <w:szCs w:val="21"/>
                    </w:rPr>
                  </w:pPr>
                  <w:r>
                    <w:rPr>
                      <w:rFonts w:ascii="Times New Roman" w:hAnsi="Times New Roman"/>
                      <w:sz w:val="21"/>
                      <w:szCs w:val="21"/>
                    </w:rPr>
                    <w:t>CAS号：64-17-5；分子式为C</w:t>
                  </w:r>
                  <w:r>
                    <w:rPr>
                      <w:rFonts w:ascii="Times New Roman" w:hAnsi="Times New Roman"/>
                      <w:sz w:val="21"/>
                      <w:szCs w:val="21"/>
                      <w:vertAlign w:val="subscript"/>
                    </w:rPr>
                    <w:t>2</w:t>
                  </w:r>
                  <w:r>
                    <w:rPr>
                      <w:rFonts w:ascii="Times New Roman" w:hAnsi="Times New Roman"/>
                      <w:sz w:val="21"/>
                      <w:szCs w:val="21"/>
                    </w:rPr>
                    <w:t>H</w:t>
                  </w:r>
                  <w:r>
                    <w:rPr>
                      <w:rFonts w:ascii="Times New Roman" w:hAnsi="Times New Roman"/>
                      <w:sz w:val="21"/>
                      <w:szCs w:val="21"/>
                      <w:vertAlign w:val="subscript"/>
                    </w:rPr>
                    <w:t>6</w:t>
                  </w:r>
                  <w:r>
                    <w:rPr>
                      <w:rFonts w:ascii="Times New Roman" w:hAnsi="Times New Roman"/>
                      <w:sz w:val="21"/>
                      <w:szCs w:val="21"/>
                    </w:rPr>
                    <w:t>O，相对分子量为46.07，熔点为-114.1℃，沸点为78.3℃；为无色液体，有酒香；与水混溶，可混溶于醚、氯仿、甘油等多数有机溶剂；稳定性较好；用于制酒工业、有机合成、消毒以用作溶剂。LD50：7060mg/kg（大鼠经口）LC50：37620mg/m³，10小时(大鼠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7</w:t>
                  </w:r>
                </w:p>
              </w:tc>
              <w:tc>
                <w:tcPr>
                  <w:tcW w:w="698" w:type="pct"/>
                  <w:vAlign w:val="center"/>
                </w:tcPr>
                <w:p>
                  <w:pPr>
                    <w:adjustRightInd w:val="0"/>
                    <w:snapToGrid w:val="0"/>
                    <w:spacing w:line="340" w:lineRule="exact"/>
                    <w:jc w:val="center"/>
                    <w:rPr>
                      <w:kern w:val="0"/>
                      <w:szCs w:val="21"/>
                    </w:rPr>
                  </w:pPr>
                  <w:r>
                    <w:rPr>
                      <w:kern w:val="0"/>
                      <w:szCs w:val="21"/>
                    </w:rPr>
                    <w:t>二甲基亚砜</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sz w:val="21"/>
                      <w:szCs w:val="21"/>
                    </w:rPr>
                    <w:t>CAS号：</w:t>
                  </w:r>
                  <w:r>
                    <w:rPr>
                      <w:rFonts w:ascii="Times New Roman" w:hAnsi="Times New Roman" w:eastAsia="Arial"/>
                      <w:sz w:val="21"/>
                      <w:szCs w:val="21"/>
                      <w:shd w:val="clear" w:color="auto" w:fill="FFFFFF"/>
                    </w:rPr>
                    <w:t>67-68-5</w:t>
                  </w:r>
                  <w:r>
                    <w:rPr>
                      <w:rFonts w:ascii="Times New Roman" w:hAnsi="Times New Roman"/>
                      <w:sz w:val="21"/>
                      <w:szCs w:val="21"/>
                      <w:shd w:val="clear" w:color="auto" w:fill="FFFFFF"/>
                    </w:rPr>
                    <w:t>；分</w:t>
                  </w:r>
                  <w:r>
                    <w:rPr>
                      <w:rFonts w:ascii="Times New Roman" w:hAnsi="Times New Roman"/>
                      <w:sz w:val="21"/>
                      <w:szCs w:val="21"/>
                    </w:rPr>
                    <w:t>子式为C</w:t>
                  </w:r>
                  <w:r>
                    <w:rPr>
                      <w:rFonts w:ascii="Times New Roman" w:hAnsi="Times New Roman"/>
                      <w:sz w:val="21"/>
                      <w:szCs w:val="21"/>
                      <w:vertAlign w:val="subscript"/>
                    </w:rPr>
                    <w:t>2</w:t>
                  </w:r>
                  <w:r>
                    <w:rPr>
                      <w:rFonts w:ascii="Times New Roman" w:hAnsi="Times New Roman"/>
                      <w:sz w:val="21"/>
                      <w:szCs w:val="21"/>
                    </w:rPr>
                    <w:t>H</w:t>
                  </w:r>
                  <w:r>
                    <w:rPr>
                      <w:rFonts w:ascii="Times New Roman" w:hAnsi="Times New Roman"/>
                      <w:sz w:val="21"/>
                      <w:szCs w:val="21"/>
                      <w:vertAlign w:val="subscript"/>
                    </w:rPr>
                    <w:t>6</w:t>
                  </w:r>
                  <w:r>
                    <w:rPr>
                      <w:rFonts w:ascii="Times New Roman" w:hAnsi="Times New Roman"/>
                      <w:sz w:val="21"/>
                      <w:szCs w:val="21"/>
                    </w:rPr>
                    <w:t>OS，相对分子量为78.13，熔点为18.4℃，沸点为189℃；为无色液体，</w:t>
                  </w:r>
                  <w:r>
                    <w:rPr>
                      <w:rFonts w:hint="eastAsia" w:cs="宋体"/>
                      <w:sz w:val="21"/>
                      <w:szCs w:val="21"/>
                      <w:shd w:val="clear" w:color="auto" w:fill="FFFFFF"/>
                    </w:rPr>
                    <w:t>可燃，几乎无臭，带有苦味</w:t>
                  </w:r>
                  <w:r>
                    <w:rPr>
                      <w:rFonts w:ascii="Times New Roman" w:hAnsi="Times New Roman"/>
                      <w:sz w:val="21"/>
                      <w:szCs w:val="21"/>
                      <w:shd w:val="clear" w:color="auto" w:fill="FFFFFF"/>
                    </w:rPr>
                    <w:t>，</w:t>
                  </w:r>
                  <w:r>
                    <w:rPr>
                      <w:rFonts w:hint="eastAsia" w:cs="宋体"/>
                      <w:sz w:val="21"/>
                      <w:szCs w:val="21"/>
                      <w:shd w:val="clear" w:color="auto" w:fill="FFFFFF"/>
                    </w:rPr>
                    <w:t>可与水以任意比例混合，除石油醚外，可溶解一般有机溶剂</w:t>
                  </w:r>
                  <w:r>
                    <w:rPr>
                      <w:rFonts w:ascii="Times New Roman" w:hAnsi="Times New Roman"/>
                      <w:sz w:val="21"/>
                      <w:szCs w:val="21"/>
                    </w:rPr>
                    <w:t>；LD50：17.9mg/kg（大鼠经口）。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8</w:t>
                  </w:r>
                </w:p>
              </w:tc>
              <w:tc>
                <w:tcPr>
                  <w:tcW w:w="698" w:type="pct"/>
                  <w:vAlign w:val="center"/>
                </w:tcPr>
                <w:p>
                  <w:pPr>
                    <w:adjustRightInd w:val="0"/>
                    <w:snapToGrid w:val="0"/>
                    <w:spacing w:line="340" w:lineRule="exact"/>
                    <w:jc w:val="center"/>
                    <w:rPr>
                      <w:kern w:val="0"/>
                      <w:szCs w:val="21"/>
                    </w:rPr>
                  </w:pPr>
                  <w:r>
                    <w:rPr>
                      <w:kern w:val="0"/>
                      <w:szCs w:val="21"/>
                    </w:rPr>
                    <w:t>N,N-二甲基甲酰胺</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sz w:val="21"/>
                      <w:szCs w:val="21"/>
                    </w:rPr>
                    <w:t>CAS号：</w:t>
                  </w:r>
                  <w:r>
                    <w:rPr>
                      <w:rFonts w:ascii="Times New Roman" w:hAnsi="Times New Roman" w:eastAsia="Arial"/>
                      <w:sz w:val="21"/>
                      <w:szCs w:val="21"/>
                      <w:shd w:val="clear" w:color="auto" w:fill="FFFFFF"/>
                    </w:rPr>
                    <w:t>6</w:t>
                  </w:r>
                  <w:r>
                    <w:rPr>
                      <w:rFonts w:ascii="Times New Roman" w:hAnsi="Times New Roman"/>
                      <w:sz w:val="21"/>
                      <w:szCs w:val="21"/>
                      <w:shd w:val="clear" w:color="auto" w:fill="FFFFFF"/>
                    </w:rPr>
                    <w:t>8</w:t>
                  </w:r>
                  <w:r>
                    <w:rPr>
                      <w:rFonts w:ascii="Times New Roman" w:hAnsi="Times New Roman" w:eastAsia="Arial"/>
                      <w:sz w:val="21"/>
                      <w:szCs w:val="21"/>
                      <w:shd w:val="clear" w:color="auto" w:fill="FFFFFF"/>
                    </w:rPr>
                    <w:t>-</w:t>
                  </w:r>
                  <w:r>
                    <w:rPr>
                      <w:rFonts w:ascii="Times New Roman" w:hAnsi="Times New Roman"/>
                      <w:sz w:val="21"/>
                      <w:szCs w:val="21"/>
                      <w:shd w:val="clear" w:color="auto" w:fill="FFFFFF"/>
                    </w:rPr>
                    <w:t>12</w:t>
                  </w:r>
                  <w:r>
                    <w:rPr>
                      <w:rFonts w:ascii="Times New Roman" w:hAnsi="Times New Roman" w:eastAsia="Arial"/>
                      <w:sz w:val="21"/>
                      <w:szCs w:val="21"/>
                      <w:shd w:val="clear" w:color="auto" w:fill="FFFFFF"/>
                    </w:rPr>
                    <w:t>-</w:t>
                  </w:r>
                  <w:r>
                    <w:rPr>
                      <w:rFonts w:ascii="Times New Roman" w:hAnsi="Times New Roman"/>
                      <w:sz w:val="21"/>
                      <w:szCs w:val="21"/>
                      <w:shd w:val="clear" w:color="auto" w:fill="FFFFFF"/>
                    </w:rPr>
                    <w:t>2；分</w:t>
                  </w:r>
                  <w:r>
                    <w:rPr>
                      <w:rFonts w:ascii="Times New Roman" w:hAnsi="Times New Roman"/>
                      <w:sz w:val="21"/>
                      <w:szCs w:val="21"/>
                    </w:rPr>
                    <w:t>子式为</w:t>
                  </w:r>
                  <w:r>
                    <w:rPr>
                      <w:rFonts w:ascii="Times New Roman" w:hAnsi="Times New Roman" w:eastAsia="Arial"/>
                      <w:sz w:val="21"/>
                      <w:szCs w:val="21"/>
                      <w:shd w:val="clear" w:color="auto" w:fill="FFFFFF"/>
                    </w:rPr>
                    <w:t>C</w:t>
                  </w:r>
                  <w:r>
                    <w:rPr>
                      <w:rFonts w:ascii="Times New Roman" w:hAnsi="Times New Roman" w:eastAsia="Arial"/>
                      <w:sz w:val="21"/>
                      <w:szCs w:val="21"/>
                      <w:shd w:val="clear" w:color="auto" w:fill="FFFFFF"/>
                      <w:vertAlign w:val="subscript"/>
                    </w:rPr>
                    <w:t>3</w:t>
                  </w:r>
                  <w:r>
                    <w:rPr>
                      <w:rFonts w:ascii="Times New Roman" w:hAnsi="Times New Roman" w:eastAsia="Arial"/>
                      <w:sz w:val="21"/>
                      <w:szCs w:val="21"/>
                      <w:shd w:val="clear" w:color="auto" w:fill="FFFFFF"/>
                    </w:rPr>
                    <w:t>H</w:t>
                  </w:r>
                  <w:r>
                    <w:rPr>
                      <w:rFonts w:ascii="Times New Roman" w:hAnsi="Times New Roman" w:eastAsia="Arial"/>
                      <w:sz w:val="21"/>
                      <w:szCs w:val="21"/>
                      <w:shd w:val="clear" w:color="auto" w:fill="FFFFFF"/>
                      <w:vertAlign w:val="subscript"/>
                    </w:rPr>
                    <w:t>7</w:t>
                  </w:r>
                  <w:r>
                    <w:rPr>
                      <w:rFonts w:ascii="Times New Roman" w:hAnsi="Times New Roman" w:eastAsia="Arial"/>
                      <w:sz w:val="21"/>
                      <w:szCs w:val="21"/>
                      <w:shd w:val="clear" w:color="auto" w:fill="FFFFFF"/>
                    </w:rPr>
                    <w:t>NO</w:t>
                  </w:r>
                  <w:r>
                    <w:rPr>
                      <w:rFonts w:ascii="Times New Roman" w:hAnsi="Times New Roman"/>
                      <w:sz w:val="21"/>
                      <w:szCs w:val="21"/>
                    </w:rPr>
                    <w:t>，相对分子量为</w:t>
                  </w:r>
                  <w:r>
                    <w:rPr>
                      <w:rFonts w:ascii="Times New Roman" w:hAnsi="Times New Roman" w:eastAsia="Arial"/>
                      <w:sz w:val="21"/>
                      <w:szCs w:val="21"/>
                      <w:shd w:val="clear" w:color="auto" w:fill="FFFFFF"/>
                    </w:rPr>
                    <w:t>73.09</w:t>
                  </w:r>
                  <w:r>
                    <w:rPr>
                      <w:rFonts w:ascii="Times New Roman" w:hAnsi="Times New Roman"/>
                      <w:sz w:val="21"/>
                      <w:szCs w:val="21"/>
                    </w:rPr>
                    <w:t>，熔点为-61℃，沸点为153℃；为无色液体，</w:t>
                  </w:r>
                  <w:r>
                    <w:rPr>
                      <w:rFonts w:hint="eastAsia" w:cs="宋体"/>
                      <w:sz w:val="21"/>
                      <w:szCs w:val="21"/>
                      <w:shd w:val="clear" w:color="auto" w:fill="FFFFFF"/>
                    </w:rPr>
                    <w:t>为非质子型极性溶剂，对多种有机化合物和无机化合物均有良好的溶解能力，在无碱、酸、水存在下，具有良好的化学稳定性</w:t>
                  </w:r>
                  <w:r>
                    <w:rPr>
                      <w:rFonts w:ascii="Times New Roman" w:hAnsi="Times New Roman"/>
                      <w:sz w:val="21"/>
                      <w:szCs w:val="21"/>
                    </w:rPr>
                    <w:t>；LD50：3000-7000mg/kg（大鼠经口）。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9</w:t>
                  </w:r>
                </w:p>
              </w:tc>
              <w:tc>
                <w:tcPr>
                  <w:tcW w:w="698" w:type="pct"/>
                  <w:vAlign w:val="center"/>
                </w:tcPr>
                <w:p>
                  <w:pPr>
                    <w:adjustRightInd w:val="0"/>
                    <w:snapToGrid w:val="0"/>
                    <w:spacing w:line="340" w:lineRule="exact"/>
                    <w:jc w:val="center"/>
                    <w:rPr>
                      <w:kern w:val="0"/>
                      <w:szCs w:val="21"/>
                    </w:rPr>
                  </w:pPr>
                  <w:r>
                    <w:rPr>
                      <w:szCs w:val="21"/>
                    </w:rPr>
                    <w:t>四氢呋喃</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kern w:val="2"/>
                      <w:sz w:val="21"/>
                      <w:szCs w:val="21"/>
                    </w:rPr>
                    <w:t>CAS号：109-99-9；分子式为C</w:t>
                  </w:r>
                  <w:r>
                    <w:rPr>
                      <w:rFonts w:ascii="Times New Roman" w:hAnsi="Times New Roman"/>
                      <w:kern w:val="2"/>
                      <w:sz w:val="21"/>
                      <w:szCs w:val="21"/>
                      <w:vertAlign w:val="subscript"/>
                    </w:rPr>
                    <w:t>4</w:t>
                  </w:r>
                  <w:r>
                    <w:rPr>
                      <w:rFonts w:ascii="Times New Roman" w:hAnsi="Times New Roman"/>
                      <w:kern w:val="2"/>
                      <w:sz w:val="21"/>
                      <w:szCs w:val="21"/>
                    </w:rPr>
                    <w:t>H</w:t>
                  </w:r>
                  <w:r>
                    <w:rPr>
                      <w:rFonts w:ascii="Times New Roman" w:hAnsi="Times New Roman"/>
                      <w:kern w:val="2"/>
                      <w:sz w:val="21"/>
                      <w:szCs w:val="21"/>
                      <w:vertAlign w:val="subscript"/>
                    </w:rPr>
                    <w:t>8</w:t>
                  </w:r>
                  <w:r>
                    <w:rPr>
                      <w:rFonts w:ascii="Times New Roman" w:hAnsi="Times New Roman"/>
                      <w:kern w:val="2"/>
                      <w:sz w:val="21"/>
                      <w:szCs w:val="21"/>
                    </w:rPr>
                    <w:t>O，相对分子量为72.11，熔点为-108.5℃，沸点为66℃；一类杂环有机化合物，最强的极性醚类之一，在化学反应和萃取时用做一种中等极性的溶剂，无色透明液体，有醚样气味，具有低毒、低沸点、流动性好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10</w:t>
                  </w:r>
                </w:p>
              </w:tc>
              <w:tc>
                <w:tcPr>
                  <w:tcW w:w="698" w:type="pct"/>
                  <w:vAlign w:val="center"/>
                </w:tcPr>
                <w:p>
                  <w:pPr>
                    <w:adjustRightInd w:val="0"/>
                    <w:snapToGrid w:val="0"/>
                    <w:spacing w:line="340" w:lineRule="exact"/>
                    <w:jc w:val="center"/>
                    <w:rPr>
                      <w:kern w:val="0"/>
                      <w:szCs w:val="21"/>
                    </w:rPr>
                  </w:pPr>
                  <w:r>
                    <w:rPr>
                      <w:szCs w:val="21"/>
                    </w:rPr>
                    <w:t>二氧六环</w:t>
                  </w:r>
                </w:p>
              </w:tc>
              <w:tc>
                <w:tcPr>
                  <w:tcW w:w="3947" w:type="pct"/>
                  <w:vAlign w:val="center"/>
                </w:tcPr>
                <w:p>
                  <w:pPr>
                    <w:pStyle w:val="21"/>
                    <w:adjustRightInd w:val="0"/>
                    <w:snapToGrid w:val="0"/>
                    <w:spacing w:before="0" w:beforeAutospacing="0" w:after="0" w:afterAutospacing="0" w:line="340" w:lineRule="exact"/>
                    <w:jc w:val="both"/>
                    <w:rPr>
                      <w:rFonts w:ascii="Times New Roman" w:hAnsi="Times New Roman"/>
                      <w:sz w:val="21"/>
                      <w:szCs w:val="21"/>
                    </w:rPr>
                  </w:pPr>
                  <w:r>
                    <w:rPr>
                      <w:rFonts w:ascii="Times New Roman" w:hAnsi="Times New Roman"/>
                      <w:kern w:val="2"/>
                      <w:sz w:val="21"/>
                      <w:szCs w:val="21"/>
                    </w:rPr>
                    <w:t>CAS号：123-91-1，分子式C</w:t>
                  </w:r>
                  <w:r>
                    <w:rPr>
                      <w:rFonts w:ascii="Times New Roman" w:hAnsi="Times New Roman"/>
                      <w:kern w:val="2"/>
                      <w:sz w:val="21"/>
                      <w:szCs w:val="21"/>
                      <w:vertAlign w:val="subscript"/>
                    </w:rPr>
                    <w:t>4</w:t>
                  </w:r>
                  <w:r>
                    <w:rPr>
                      <w:rFonts w:ascii="Times New Roman" w:hAnsi="Times New Roman"/>
                      <w:kern w:val="2"/>
                      <w:sz w:val="21"/>
                      <w:szCs w:val="21"/>
                    </w:rPr>
                    <w:t>H</w:t>
                  </w:r>
                  <w:r>
                    <w:rPr>
                      <w:rFonts w:ascii="Times New Roman" w:hAnsi="Times New Roman"/>
                      <w:kern w:val="2"/>
                      <w:sz w:val="21"/>
                      <w:szCs w:val="21"/>
                      <w:vertAlign w:val="subscript"/>
                    </w:rPr>
                    <w:t>8</w:t>
                  </w:r>
                  <w:r>
                    <w:rPr>
                      <w:rFonts w:ascii="Times New Roman" w:hAnsi="Times New Roman"/>
                      <w:kern w:val="2"/>
                      <w:sz w:val="21"/>
                      <w:szCs w:val="21"/>
                    </w:rPr>
                    <w:t>O2，分子量88.11，无色液体。稍有香味。折射率1.4175。熔点11℃。沸点101.1℃。与水和许多</w:t>
                  </w:r>
                  <w:r>
                    <w:fldChar w:fldCharType="begin"/>
                  </w:r>
                  <w:r>
                    <w:instrText xml:space="preserve"> HYPERLINK "https://baike.so.com/doc/4792021-5008084.html" \t "https://baike.so.com/doc/_blank" </w:instrText>
                  </w:r>
                  <w:r>
                    <w:fldChar w:fldCharType="separate"/>
                  </w:r>
                  <w:r>
                    <w:rPr>
                      <w:rFonts w:ascii="Times New Roman" w:hAnsi="Times New Roman"/>
                      <w:kern w:val="2"/>
                      <w:sz w:val="21"/>
                      <w:szCs w:val="21"/>
                    </w:rPr>
                    <w:t>有机溶剂</w:t>
                  </w:r>
                  <w:r>
                    <w:rPr>
                      <w:rFonts w:ascii="Times New Roman" w:hAnsi="Times New Roman"/>
                      <w:kern w:val="2"/>
                      <w:sz w:val="21"/>
                      <w:szCs w:val="21"/>
                    </w:rPr>
                    <w:fldChar w:fldCharType="end"/>
                  </w:r>
                  <w:r>
                    <w:rPr>
                      <w:rFonts w:ascii="Times New Roman" w:hAnsi="Times New Roman"/>
                      <w:kern w:val="2"/>
                      <w:sz w:val="21"/>
                      <w:szCs w:val="21"/>
                    </w:rPr>
                    <w:t>混溶，由</w:t>
                  </w:r>
                  <w:r>
                    <w:fldChar w:fldCharType="begin"/>
                  </w:r>
                  <w:r>
                    <w:instrText xml:space="preserve"> HYPERLINK "https://baike.so.com/doc/3767521-3957688.html" \t "https://baike.so.com/doc/_blank" </w:instrText>
                  </w:r>
                  <w:r>
                    <w:fldChar w:fldCharType="separate"/>
                  </w:r>
                  <w:r>
                    <w:rPr>
                      <w:rFonts w:ascii="Times New Roman" w:hAnsi="Times New Roman"/>
                      <w:kern w:val="2"/>
                      <w:sz w:val="21"/>
                      <w:szCs w:val="21"/>
                    </w:rPr>
                    <w:t>乙二醇</w:t>
                  </w:r>
                  <w:r>
                    <w:rPr>
                      <w:rFonts w:ascii="Times New Roman" w:hAnsi="Times New Roman"/>
                      <w:kern w:val="2"/>
                      <w:sz w:val="21"/>
                      <w:szCs w:val="21"/>
                    </w:rPr>
                    <w:fldChar w:fldCharType="end"/>
                  </w:r>
                  <w:r>
                    <w:rPr>
                      <w:rFonts w:ascii="Times New Roman" w:hAnsi="Times New Roman"/>
                      <w:kern w:val="2"/>
                      <w:sz w:val="21"/>
                      <w:szCs w:val="21"/>
                    </w:rPr>
                    <w:t>和浓磷酸共同蒸馏脱水而制得，是醋酸纤维素、树脂、植物油、矿物油、油溶染料等的溶剂，也用于制喷漆、清漆、增塑剂、润湿剂等。</w:t>
                  </w:r>
                  <w:r>
                    <w:fldChar w:fldCharType="begin"/>
                  </w:r>
                  <w:r>
                    <w:instrText xml:space="preserve"> HYPERLINK "https://baike.so.com/doc/6921075-7143035.html" \t "https://baike.so.com/doc/_blank" </w:instrText>
                  </w:r>
                  <w:r>
                    <w:fldChar w:fldCharType="separate"/>
                  </w:r>
                  <w:r>
                    <w:rPr>
                      <w:rFonts w:ascii="Times New Roman" w:hAnsi="Times New Roman"/>
                      <w:kern w:val="2"/>
                      <w:sz w:val="21"/>
                      <w:szCs w:val="21"/>
                    </w:rPr>
                    <w:t>急性毒性</w:t>
                  </w:r>
                  <w:r>
                    <w:rPr>
                      <w:rFonts w:ascii="Times New Roman" w:hAnsi="Times New Roman"/>
                      <w:kern w:val="2"/>
                      <w:sz w:val="21"/>
                      <w:szCs w:val="21"/>
                    </w:rPr>
                    <w:fldChar w:fldCharType="end"/>
                  </w:r>
                  <w:r>
                    <w:rPr>
                      <w:rFonts w:ascii="Times New Roman" w:hAnsi="Times New Roman"/>
                      <w:kern w:val="2"/>
                      <w:sz w:val="21"/>
                      <w:szCs w:val="21"/>
                    </w:rPr>
                    <w:t>：LD50:5170mg/kg(大鼠经口)；7600mg/kg(兔经皮)LC50:46000mg/m</w:t>
                  </w:r>
                  <w:r>
                    <w:rPr>
                      <w:rFonts w:ascii="Times New Roman" w:hAnsi="Times New Roman"/>
                      <w:kern w:val="2"/>
                      <w:sz w:val="21"/>
                      <w:szCs w:val="21"/>
                      <w:vertAlign w:val="superscript"/>
                    </w:rPr>
                    <w:t>3</w:t>
                  </w:r>
                  <w:r>
                    <w:rPr>
                      <w:rFonts w:ascii="Times New Roman" w:hAnsi="Times New Roman"/>
                      <w:kern w:val="2"/>
                      <w:sz w:val="21"/>
                      <w:szCs w:val="21"/>
                    </w:rPr>
                    <w:t>(大鼠吸入，2h)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11</w:t>
                  </w:r>
                </w:p>
              </w:tc>
              <w:tc>
                <w:tcPr>
                  <w:tcW w:w="698" w:type="pct"/>
                  <w:vAlign w:val="center"/>
                </w:tcPr>
                <w:p>
                  <w:pPr>
                    <w:adjustRightInd w:val="0"/>
                    <w:snapToGrid w:val="0"/>
                    <w:spacing w:line="340" w:lineRule="exact"/>
                    <w:jc w:val="center"/>
                    <w:rPr>
                      <w:szCs w:val="21"/>
                    </w:rPr>
                  </w:pPr>
                  <w:r>
                    <w:rPr>
                      <w:szCs w:val="21"/>
                    </w:rPr>
                    <w:t>甲苯</w:t>
                  </w:r>
                </w:p>
              </w:tc>
              <w:tc>
                <w:tcPr>
                  <w:tcW w:w="3947" w:type="pct"/>
                  <w:vAlign w:val="center"/>
                </w:tcPr>
                <w:p>
                  <w:pPr>
                    <w:pStyle w:val="21"/>
                    <w:adjustRightInd w:val="0"/>
                    <w:snapToGrid w:val="0"/>
                    <w:spacing w:before="0" w:beforeAutospacing="0" w:after="0" w:afterAutospacing="0" w:line="340" w:lineRule="exact"/>
                    <w:jc w:val="both"/>
                    <w:rPr>
                      <w:rFonts w:ascii="Times New Roman" w:hAnsi="Times New Roman"/>
                      <w:sz w:val="21"/>
                      <w:szCs w:val="21"/>
                    </w:rPr>
                  </w:pPr>
                  <w:r>
                    <w:rPr>
                      <w:rFonts w:ascii="Times New Roman" w:hAnsi="Times New Roman"/>
                      <w:kern w:val="2"/>
                      <w:sz w:val="21"/>
                      <w:szCs w:val="21"/>
                    </w:rPr>
                    <w:t>CAS号：108-88-3，化学式：C</w:t>
                  </w:r>
                  <w:r>
                    <w:rPr>
                      <w:rFonts w:ascii="Times New Roman" w:hAnsi="Times New Roman"/>
                      <w:kern w:val="2"/>
                      <w:sz w:val="21"/>
                      <w:szCs w:val="21"/>
                      <w:vertAlign w:val="subscript"/>
                    </w:rPr>
                    <w:t>7</w:t>
                  </w:r>
                  <w:r>
                    <w:rPr>
                      <w:rFonts w:ascii="Times New Roman" w:hAnsi="Times New Roman"/>
                      <w:kern w:val="2"/>
                      <w:sz w:val="21"/>
                      <w:szCs w:val="21"/>
                    </w:rPr>
                    <w:t>H</w:t>
                  </w:r>
                  <w:r>
                    <w:rPr>
                      <w:rFonts w:ascii="Times New Roman" w:hAnsi="Times New Roman"/>
                      <w:kern w:val="2"/>
                      <w:sz w:val="21"/>
                      <w:szCs w:val="21"/>
                      <w:vertAlign w:val="subscript"/>
                    </w:rPr>
                    <w:t>8</w:t>
                  </w:r>
                  <w:r>
                    <w:rPr>
                      <w:rFonts w:ascii="Times New Roman" w:hAnsi="Times New Roman"/>
                      <w:kern w:val="2"/>
                      <w:sz w:val="21"/>
                      <w:szCs w:val="21"/>
                    </w:rPr>
                    <w:t>，</w:t>
                  </w:r>
                  <w:r>
                    <w:fldChar w:fldCharType="begin"/>
                  </w:r>
                  <w:r>
                    <w:instrText xml:space="preserve"> HYPERLINK "https://baike.so.com/doc/6746556-6961102.html" \t "https://baike.so.com/doc/_blank" </w:instrText>
                  </w:r>
                  <w:r>
                    <w:fldChar w:fldCharType="separate"/>
                  </w:r>
                  <w:r>
                    <w:rPr>
                      <w:rFonts w:ascii="Times New Roman" w:hAnsi="Times New Roman"/>
                      <w:kern w:val="2"/>
                      <w:sz w:val="21"/>
                      <w:szCs w:val="21"/>
                    </w:rPr>
                    <w:t>凝固点</w:t>
                  </w:r>
                  <w:r>
                    <w:rPr>
                      <w:rFonts w:ascii="Times New Roman" w:hAnsi="Times New Roman"/>
                      <w:kern w:val="2"/>
                      <w:sz w:val="21"/>
                      <w:szCs w:val="21"/>
                    </w:rPr>
                    <w:fldChar w:fldCharType="end"/>
                  </w:r>
                  <w:r>
                    <w:rPr>
                      <w:rFonts w:ascii="Times New Roman" w:hAnsi="Times New Roman"/>
                      <w:kern w:val="2"/>
                      <w:sz w:val="21"/>
                      <w:szCs w:val="21"/>
                    </w:rPr>
                    <w:t>-95℃，</w:t>
                  </w:r>
                  <w:r>
                    <w:fldChar w:fldCharType="begin"/>
                  </w:r>
                  <w:r>
                    <w:instrText xml:space="preserve"> HYPERLINK "https://baike.so.com/doc/5567907-5783065.html" \t "https://baike.so.com/doc/_blank" </w:instrText>
                  </w:r>
                  <w:r>
                    <w:fldChar w:fldCharType="separate"/>
                  </w:r>
                  <w:r>
                    <w:rPr>
                      <w:rFonts w:ascii="Times New Roman" w:hAnsi="Times New Roman"/>
                      <w:kern w:val="2"/>
                      <w:sz w:val="21"/>
                      <w:szCs w:val="21"/>
                    </w:rPr>
                    <w:t>沸点</w:t>
                  </w:r>
                  <w:r>
                    <w:rPr>
                      <w:rFonts w:ascii="Times New Roman" w:hAnsi="Times New Roman"/>
                      <w:kern w:val="2"/>
                      <w:sz w:val="21"/>
                      <w:szCs w:val="21"/>
                    </w:rPr>
                    <w:fldChar w:fldCharType="end"/>
                  </w:r>
                  <w:r>
                    <w:rPr>
                      <w:rFonts w:ascii="Times New Roman" w:hAnsi="Times New Roman"/>
                      <w:kern w:val="2"/>
                      <w:sz w:val="21"/>
                      <w:szCs w:val="21"/>
                    </w:rPr>
                    <w:t>110.6℃，</w:t>
                  </w:r>
                  <w:r>
                    <w:fldChar w:fldCharType="begin"/>
                  </w:r>
                  <w:r>
                    <w:instrText xml:space="preserve"> HYPERLINK "https://baike.so.com/doc/6175804-6389045.html" \t "https://baike.so.com/doc/_blank" </w:instrText>
                  </w:r>
                  <w:r>
                    <w:fldChar w:fldCharType="separate"/>
                  </w:r>
                  <w:r>
                    <w:rPr>
                      <w:rFonts w:ascii="Times New Roman" w:hAnsi="Times New Roman"/>
                      <w:kern w:val="2"/>
                      <w:sz w:val="21"/>
                      <w:szCs w:val="21"/>
                    </w:rPr>
                    <w:t>折光率</w:t>
                  </w:r>
                  <w:r>
                    <w:rPr>
                      <w:rFonts w:ascii="Times New Roman" w:hAnsi="Times New Roman"/>
                      <w:kern w:val="2"/>
                      <w:sz w:val="21"/>
                      <w:szCs w:val="21"/>
                    </w:rPr>
                    <w:fldChar w:fldCharType="end"/>
                  </w:r>
                  <w:r>
                    <w:rPr>
                      <w:rFonts w:ascii="Times New Roman" w:hAnsi="Times New Roman"/>
                      <w:kern w:val="2"/>
                      <w:sz w:val="21"/>
                      <w:szCs w:val="21"/>
                    </w:rPr>
                    <w:t xml:space="preserve"> 1.4967，闪点(闭杯) 4.4℃，无色澄清液体，有苯样气味，有强折光性，能与</w:t>
                  </w:r>
                  <w:r>
                    <w:fldChar w:fldCharType="begin"/>
                  </w:r>
                  <w:r>
                    <w:instrText xml:space="preserve"> HYPERLINK "https://baike.so.com/doc/3036121-3200992.html" \t "https://baike.so.com/doc/_blank" </w:instrText>
                  </w:r>
                  <w:r>
                    <w:fldChar w:fldCharType="separate"/>
                  </w:r>
                  <w:r>
                    <w:rPr>
                      <w:rFonts w:ascii="Times New Roman" w:hAnsi="Times New Roman"/>
                      <w:kern w:val="2"/>
                      <w:sz w:val="21"/>
                      <w:szCs w:val="21"/>
                    </w:rPr>
                    <w:t>乙醇</w:t>
                  </w:r>
                  <w:r>
                    <w:rPr>
                      <w:rFonts w:ascii="Times New Roman" w:hAnsi="Times New Roman"/>
                      <w:kern w:val="2"/>
                      <w:sz w:val="21"/>
                      <w:szCs w:val="21"/>
                    </w:rPr>
                    <w:fldChar w:fldCharType="end"/>
                  </w:r>
                  <w:r>
                    <w:rPr>
                      <w:rFonts w:ascii="Times New Roman" w:hAnsi="Times New Roman"/>
                      <w:kern w:val="2"/>
                      <w:sz w:val="21"/>
                      <w:szCs w:val="21"/>
                    </w:rPr>
                    <w:t>、 </w:t>
                  </w:r>
                  <w:r>
                    <w:fldChar w:fldCharType="begin"/>
                  </w:r>
                  <w:r>
                    <w:instrText xml:space="preserve"> HYPERLINK "https://baike.so.com/doc/1872265-1980372.html" \t "https://baike.so.com/doc/_blank" </w:instrText>
                  </w:r>
                  <w:r>
                    <w:fldChar w:fldCharType="separate"/>
                  </w:r>
                  <w:r>
                    <w:rPr>
                      <w:rFonts w:ascii="Times New Roman" w:hAnsi="Times New Roman"/>
                      <w:kern w:val="2"/>
                      <w:sz w:val="21"/>
                      <w:szCs w:val="21"/>
                    </w:rPr>
                    <w:t>乙醚</w:t>
                  </w:r>
                  <w:r>
                    <w:rPr>
                      <w:rFonts w:ascii="Times New Roman" w:hAnsi="Times New Roman"/>
                      <w:kern w:val="2"/>
                      <w:sz w:val="21"/>
                      <w:szCs w:val="21"/>
                    </w:rPr>
                    <w:fldChar w:fldCharType="end"/>
                  </w:r>
                  <w:r>
                    <w:rPr>
                      <w:rFonts w:ascii="Times New Roman" w:hAnsi="Times New Roman"/>
                      <w:kern w:val="2"/>
                      <w:sz w:val="21"/>
                      <w:szCs w:val="21"/>
                    </w:rPr>
                    <w:t>、</w:t>
                  </w:r>
                  <w:r>
                    <w:fldChar w:fldCharType="begin"/>
                  </w:r>
                  <w:r>
                    <w:instrText xml:space="preserve"> HYPERLINK "https://baike.so.com/doc/7098038-7320983.html" \t "https://baike.so.com/doc/_blank" </w:instrText>
                  </w:r>
                  <w:r>
                    <w:fldChar w:fldCharType="separate"/>
                  </w:r>
                  <w:r>
                    <w:rPr>
                      <w:rFonts w:ascii="Times New Roman" w:hAnsi="Times New Roman"/>
                      <w:kern w:val="2"/>
                      <w:sz w:val="21"/>
                      <w:szCs w:val="21"/>
                    </w:rPr>
                    <w:t>丙酮</w:t>
                  </w:r>
                  <w:r>
                    <w:rPr>
                      <w:rFonts w:ascii="Times New Roman" w:hAnsi="Times New Roman"/>
                      <w:kern w:val="2"/>
                      <w:sz w:val="21"/>
                      <w:szCs w:val="21"/>
                    </w:rPr>
                    <w:fldChar w:fldCharType="end"/>
                  </w:r>
                  <w:r>
                    <w:rPr>
                      <w:rFonts w:ascii="Times New Roman" w:hAnsi="Times New Roman"/>
                      <w:kern w:val="2"/>
                      <w:sz w:val="21"/>
                      <w:szCs w:val="21"/>
                    </w:rPr>
                    <w:t>、氯仿、二硫化碳和冰乙酸混溶，极微溶于水。易燃，蒸气能与空气形成爆炸性混合物，</w:t>
                  </w:r>
                  <w:r>
                    <w:fldChar w:fldCharType="begin"/>
                  </w:r>
                  <w:r>
                    <w:instrText xml:space="preserve"> HYPERLINK "https://baike.so.com/doc/625906-662542.html" \t "https://baike.so.com/doc/_blank" </w:instrText>
                  </w:r>
                  <w:r>
                    <w:fldChar w:fldCharType="separate"/>
                  </w:r>
                  <w:r>
                    <w:rPr>
                      <w:rFonts w:ascii="Times New Roman" w:hAnsi="Times New Roman"/>
                      <w:kern w:val="2"/>
                      <w:sz w:val="21"/>
                      <w:szCs w:val="21"/>
                    </w:rPr>
                    <w:t>爆炸极限</w:t>
                  </w:r>
                  <w:r>
                    <w:rPr>
                      <w:rFonts w:ascii="Times New Roman" w:hAnsi="Times New Roman"/>
                      <w:kern w:val="2"/>
                      <w:sz w:val="21"/>
                      <w:szCs w:val="21"/>
                    </w:rPr>
                    <w:fldChar w:fldCharType="end"/>
                  </w:r>
                  <w:r>
                    <w:rPr>
                      <w:rFonts w:ascii="Times New Roman" w:hAnsi="Times New Roman"/>
                      <w:kern w:val="2"/>
                      <w:sz w:val="21"/>
                      <w:szCs w:val="21"/>
                    </w:rPr>
                    <w:t> 1.2%~7.0%(体积)。低毒，半数致死量(大鼠，经口)5000mg/kg。高浓度气体有麻醉性、有刺激性。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12</w:t>
                  </w:r>
                </w:p>
              </w:tc>
              <w:tc>
                <w:tcPr>
                  <w:tcW w:w="698" w:type="pct"/>
                  <w:vAlign w:val="center"/>
                </w:tcPr>
                <w:p>
                  <w:pPr>
                    <w:adjustRightInd w:val="0"/>
                    <w:snapToGrid w:val="0"/>
                    <w:spacing w:line="340" w:lineRule="exact"/>
                    <w:jc w:val="center"/>
                    <w:rPr>
                      <w:szCs w:val="21"/>
                    </w:rPr>
                  </w:pPr>
                  <w:r>
                    <w:rPr>
                      <w:szCs w:val="21"/>
                    </w:rPr>
                    <w:t>吡啶</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kern w:val="2"/>
                      <w:sz w:val="21"/>
                      <w:szCs w:val="21"/>
                    </w:rPr>
                    <w:t>CAS号：</w:t>
                  </w:r>
                  <w:r>
                    <w:rPr>
                      <w:rFonts w:ascii="Times New Roman" w:hAnsi="Times New Roman" w:eastAsia="Tahoma"/>
                      <w:sz w:val="21"/>
                      <w:szCs w:val="21"/>
                    </w:rPr>
                    <w:t>110-86-1</w:t>
                  </w:r>
                  <w:r>
                    <w:rPr>
                      <w:rFonts w:ascii="Times New Roman" w:hAnsi="Times New Roman"/>
                      <w:sz w:val="21"/>
                      <w:szCs w:val="21"/>
                    </w:rPr>
                    <w:t>，</w:t>
                  </w:r>
                  <w:r>
                    <w:rPr>
                      <w:rFonts w:ascii="Times New Roman" w:hAnsi="Times New Roman"/>
                      <w:kern w:val="2"/>
                      <w:sz w:val="21"/>
                      <w:szCs w:val="21"/>
                    </w:rPr>
                    <w:t>化学式：</w:t>
                  </w:r>
                  <w:r>
                    <w:rPr>
                      <w:rFonts w:ascii="Times New Roman" w:hAnsi="Times New Roman" w:eastAsia="Tahoma"/>
                      <w:sz w:val="21"/>
                      <w:szCs w:val="21"/>
                    </w:rPr>
                    <w:t>C</w:t>
                  </w:r>
                  <w:r>
                    <w:rPr>
                      <w:rFonts w:ascii="Times New Roman" w:hAnsi="Times New Roman" w:eastAsia="Tahoma"/>
                      <w:szCs w:val="24"/>
                      <w:vertAlign w:val="subscript"/>
                    </w:rPr>
                    <w:t>5</w:t>
                  </w:r>
                  <w:r>
                    <w:rPr>
                      <w:rFonts w:ascii="Times New Roman" w:hAnsi="Times New Roman" w:eastAsia="Tahoma"/>
                      <w:sz w:val="21"/>
                      <w:szCs w:val="21"/>
                    </w:rPr>
                    <w:t>H</w:t>
                  </w:r>
                  <w:r>
                    <w:rPr>
                      <w:rFonts w:ascii="Times New Roman" w:hAnsi="Times New Roman" w:eastAsia="Tahoma"/>
                      <w:szCs w:val="24"/>
                      <w:vertAlign w:val="subscript"/>
                    </w:rPr>
                    <w:t>5</w:t>
                  </w:r>
                  <w:r>
                    <w:rPr>
                      <w:rFonts w:ascii="Times New Roman" w:hAnsi="Times New Roman" w:eastAsia="Tahoma"/>
                      <w:sz w:val="21"/>
                      <w:szCs w:val="21"/>
                    </w:rPr>
                    <w:t>N</w:t>
                  </w:r>
                  <w:r>
                    <w:rPr>
                      <w:rFonts w:ascii="Times New Roman" w:hAnsi="Times New Roman"/>
                      <w:kern w:val="2"/>
                      <w:sz w:val="21"/>
                      <w:szCs w:val="21"/>
                    </w:rPr>
                    <w:t>，</w:t>
                  </w:r>
                  <w:r>
                    <w:rPr>
                      <w:rFonts w:ascii="Times New Roman" w:hAnsi="Times New Roman"/>
                      <w:kern w:val="2"/>
                      <w:sz w:val="21"/>
                      <w:szCs w:val="21"/>
                    </w:rPr>
                    <w:fldChar w:fldCharType="begin"/>
                  </w:r>
                  <w:r>
                    <w:rPr>
                      <w:rFonts w:ascii="Times New Roman" w:hAnsi="Times New Roman"/>
                      <w:kern w:val="2"/>
                      <w:sz w:val="21"/>
                      <w:szCs w:val="21"/>
                    </w:rPr>
                    <w:instrText xml:space="preserve"> HYPERLINK "https://baike.so.com/doc/6746556-6961102.html" \t "https://baike.so.com/doc/_blank" </w:instrText>
                  </w:r>
                  <w:r>
                    <w:rPr>
                      <w:rFonts w:ascii="Times New Roman" w:hAnsi="Times New Roman"/>
                      <w:kern w:val="2"/>
                      <w:sz w:val="21"/>
                      <w:szCs w:val="21"/>
                    </w:rPr>
                    <w:fldChar w:fldCharType="separate"/>
                  </w:r>
                  <w:r>
                    <w:rPr>
                      <w:rFonts w:hint="eastAsia" w:ascii="Times New Roman" w:hAnsi="Times New Roman"/>
                      <w:kern w:val="2"/>
                      <w:sz w:val="21"/>
                      <w:szCs w:val="21"/>
                    </w:rPr>
                    <w:t>凝固点</w:t>
                  </w:r>
                  <w:r>
                    <w:rPr>
                      <w:rFonts w:ascii="Times New Roman" w:hAnsi="Times New Roman"/>
                      <w:kern w:val="2"/>
                      <w:sz w:val="21"/>
                      <w:szCs w:val="21"/>
                    </w:rPr>
                    <w:fldChar w:fldCharType="end"/>
                  </w:r>
                  <w:r>
                    <w:rPr>
                      <w:rFonts w:ascii="Times New Roman" w:hAnsi="Times New Roman"/>
                      <w:kern w:val="2"/>
                      <w:sz w:val="21"/>
                      <w:szCs w:val="21"/>
                    </w:rPr>
                    <w:t>-42℃</w:t>
                  </w:r>
                  <w:r>
                    <w:rPr>
                      <w:rFonts w:hint="eastAsia" w:ascii="Times New Roman" w:hAnsi="Times New Roman"/>
                      <w:kern w:val="2"/>
                      <w:sz w:val="21"/>
                      <w:szCs w:val="21"/>
                    </w:rPr>
                    <w:t>，沸点</w:t>
                  </w:r>
                  <w:r>
                    <w:rPr>
                      <w:rFonts w:ascii="Times New Roman" w:hAnsi="Times New Roman"/>
                      <w:kern w:val="2"/>
                      <w:sz w:val="21"/>
                      <w:szCs w:val="21"/>
                    </w:rPr>
                    <w:t>115-116℃</w:t>
                  </w:r>
                  <w:r>
                    <w:rPr>
                      <w:rFonts w:hint="eastAsia" w:ascii="Times New Roman" w:hAnsi="Times New Roman"/>
                      <w:kern w:val="2"/>
                      <w:sz w:val="21"/>
                      <w:szCs w:val="21"/>
                    </w:rPr>
                    <w:t>，</w:t>
                  </w:r>
                  <w:r>
                    <w:rPr>
                      <w:rFonts w:ascii="Times New Roman" w:hAnsi="Times New Roman"/>
                      <w:kern w:val="2"/>
                      <w:sz w:val="21"/>
                      <w:szCs w:val="21"/>
                    </w:rPr>
                    <w:fldChar w:fldCharType="begin"/>
                  </w:r>
                  <w:r>
                    <w:rPr>
                      <w:rFonts w:ascii="Times New Roman" w:hAnsi="Times New Roman"/>
                      <w:kern w:val="2"/>
                      <w:sz w:val="21"/>
                      <w:szCs w:val="21"/>
                    </w:rPr>
                    <w:instrText xml:space="preserve"> HYPERLINK "https://baike.so.com/doc/6175804-6389045.html" \t "https://baike.so.com/doc/_blank" </w:instrText>
                  </w:r>
                  <w:r>
                    <w:rPr>
                      <w:rFonts w:ascii="Times New Roman" w:hAnsi="Times New Roman"/>
                      <w:kern w:val="2"/>
                      <w:sz w:val="21"/>
                      <w:szCs w:val="21"/>
                    </w:rPr>
                    <w:fldChar w:fldCharType="separate"/>
                  </w:r>
                  <w:r>
                    <w:rPr>
                      <w:rFonts w:hint="eastAsia" w:ascii="Times New Roman" w:hAnsi="Times New Roman"/>
                      <w:kern w:val="2"/>
                      <w:sz w:val="21"/>
                      <w:szCs w:val="21"/>
                    </w:rPr>
                    <w:t>折光率</w:t>
                  </w:r>
                  <w:r>
                    <w:rPr>
                      <w:rFonts w:ascii="Times New Roman" w:hAnsi="Times New Roman"/>
                      <w:kern w:val="2"/>
                      <w:sz w:val="21"/>
                      <w:szCs w:val="21"/>
                    </w:rPr>
                    <w:fldChar w:fldCharType="end"/>
                  </w:r>
                  <w:r>
                    <w:rPr>
                      <w:rFonts w:ascii="Times New Roman" w:hAnsi="Times New Roman"/>
                      <w:kern w:val="2"/>
                      <w:sz w:val="21"/>
                      <w:szCs w:val="21"/>
                    </w:rPr>
                    <w:t>1.5092</w:t>
                  </w:r>
                  <w:r>
                    <w:rPr>
                      <w:rFonts w:hint="eastAsia" w:ascii="Times New Roman" w:hAnsi="Times New Roman"/>
                      <w:kern w:val="2"/>
                      <w:sz w:val="21"/>
                      <w:szCs w:val="21"/>
                    </w:rPr>
                    <w:t>，闪点</w:t>
                  </w:r>
                  <w:r>
                    <w:rPr>
                      <w:rFonts w:ascii="Times New Roman" w:hAnsi="Times New Roman"/>
                      <w:kern w:val="2"/>
                      <w:sz w:val="21"/>
                      <w:szCs w:val="21"/>
                    </w:rPr>
                    <w:t>20℃</w:t>
                  </w:r>
                  <w:r>
                    <w:rPr>
                      <w:rFonts w:hint="eastAsia" w:ascii="Times New Roman" w:hAnsi="Times New Roman"/>
                      <w:kern w:val="2"/>
                      <w:sz w:val="21"/>
                      <w:szCs w:val="21"/>
                    </w:rPr>
                    <w:t>，无色液体，恶臭，有辛辣味，能与水、</w:t>
                  </w:r>
                  <w:r>
                    <w:rPr>
                      <w:rFonts w:hint="eastAsia" w:ascii="Times New Roman" w:hAnsi="Times New Roman"/>
                      <w:kern w:val="2"/>
                      <w:sz w:val="21"/>
                      <w:szCs w:val="21"/>
                    </w:rPr>
                    <w:fldChar w:fldCharType="begin"/>
                  </w:r>
                  <w:r>
                    <w:rPr>
                      <w:rFonts w:ascii="Times New Roman" w:hAnsi="Times New Roman"/>
                      <w:kern w:val="2"/>
                      <w:sz w:val="21"/>
                      <w:szCs w:val="21"/>
                    </w:rPr>
                    <w:instrText xml:space="preserve"> HYPERLINK "http://www.ichemistry.cn/cas/.B4.BC" \t "http://www.ichemistry.cn/chemistry/_blank" </w:instrText>
                  </w:r>
                  <w:r>
                    <w:rPr>
                      <w:rFonts w:hint="eastAsia" w:ascii="Times New Roman" w:hAnsi="Times New Roman"/>
                      <w:kern w:val="2"/>
                      <w:sz w:val="21"/>
                      <w:szCs w:val="21"/>
                    </w:rPr>
                    <w:fldChar w:fldCharType="separate"/>
                  </w:r>
                  <w:r>
                    <w:rPr>
                      <w:rFonts w:hint="eastAsia" w:ascii="Times New Roman" w:hAnsi="Times New Roman"/>
                      <w:kern w:val="2"/>
                      <w:sz w:val="21"/>
                      <w:szCs w:val="21"/>
                    </w:rPr>
                    <w:t>醇</w:t>
                  </w:r>
                  <w:r>
                    <w:rPr>
                      <w:rFonts w:hint="eastAsia" w:ascii="Times New Roman" w:hAnsi="Times New Roman"/>
                      <w:kern w:val="2"/>
                      <w:sz w:val="21"/>
                      <w:szCs w:val="21"/>
                    </w:rPr>
                    <w:fldChar w:fldCharType="end"/>
                  </w:r>
                  <w:r>
                    <w:rPr>
                      <w:rFonts w:hint="eastAsia" w:ascii="Times New Roman" w:hAnsi="Times New Roman"/>
                      <w:kern w:val="2"/>
                      <w:sz w:val="21"/>
                      <w:szCs w:val="21"/>
                    </w:rPr>
                    <w:t>、醚、</w:t>
                  </w:r>
                  <w:r>
                    <w:fldChar w:fldCharType="begin"/>
                  </w:r>
                  <w:r>
                    <w:instrText xml:space="preserve"> HYPERLINK "http://www.ichemistry.cn/chemistry/92062-35-6.htm" \t "http://www.ichemistry.cn/chemistry/_blank" </w:instrText>
                  </w:r>
                  <w:r>
                    <w:fldChar w:fldCharType="separate"/>
                  </w:r>
                  <w:r>
                    <w:rPr>
                      <w:rFonts w:hint="eastAsia" w:ascii="Times New Roman" w:hAnsi="Times New Roman"/>
                      <w:kern w:val="2"/>
                      <w:sz w:val="21"/>
                      <w:szCs w:val="21"/>
                    </w:rPr>
                    <w:t>石油醚</w:t>
                  </w:r>
                  <w:r>
                    <w:rPr>
                      <w:rFonts w:hint="eastAsia" w:ascii="Times New Roman" w:hAnsi="Times New Roman"/>
                      <w:kern w:val="2"/>
                      <w:sz w:val="21"/>
                      <w:szCs w:val="21"/>
                    </w:rPr>
                    <w:fldChar w:fldCharType="end"/>
                  </w:r>
                  <w:r>
                    <w:rPr>
                      <w:rFonts w:hint="eastAsia" w:ascii="Times New Roman" w:hAnsi="Times New Roman"/>
                      <w:kern w:val="2"/>
                      <w:sz w:val="21"/>
                      <w:szCs w:val="21"/>
                    </w:rPr>
                    <w:t>、油类混溶。易燃，有强烈刺</w:t>
                  </w:r>
                  <w:r>
                    <w:rPr>
                      <w:rFonts w:ascii="Times New Roman" w:hAnsi="Times New Roman"/>
                      <w:kern w:val="2"/>
                      <w:sz w:val="21"/>
                      <w:szCs w:val="21"/>
                    </w:rPr>
                    <w:t>激性;能麻醉</w:t>
                  </w:r>
                  <w:r>
                    <w:rPr>
                      <w:rFonts w:ascii="Times New Roman" w:hAnsi="Times New Roman"/>
                      <w:kern w:val="2"/>
                      <w:sz w:val="21"/>
                      <w:szCs w:val="21"/>
                    </w:rPr>
                    <w:fldChar w:fldCharType="begin"/>
                  </w:r>
                  <w:r>
                    <w:rPr>
                      <w:rFonts w:ascii="Times New Roman" w:hAnsi="Times New Roman"/>
                      <w:kern w:val="2"/>
                      <w:sz w:val="21"/>
                      <w:szCs w:val="21"/>
                    </w:rPr>
                    <w:instrText xml:space="preserve"> HYPERLINK "https://baike.so.com/doc/433193-458687.html" \t "https://baike.so.com/doc/_blank" </w:instrText>
                  </w:r>
                  <w:r>
                    <w:rPr>
                      <w:rFonts w:ascii="Times New Roman" w:hAnsi="Times New Roman"/>
                      <w:kern w:val="2"/>
                      <w:sz w:val="21"/>
                      <w:szCs w:val="21"/>
                    </w:rPr>
                    <w:fldChar w:fldCharType="separate"/>
                  </w:r>
                  <w:r>
                    <w:rPr>
                      <w:kern w:val="2"/>
                    </w:rPr>
                    <w:t>中枢神经系统</w:t>
                  </w:r>
                  <w:r>
                    <w:rPr>
                      <w:kern w:val="2"/>
                    </w:rPr>
                    <w:fldChar w:fldCharType="end"/>
                  </w:r>
                  <w:r>
                    <w:rPr>
                      <w:rFonts w:ascii="Times New Roman" w:hAnsi="Times New Roman"/>
                      <w:kern w:val="2"/>
                      <w:sz w:val="21"/>
                      <w:szCs w:val="21"/>
                    </w:rPr>
                    <w:t>。对眼及上呼吸道有刺激作用。高</w:t>
                  </w:r>
                  <w:r>
                    <w:fldChar w:fldCharType="begin"/>
                  </w:r>
                  <w:r>
                    <w:instrText xml:space="preserve"> HYPERLINK "https://baike.so.com/doc/1407982-1488402.html" \t "https://baike.so.com/doc/_blank" </w:instrText>
                  </w:r>
                  <w:r>
                    <w:fldChar w:fldCharType="separate"/>
                  </w:r>
                  <w:r>
                    <w:rPr>
                      <w:rFonts w:ascii="Times New Roman" w:hAnsi="Times New Roman"/>
                      <w:kern w:val="2"/>
                      <w:sz w:val="21"/>
                      <w:szCs w:val="21"/>
                    </w:rPr>
                    <w:t>浓度</w:t>
                  </w:r>
                  <w:r>
                    <w:rPr>
                      <w:rFonts w:ascii="Times New Roman" w:hAnsi="Times New Roman"/>
                      <w:kern w:val="2"/>
                      <w:sz w:val="21"/>
                      <w:szCs w:val="21"/>
                    </w:rPr>
                    <w:fldChar w:fldCharType="end"/>
                  </w:r>
                  <w:r>
                    <w:rPr>
                      <w:rFonts w:ascii="Times New Roman" w:hAnsi="Times New Roman"/>
                      <w:kern w:val="2"/>
                      <w:sz w:val="21"/>
                      <w:szCs w:val="21"/>
                    </w:rPr>
                    <w:t>吸入后，轻者有欣快或窒息感，继之出现抑郁、</w:t>
                  </w:r>
                  <w:r>
                    <w:fldChar w:fldCharType="begin"/>
                  </w:r>
                  <w:r>
                    <w:instrText xml:space="preserve"> HYPERLINK "https://baike.so.com/doc/5328799-5563971.html" \t "https://baike.so.com/doc/_blank" </w:instrText>
                  </w:r>
                  <w:r>
                    <w:fldChar w:fldCharType="separate"/>
                  </w:r>
                  <w:r>
                    <w:rPr>
                      <w:rFonts w:ascii="Times New Roman" w:hAnsi="Times New Roman"/>
                      <w:kern w:val="2"/>
                      <w:sz w:val="21"/>
                      <w:szCs w:val="21"/>
                    </w:rPr>
                    <w:t>肌无力</w:t>
                  </w:r>
                  <w:r>
                    <w:rPr>
                      <w:rFonts w:ascii="Times New Roman" w:hAnsi="Times New Roman"/>
                      <w:kern w:val="2"/>
                      <w:sz w:val="21"/>
                      <w:szCs w:val="21"/>
                    </w:rPr>
                    <w:fldChar w:fldCharType="end"/>
                  </w:r>
                  <w:r>
                    <w:rPr>
                      <w:rFonts w:ascii="Times New Roman" w:hAnsi="Times New Roman"/>
                      <w:kern w:val="2"/>
                      <w:sz w:val="21"/>
                      <w:szCs w:val="21"/>
                    </w:rPr>
                    <w:t>、</w:t>
                  </w:r>
                  <w:r>
                    <w:fldChar w:fldCharType="begin"/>
                  </w:r>
                  <w:r>
                    <w:instrText xml:space="preserve"> HYPERLINK "https://baike.so.com/doc/5393304-5630243.html" \t "https://baike.so.com/doc/_blank" </w:instrText>
                  </w:r>
                  <w:r>
                    <w:fldChar w:fldCharType="separate"/>
                  </w:r>
                  <w:r>
                    <w:rPr>
                      <w:rFonts w:ascii="Times New Roman" w:hAnsi="Times New Roman"/>
                      <w:kern w:val="2"/>
                      <w:sz w:val="21"/>
                      <w:szCs w:val="21"/>
                    </w:rPr>
                    <w:t>呕吐</w:t>
                  </w:r>
                  <w:r>
                    <w:rPr>
                      <w:rFonts w:ascii="Times New Roman" w:hAnsi="Times New Roman"/>
                      <w:kern w:val="2"/>
                      <w:sz w:val="21"/>
                      <w:szCs w:val="21"/>
                    </w:rPr>
                    <w:fldChar w:fldCharType="end"/>
                  </w:r>
                  <w:r>
                    <w:rPr>
                      <w:rFonts w:ascii="Times New Roman" w:hAnsi="Times New Roman"/>
                      <w:kern w:val="2"/>
                      <w:sz w:val="21"/>
                      <w:szCs w:val="21"/>
                    </w:rPr>
                    <w:t>;</w:t>
                  </w:r>
                  <w:r>
                    <w:rPr>
                      <w:rFonts w:ascii="Times New Roman" w:hAnsi="Times New Roman"/>
                      <w:sz w:val="21"/>
                      <w:szCs w:val="21"/>
                      <w:shd w:val="clear" w:color="auto" w:fill="FFFFFF"/>
                    </w:rPr>
                    <w:t>重者意识丧失、大小便失禁、强直性痉挛、血压下降。误服可致死。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13</w:t>
                  </w:r>
                </w:p>
              </w:tc>
              <w:tc>
                <w:tcPr>
                  <w:tcW w:w="698" w:type="pct"/>
                  <w:vAlign w:val="center"/>
                </w:tcPr>
                <w:p>
                  <w:pPr>
                    <w:adjustRightInd w:val="0"/>
                    <w:snapToGrid w:val="0"/>
                    <w:spacing w:line="340" w:lineRule="exact"/>
                    <w:jc w:val="center"/>
                    <w:rPr>
                      <w:szCs w:val="21"/>
                    </w:rPr>
                  </w:pPr>
                  <w:r>
                    <w:rPr>
                      <w:szCs w:val="21"/>
                    </w:rPr>
                    <w:t>盐酸</w:t>
                  </w:r>
                </w:p>
              </w:tc>
              <w:tc>
                <w:tcPr>
                  <w:tcW w:w="3947" w:type="pct"/>
                  <w:vAlign w:val="center"/>
                </w:tcPr>
                <w:p>
                  <w:pPr>
                    <w:pStyle w:val="21"/>
                    <w:adjustRightInd w:val="0"/>
                    <w:snapToGrid w:val="0"/>
                    <w:spacing w:before="0" w:beforeAutospacing="0" w:after="0" w:afterAutospacing="0" w:line="340" w:lineRule="exact"/>
                    <w:rPr>
                      <w:rFonts w:ascii="Times New Roman" w:hAnsi="Times New Roman"/>
                      <w:kern w:val="2"/>
                      <w:sz w:val="21"/>
                      <w:szCs w:val="21"/>
                    </w:rPr>
                  </w:pPr>
                  <w:r>
                    <w:rPr>
                      <w:rFonts w:ascii="Times New Roman" w:hAnsi="Times New Roman"/>
                      <w:sz w:val="21"/>
                      <w:szCs w:val="21"/>
                    </w:rPr>
                    <w:t>CAS号：7647-01-0；分子式为HCl，相对分子量为36.5，相对密度1.20g/cm</w:t>
                  </w:r>
                  <w:r>
                    <w:rPr>
                      <w:rFonts w:ascii="Times New Roman" w:hAnsi="Times New Roman"/>
                      <w:sz w:val="21"/>
                      <w:szCs w:val="21"/>
                      <w:vertAlign w:val="superscript"/>
                    </w:rPr>
                    <w:t>3</w:t>
                  </w:r>
                  <w:r>
                    <w:rPr>
                      <w:rFonts w:ascii="Times New Roman" w:hAnsi="Times New Roman"/>
                      <w:sz w:val="21"/>
                      <w:szCs w:val="21"/>
                    </w:rPr>
                    <w:t>，熔点为-114.8℃/纯，沸点为108.6℃/20%；为无色或微黄色发烟液体，有刺鼻的酸味；与水混合，溶于碱液；稳定性较好；急性毒性：LD</w:t>
                  </w:r>
                  <w:r>
                    <w:rPr>
                      <w:rFonts w:ascii="Times New Roman" w:hAnsi="Times New Roman"/>
                      <w:sz w:val="21"/>
                      <w:szCs w:val="21"/>
                      <w:vertAlign w:val="subscript"/>
                    </w:rPr>
                    <w:t>50</w:t>
                  </w:r>
                  <w:r>
                    <w:rPr>
                      <w:rFonts w:ascii="Times New Roman" w:hAnsi="Times New Roman"/>
                      <w:sz w:val="21"/>
                      <w:szCs w:val="21"/>
                    </w:rPr>
                    <w:t>900mg/kg(兔经口)；LC</w:t>
                  </w:r>
                  <w:r>
                    <w:rPr>
                      <w:rFonts w:ascii="Times New Roman" w:hAnsi="Times New Roman"/>
                      <w:sz w:val="21"/>
                      <w:szCs w:val="21"/>
                      <w:vertAlign w:val="subscript"/>
                    </w:rPr>
                    <w:t>50</w:t>
                  </w:r>
                  <w:r>
                    <w:rPr>
                      <w:rFonts w:ascii="Times New Roman" w:hAnsi="Times New Roman"/>
                      <w:sz w:val="21"/>
                      <w:szCs w:val="21"/>
                    </w:rPr>
                    <w:t>3124ppm，1小时(大鼠吸入)；重要的无机化工原料，广泛用于染料、医药、食品、印染、皮革、冶金等行业。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14</w:t>
                  </w:r>
                </w:p>
              </w:tc>
              <w:tc>
                <w:tcPr>
                  <w:tcW w:w="698" w:type="pct"/>
                  <w:vAlign w:val="center"/>
                </w:tcPr>
                <w:p>
                  <w:pPr>
                    <w:adjustRightInd w:val="0"/>
                    <w:snapToGrid w:val="0"/>
                    <w:spacing w:line="340" w:lineRule="exact"/>
                    <w:jc w:val="center"/>
                    <w:rPr>
                      <w:szCs w:val="21"/>
                    </w:rPr>
                  </w:pPr>
                  <w:r>
                    <w:rPr>
                      <w:szCs w:val="21"/>
                    </w:rPr>
                    <w:t>硫酸</w:t>
                  </w:r>
                </w:p>
              </w:tc>
              <w:tc>
                <w:tcPr>
                  <w:tcW w:w="3947" w:type="pct"/>
                  <w:vAlign w:val="center"/>
                </w:tcPr>
                <w:p>
                  <w:pPr>
                    <w:pStyle w:val="21"/>
                    <w:adjustRightInd w:val="0"/>
                    <w:snapToGrid w:val="0"/>
                    <w:spacing w:before="0" w:beforeAutospacing="0" w:after="0" w:afterAutospacing="0" w:line="340" w:lineRule="exact"/>
                    <w:jc w:val="both"/>
                    <w:rPr>
                      <w:rFonts w:ascii="Times New Roman" w:hAnsi="Times New Roman"/>
                      <w:sz w:val="21"/>
                      <w:szCs w:val="21"/>
                    </w:rPr>
                  </w:pPr>
                  <w:r>
                    <w:rPr>
                      <w:rFonts w:ascii="Times New Roman" w:hAnsi="Times New Roman"/>
                      <w:sz w:val="21"/>
                      <w:szCs w:val="21"/>
                    </w:rPr>
                    <w:t>CAS号：7664-93-9；分子式为H</w:t>
                  </w:r>
                  <w:r>
                    <w:rPr>
                      <w:rFonts w:ascii="Times New Roman" w:hAnsi="Times New Roman"/>
                      <w:sz w:val="21"/>
                      <w:szCs w:val="21"/>
                      <w:vertAlign w:val="subscript"/>
                    </w:rPr>
                    <w:t>2</w:t>
                  </w:r>
                  <w:r>
                    <w:rPr>
                      <w:rFonts w:ascii="Times New Roman" w:hAnsi="Times New Roman"/>
                      <w:sz w:val="21"/>
                      <w:szCs w:val="21"/>
                    </w:rPr>
                    <w:t>SO</w:t>
                  </w:r>
                  <w:r>
                    <w:rPr>
                      <w:rFonts w:ascii="Times New Roman" w:hAnsi="Times New Roman"/>
                      <w:sz w:val="21"/>
                      <w:szCs w:val="21"/>
                      <w:vertAlign w:val="subscript"/>
                    </w:rPr>
                    <w:t>4</w:t>
                  </w:r>
                  <w:r>
                    <w:rPr>
                      <w:rFonts w:ascii="Times New Roman" w:hAnsi="Times New Roman"/>
                      <w:sz w:val="21"/>
                      <w:szCs w:val="21"/>
                    </w:rPr>
                    <w:t>，相对分子量为98.08，相对密度1.84g/cm</w:t>
                  </w:r>
                  <w:r>
                    <w:rPr>
                      <w:rFonts w:ascii="Times New Roman" w:hAnsi="Times New Roman"/>
                      <w:sz w:val="21"/>
                      <w:szCs w:val="21"/>
                      <w:vertAlign w:val="superscript"/>
                    </w:rPr>
                    <w:t>3</w:t>
                  </w:r>
                  <w:r>
                    <w:rPr>
                      <w:rFonts w:ascii="Times New Roman" w:hAnsi="Times New Roman"/>
                      <w:sz w:val="21"/>
                      <w:szCs w:val="21"/>
                    </w:rPr>
                    <w:t>，熔点为10.5℃，沸点为330℃；为无色透明油状液体，无臭；与水混溶；稳定性较好；用于生产化学肥料，在化工、医药、塑料、染料、石油提炼等工业也有广泛的应用。属中等毒性，急性毒性：LD502140mg/kg(大鼠经口)；LC50510mg/m³，2小时(大鼠吸入)；320mg/m³，2小时(小鼠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15</w:t>
                  </w:r>
                </w:p>
              </w:tc>
              <w:tc>
                <w:tcPr>
                  <w:tcW w:w="698" w:type="pct"/>
                  <w:vAlign w:val="center"/>
                </w:tcPr>
                <w:p>
                  <w:pPr>
                    <w:adjustRightInd w:val="0"/>
                    <w:snapToGrid w:val="0"/>
                    <w:spacing w:line="340" w:lineRule="exact"/>
                    <w:jc w:val="center"/>
                    <w:rPr>
                      <w:szCs w:val="21"/>
                    </w:rPr>
                  </w:pPr>
                  <w:r>
                    <w:rPr>
                      <w:szCs w:val="21"/>
                    </w:rPr>
                    <w:t>醋酸</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sz w:val="21"/>
                      <w:szCs w:val="21"/>
                    </w:rPr>
                    <w:t>CAS号：</w:t>
                  </w:r>
                  <w:r>
                    <w:rPr>
                      <w:rFonts w:ascii="Times New Roman" w:hAnsi="Times New Roman"/>
                      <w:sz w:val="21"/>
                      <w:szCs w:val="21"/>
                      <w:shd w:val="clear" w:color="auto" w:fill="FFFFFF"/>
                    </w:rPr>
                    <w:t>64-19-7</w:t>
                  </w:r>
                  <w:r>
                    <w:rPr>
                      <w:rFonts w:ascii="Times New Roman" w:hAnsi="Times New Roman"/>
                      <w:sz w:val="21"/>
                      <w:szCs w:val="21"/>
                    </w:rPr>
                    <w:t>；分子式为</w:t>
                  </w:r>
                  <w:r>
                    <w:rPr>
                      <w:rFonts w:ascii="Times New Roman" w:hAnsi="Times New Roman"/>
                      <w:sz w:val="21"/>
                      <w:szCs w:val="21"/>
                      <w:shd w:val="clear" w:color="auto" w:fill="FFFFFF"/>
                    </w:rPr>
                    <w:t>CH</w:t>
                  </w:r>
                  <w:r>
                    <w:rPr>
                      <w:rFonts w:ascii="Times New Roman" w:hAnsi="Times New Roman"/>
                      <w:sz w:val="21"/>
                      <w:szCs w:val="21"/>
                      <w:vertAlign w:val="subscript"/>
                    </w:rPr>
                    <w:t>₃</w:t>
                  </w:r>
                  <w:r>
                    <w:rPr>
                      <w:rFonts w:ascii="Times New Roman" w:hAnsi="Times New Roman"/>
                      <w:sz w:val="21"/>
                      <w:szCs w:val="21"/>
                      <w:shd w:val="clear" w:color="auto" w:fill="FFFFFF"/>
                    </w:rPr>
                    <w:t>COOH</w:t>
                  </w:r>
                  <w:r>
                    <w:rPr>
                      <w:rFonts w:ascii="Times New Roman" w:hAnsi="Times New Roman"/>
                      <w:sz w:val="21"/>
                      <w:szCs w:val="21"/>
                    </w:rPr>
                    <w:t>，相对分子量为60.05，相对密度1.05g/cm</w:t>
                  </w:r>
                  <w:r>
                    <w:rPr>
                      <w:rFonts w:ascii="Times New Roman" w:hAnsi="Times New Roman"/>
                      <w:sz w:val="21"/>
                      <w:szCs w:val="21"/>
                      <w:vertAlign w:val="superscript"/>
                    </w:rPr>
                    <w:t>3</w:t>
                  </w:r>
                  <w:r>
                    <w:rPr>
                      <w:rFonts w:ascii="Times New Roman" w:hAnsi="Times New Roman"/>
                      <w:sz w:val="21"/>
                      <w:szCs w:val="21"/>
                    </w:rPr>
                    <w:t>，熔点为16.6℃，沸点为117.9℃；为无色液体，刺鼻醋味；</w:t>
                  </w:r>
                  <w:r>
                    <w:rPr>
                      <w:rFonts w:ascii="Times New Roman" w:hAnsi="Times New Roman"/>
                      <w:sz w:val="21"/>
                      <w:szCs w:val="21"/>
                      <w:shd w:val="clear" w:color="auto" w:fill="FFFFFF"/>
                    </w:rPr>
                    <w:t>能溶于水、乙醇、乙醚、四氯化碳及甘油等有机溶剂</w:t>
                  </w:r>
                  <w:r>
                    <w:rPr>
                      <w:rFonts w:ascii="Times New Roman" w:hAnsi="Times New Roman"/>
                      <w:sz w:val="21"/>
                      <w:szCs w:val="21"/>
                    </w:rPr>
                    <w:t>；</w:t>
                  </w:r>
                  <w:r>
                    <w:rPr>
                      <w:rFonts w:ascii="Times New Roman" w:hAnsi="Times New Roman"/>
                      <w:sz w:val="21"/>
                      <w:szCs w:val="21"/>
                      <w:shd w:val="clear" w:color="auto" w:fill="FFFFFF"/>
                    </w:rPr>
                    <w:t>急性毒性LD50：3530mg/kg（大鼠经口）；1060mg/kg（兔经皮）LC50：13791mg/m</w:t>
                  </w:r>
                  <w:r>
                    <w:rPr>
                      <w:rFonts w:ascii="Times New Roman" w:hAnsi="Times New Roman"/>
                      <w:sz w:val="21"/>
                      <w:szCs w:val="21"/>
                      <w:shd w:val="clear" w:color="auto" w:fill="FFFFFF"/>
                      <w:vertAlign w:val="superscript"/>
                    </w:rPr>
                    <w:t>3</w:t>
                  </w:r>
                  <w:r>
                    <w:rPr>
                      <w:rFonts w:ascii="Times New Roman" w:hAnsi="Times New Roman"/>
                      <w:sz w:val="21"/>
                      <w:szCs w:val="21"/>
                      <w:shd w:val="clear" w:color="auto" w:fill="FFFFFF"/>
                    </w:rPr>
                    <w:t>（小鼠吸入，1h）。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16</w:t>
                  </w:r>
                </w:p>
              </w:tc>
              <w:tc>
                <w:tcPr>
                  <w:tcW w:w="698" w:type="pct"/>
                  <w:vAlign w:val="center"/>
                </w:tcPr>
                <w:p>
                  <w:pPr>
                    <w:adjustRightInd w:val="0"/>
                    <w:snapToGrid w:val="0"/>
                    <w:spacing w:line="340" w:lineRule="exact"/>
                    <w:jc w:val="center"/>
                    <w:rPr>
                      <w:szCs w:val="21"/>
                    </w:rPr>
                  </w:pPr>
                  <w:r>
                    <w:rPr>
                      <w:szCs w:val="21"/>
                    </w:rPr>
                    <w:t>氢溴酸</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sz w:val="21"/>
                      <w:szCs w:val="21"/>
                    </w:rPr>
                    <w:t>CAS号：</w:t>
                  </w:r>
                  <w:r>
                    <w:rPr>
                      <w:rFonts w:ascii="Times New Roman" w:hAnsi="Times New Roman"/>
                      <w:sz w:val="21"/>
                      <w:szCs w:val="21"/>
                      <w:shd w:val="clear" w:color="auto" w:fill="FFFFFF"/>
                    </w:rPr>
                    <w:t>10035-10-6</w:t>
                  </w:r>
                  <w:r>
                    <w:rPr>
                      <w:rFonts w:ascii="Times New Roman" w:hAnsi="Times New Roman"/>
                      <w:sz w:val="21"/>
                      <w:szCs w:val="21"/>
                    </w:rPr>
                    <w:t>；分子式为</w:t>
                  </w:r>
                  <w:r>
                    <w:rPr>
                      <w:rFonts w:ascii="Times New Roman" w:hAnsi="Times New Roman"/>
                      <w:sz w:val="18"/>
                      <w:szCs w:val="18"/>
                      <w:shd w:val="clear" w:color="auto" w:fill="FFFFFF"/>
                    </w:rPr>
                    <w:t>HBr</w:t>
                  </w:r>
                  <w:r>
                    <w:rPr>
                      <w:rFonts w:ascii="Times New Roman" w:hAnsi="Times New Roman"/>
                      <w:sz w:val="21"/>
                      <w:szCs w:val="21"/>
                    </w:rPr>
                    <w:t>，相对分子量为80.98，相对密度1.49g/cm</w:t>
                  </w:r>
                  <w:r>
                    <w:rPr>
                      <w:rFonts w:ascii="Times New Roman" w:hAnsi="Times New Roman"/>
                      <w:sz w:val="21"/>
                      <w:szCs w:val="21"/>
                      <w:vertAlign w:val="superscript"/>
                    </w:rPr>
                    <w:t>3</w:t>
                  </w:r>
                  <w:r>
                    <w:rPr>
                      <w:rFonts w:ascii="Times New Roman" w:hAnsi="Times New Roman"/>
                      <w:sz w:val="21"/>
                      <w:szCs w:val="21"/>
                    </w:rPr>
                    <w:t>（47%），熔点为-86℃，沸点为126℃；为无色或浅黄色液体，刺激性酸味；</w:t>
                  </w:r>
                  <w:r>
                    <w:rPr>
                      <w:rFonts w:ascii="Times New Roman" w:hAnsi="Times New Roman"/>
                      <w:sz w:val="21"/>
                      <w:szCs w:val="21"/>
                      <w:shd w:val="clear" w:color="auto" w:fill="FFFFFF"/>
                    </w:rPr>
                    <w:t>能与水、醇、</w:t>
                  </w:r>
                  <w:r>
                    <w:fldChar w:fldCharType="begin"/>
                  </w:r>
                  <w:r>
                    <w:instrText xml:space="preserve"> HYPERLINK "https://baike.so.com/doc/238526-252357.html" \t "https://baike.so.com/doc/_blank" </w:instrText>
                  </w:r>
                  <w:r>
                    <w:fldChar w:fldCharType="separate"/>
                  </w:r>
                  <w:r>
                    <w:rPr>
                      <w:rStyle w:val="29"/>
                      <w:rFonts w:ascii="Times New Roman" w:hAnsi="Times New Roman"/>
                      <w:color w:val="auto"/>
                      <w:sz w:val="21"/>
                      <w:szCs w:val="21"/>
                      <w:u w:val="none"/>
                      <w:shd w:val="clear" w:color="auto" w:fill="FFFFFF"/>
                    </w:rPr>
                    <w:t>乙酸</w:t>
                  </w:r>
                  <w:r>
                    <w:rPr>
                      <w:rStyle w:val="29"/>
                      <w:rFonts w:ascii="Times New Roman" w:hAnsi="Times New Roman"/>
                      <w:color w:val="auto"/>
                      <w:sz w:val="21"/>
                      <w:szCs w:val="21"/>
                      <w:u w:val="none"/>
                      <w:shd w:val="clear" w:color="auto" w:fill="FFFFFF"/>
                    </w:rPr>
                    <w:fldChar w:fldCharType="end"/>
                  </w:r>
                  <w:r>
                    <w:rPr>
                      <w:rFonts w:ascii="Times New Roman" w:hAnsi="Times New Roman"/>
                      <w:sz w:val="21"/>
                      <w:szCs w:val="21"/>
                      <w:shd w:val="clear" w:color="auto" w:fill="FFFFFF"/>
                    </w:rPr>
                    <w:t>混溶</w:t>
                  </w:r>
                  <w:r>
                    <w:rPr>
                      <w:rFonts w:ascii="Times New Roman" w:hAnsi="Times New Roman"/>
                      <w:sz w:val="21"/>
                      <w:szCs w:val="21"/>
                    </w:rPr>
                    <w:t>；</w:t>
                  </w:r>
                  <w:r>
                    <w:rPr>
                      <w:rFonts w:ascii="Times New Roman" w:hAnsi="Times New Roman"/>
                      <w:sz w:val="21"/>
                      <w:szCs w:val="21"/>
                      <w:shd w:val="clear" w:color="auto" w:fill="FFFFFF"/>
                    </w:rPr>
                    <w:t>急性毒性LD50：LD50:76mg/kg(大鼠静脉)，LC50:9460mg/m</w:t>
                  </w:r>
                  <w:r>
                    <w:rPr>
                      <w:rFonts w:ascii="Times New Roman" w:hAnsi="Times New Roman"/>
                      <w:sz w:val="21"/>
                      <w:szCs w:val="21"/>
                      <w:shd w:val="clear" w:color="auto" w:fill="FFFFFF"/>
                      <w:vertAlign w:val="superscript"/>
                    </w:rPr>
                    <w:t>3</w:t>
                  </w:r>
                  <w:r>
                    <w:rPr>
                      <w:rFonts w:ascii="Times New Roman" w:hAnsi="Times New Roman"/>
                      <w:sz w:val="21"/>
                      <w:szCs w:val="21"/>
                      <w:shd w:val="clear" w:color="auto" w:fill="FFFFFF"/>
                    </w:rPr>
                    <w:t>(大鼠吸入，1h);2694mg/m</w:t>
                  </w:r>
                  <w:r>
                    <w:rPr>
                      <w:rFonts w:ascii="Times New Roman" w:hAnsi="Times New Roman"/>
                      <w:sz w:val="21"/>
                      <w:szCs w:val="21"/>
                      <w:shd w:val="clear" w:color="auto" w:fill="FFFFFF"/>
                      <w:vertAlign w:val="superscript"/>
                    </w:rPr>
                    <w:t>3</w:t>
                  </w:r>
                  <w:r>
                    <w:rPr>
                      <w:rFonts w:ascii="Times New Roman" w:hAnsi="Times New Roman"/>
                      <w:sz w:val="21"/>
                      <w:szCs w:val="21"/>
                      <w:shd w:val="clear" w:color="auto" w:fill="FFFFFF"/>
                    </w:rPr>
                    <w:t>(小鼠吸入，1h)。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17</w:t>
                  </w:r>
                </w:p>
              </w:tc>
              <w:tc>
                <w:tcPr>
                  <w:tcW w:w="698" w:type="pct"/>
                  <w:vAlign w:val="center"/>
                </w:tcPr>
                <w:p>
                  <w:pPr>
                    <w:adjustRightInd w:val="0"/>
                    <w:snapToGrid w:val="0"/>
                    <w:jc w:val="center"/>
                    <w:rPr>
                      <w:szCs w:val="21"/>
                    </w:rPr>
                  </w:pPr>
                  <w:r>
                    <w:rPr>
                      <w:szCs w:val="21"/>
                    </w:rPr>
                    <w:t>三氟乙酸</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sz w:val="21"/>
                      <w:szCs w:val="21"/>
                    </w:rPr>
                    <w:t>CAS号：</w:t>
                  </w:r>
                  <w:r>
                    <w:rPr>
                      <w:rFonts w:ascii="Times New Roman" w:hAnsi="Times New Roman"/>
                      <w:sz w:val="21"/>
                      <w:szCs w:val="21"/>
                      <w:shd w:val="clear" w:color="auto" w:fill="FFFFFF"/>
                    </w:rPr>
                    <w:t>76-05-1</w:t>
                  </w:r>
                  <w:r>
                    <w:rPr>
                      <w:rFonts w:ascii="Times New Roman" w:hAnsi="Times New Roman"/>
                      <w:sz w:val="21"/>
                      <w:szCs w:val="21"/>
                    </w:rPr>
                    <w:t>；分子式为</w:t>
                  </w:r>
                  <w:r>
                    <w:rPr>
                      <w:rFonts w:ascii="Times New Roman" w:hAnsi="Times New Roman"/>
                      <w:sz w:val="21"/>
                      <w:szCs w:val="21"/>
                      <w:shd w:val="clear" w:color="auto" w:fill="FFFFFF"/>
                    </w:rPr>
                    <w:t>CF</w:t>
                  </w:r>
                  <w:r>
                    <w:rPr>
                      <w:rFonts w:ascii="Times New Roman" w:hAnsi="Times New Roman"/>
                      <w:sz w:val="21"/>
                      <w:szCs w:val="21"/>
                      <w:shd w:val="clear" w:color="auto" w:fill="FFFFFF"/>
                      <w:vertAlign w:val="subscript"/>
                    </w:rPr>
                    <w:t>3</w:t>
                  </w:r>
                  <w:r>
                    <w:rPr>
                      <w:rFonts w:ascii="Times New Roman" w:hAnsi="Times New Roman"/>
                      <w:sz w:val="21"/>
                      <w:szCs w:val="21"/>
                      <w:shd w:val="clear" w:color="auto" w:fill="FFFFFF"/>
                    </w:rPr>
                    <w:t>COOH</w:t>
                  </w:r>
                  <w:r>
                    <w:rPr>
                      <w:rFonts w:ascii="Times New Roman" w:hAnsi="Times New Roman"/>
                      <w:sz w:val="21"/>
                      <w:szCs w:val="21"/>
                    </w:rPr>
                    <w:t>，相对分子量为114.02，相对密度1.5351g/cm</w:t>
                  </w:r>
                  <w:r>
                    <w:rPr>
                      <w:rFonts w:ascii="Times New Roman" w:hAnsi="Times New Roman"/>
                      <w:sz w:val="21"/>
                      <w:szCs w:val="21"/>
                      <w:vertAlign w:val="superscript"/>
                    </w:rPr>
                    <w:t>3</w:t>
                  </w:r>
                  <w:r>
                    <w:rPr>
                      <w:rFonts w:ascii="Times New Roman" w:hAnsi="Times New Roman"/>
                      <w:sz w:val="21"/>
                      <w:szCs w:val="21"/>
                    </w:rPr>
                    <w:t>，熔点为-15.2℃，沸点为72.4℃；为无色液体，有辛辣气味；</w:t>
                  </w:r>
                  <w:r>
                    <w:rPr>
                      <w:rFonts w:ascii="Times New Roman" w:hAnsi="Times New Roman"/>
                      <w:sz w:val="21"/>
                      <w:szCs w:val="21"/>
                      <w:shd w:val="clear" w:color="auto" w:fill="FFFFFF"/>
                    </w:rPr>
                    <w:t>能与乙醚、</w:t>
                  </w:r>
                  <w:r>
                    <w:fldChar w:fldCharType="begin"/>
                  </w:r>
                  <w:r>
                    <w:instrText xml:space="preserve"> HYPERLINK "https://baike.so.com/doc/252057-266820.html" \t "https://baike.so.com/doc/_blank" </w:instrText>
                  </w:r>
                  <w:r>
                    <w:fldChar w:fldCharType="separate"/>
                  </w:r>
                  <w:r>
                    <w:rPr>
                      <w:rStyle w:val="29"/>
                      <w:rFonts w:ascii="Times New Roman" w:hAnsi="Times New Roman"/>
                      <w:color w:val="auto"/>
                      <w:sz w:val="21"/>
                      <w:szCs w:val="21"/>
                      <w:u w:val="none"/>
                      <w:shd w:val="clear" w:color="auto" w:fill="FFFFFF"/>
                    </w:rPr>
                    <w:t>丙酮</w:t>
                  </w:r>
                  <w:r>
                    <w:rPr>
                      <w:rStyle w:val="29"/>
                      <w:rFonts w:ascii="Times New Roman" w:hAnsi="Times New Roman"/>
                      <w:color w:val="auto"/>
                      <w:sz w:val="21"/>
                      <w:szCs w:val="21"/>
                      <w:u w:val="none"/>
                      <w:shd w:val="clear" w:color="auto" w:fill="FFFFFF"/>
                    </w:rPr>
                    <w:fldChar w:fldCharType="end"/>
                  </w:r>
                  <w:r>
                    <w:rPr>
                      <w:rFonts w:ascii="Times New Roman" w:hAnsi="Times New Roman"/>
                      <w:sz w:val="21"/>
                      <w:szCs w:val="21"/>
                      <w:shd w:val="clear" w:color="auto" w:fill="FFFFFF"/>
                    </w:rPr>
                    <w:t>、乙醇、</w:t>
                  </w:r>
                  <w:r>
                    <w:fldChar w:fldCharType="begin"/>
                  </w:r>
                  <w:r>
                    <w:instrText xml:space="preserve"> HYPERLINK "https://baike.so.com/doc/3194557-3366490.html" \t "https://baike.so.com/doc/_blank" </w:instrText>
                  </w:r>
                  <w:r>
                    <w:fldChar w:fldCharType="separate"/>
                  </w:r>
                  <w:r>
                    <w:rPr>
                      <w:rStyle w:val="29"/>
                      <w:rFonts w:ascii="Times New Roman" w:hAnsi="Times New Roman"/>
                      <w:color w:val="auto"/>
                      <w:sz w:val="21"/>
                      <w:szCs w:val="21"/>
                      <w:u w:val="none"/>
                      <w:shd w:val="clear" w:color="auto" w:fill="FFFFFF"/>
                    </w:rPr>
                    <w:t>苯</w:t>
                  </w:r>
                  <w:r>
                    <w:rPr>
                      <w:rStyle w:val="29"/>
                      <w:rFonts w:ascii="Times New Roman" w:hAnsi="Times New Roman"/>
                      <w:color w:val="auto"/>
                      <w:sz w:val="21"/>
                      <w:szCs w:val="21"/>
                      <w:u w:val="none"/>
                      <w:shd w:val="clear" w:color="auto" w:fill="FFFFFF"/>
                    </w:rPr>
                    <w:fldChar w:fldCharType="end"/>
                  </w:r>
                  <w:r>
                    <w:rPr>
                      <w:rFonts w:ascii="Times New Roman" w:hAnsi="Times New Roman"/>
                      <w:sz w:val="21"/>
                      <w:szCs w:val="21"/>
                      <w:shd w:val="clear" w:color="auto" w:fill="FFFFFF"/>
                    </w:rPr>
                    <w:t>、</w:t>
                  </w:r>
                  <w:r>
                    <w:fldChar w:fldCharType="begin"/>
                  </w:r>
                  <w:r>
                    <w:instrText xml:space="preserve"> HYPERLINK "https://baike.so.com/doc/131852-139263.html" \t "https://baike.so.com/doc/_blank" </w:instrText>
                  </w:r>
                  <w:r>
                    <w:fldChar w:fldCharType="separate"/>
                  </w:r>
                  <w:r>
                    <w:rPr>
                      <w:rStyle w:val="29"/>
                      <w:rFonts w:ascii="Times New Roman" w:hAnsi="Times New Roman"/>
                      <w:color w:val="auto"/>
                      <w:sz w:val="21"/>
                      <w:szCs w:val="21"/>
                      <w:u w:val="none"/>
                      <w:shd w:val="clear" w:color="auto" w:fill="FFFFFF"/>
                    </w:rPr>
                    <w:t>四氯化碳</w:t>
                  </w:r>
                  <w:r>
                    <w:rPr>
                      <w:rStyle w:val="29"/>
                      <w:rFonts w:ascii="Times New Roman" w:hAnsi="Times New Roman"/>
                      <w:color w:val="auto"/>
                      <w:sz w:val="21"/>
                      <w:szCs w:val="21"/>
                      <w:u w:val="none"/>
                      <w:shd w:val="clear" w:color="auto" w:fill="FFFFFF"/>
                    </w:rPr>
                    <w:fldChar w:fldCharType="end"/>
                  </w:r>
                  <w:r>
                    <w:rPr>
                      <w:rFonts w:ascii="Times New Roman" w:hAnsi="Times New Roman"/>
                      <w:sz w:val="21"/>
                      <w:szCs w:val="21"/>
                      <w:shd w:val="clear" w:color="auto" w:fill="FFFFFF"/>
                    </w:rPr>
                    <w:t>和己烷混溶</w:t>
                  </w:r>
                  <w:r>
                    <w:rPr>
                      <w:rFonts w:ascii="Times New Roman" w:hAnsi="Times New Roman"/>
                      <w:sz w:val="21"/>
                      <w:szCs w:val="21"/>
                    </w:rPr>
                    <w:t>；</w:t>
                  </w:r>
                  <w:r>
                    <w:rPr>
                      <w:rFonts w:ascii="Times New Roman" w:hAnsi="Times New Roman"/>
                      <w:sz w:val="21"/>
                      <w:szCs w:val="21"/>
                      <w:shd w:val="clear" w:color="auto" w:fill="FFFFFF"/>
                    </w:rPr>
                    <w:t>半数致死量(小鼠，静脉)1200mg/kg。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18</w:t>
                  </w:r>
                </w:p>
              </w:tc>
              <w:tc>
                <w:tcPr>
                  <w:tcW w:w="698" w:type="pct"/>
                  <w:vAlign w:val="center"/>
                </w:tcPr>
                <w:p>
                  <w:pPr>
                    <w:adjustRightInd w:val="0"/>
                    <w:snapToGrid w:val="0"/>
                    <w:jc w:val="center"/>
                    <w:rPr>
                      <w:szCs w:val="21"/>
                    </w:rPr>
                  </w:pPr>
                  <w:r>
                    <w:rPr>
                      <w:szCs w:val="21"/>
                    </w:rPr>
                    <w:t>碳酸钠</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sz w:val="21"/>
                      <w:szCs w:val="21"/>
                    </w:rPr>
                    <w:t>CAS号：</w:t>
                  </w:r>
                  <w:r>
                    <w:rPr>
                      <w:rFonts w:ascii="Times New Roman" w:hAnsi="Times New Roman"/>
                      <w:sz w:val="21"/>
                      <w:szCs w:val="21"/>
                      <w:shd w:val="clear" w:color="auto" w:fill="FFFFFF"/>
                    </w:rPr>
                    <w:t>497-19-8</w:t>
                  </w:r>
                  <w:r>
                    <w:rPr>
                      <w:rFonts w:ascii="Times New Roman" w:hAnsi="Times New Roman"/>
                      <w:sz w:val="21"/>
                      <w:szCs w:val="21"/>
                    </w:rPr>
                    <w:t>；分子式为</w:t>
                  </w:r>
                  <w:r>
                    <w:rPr>
                      <w:rFonts w:ascii="Times New Roman" w:hAnsi="Times New Roman"/>
                      <w:sz w:val="21"/>
                      <w:szCs w:val="21"/>
                      <w:shd w:val="clear" w:color="auto" w:fill="FFFFFF"/>
                    </w:rPr>
                    <w:t>Na</w:t>
                  </w:r>
                  <w:r>
                    <w:rPr>
                      <w:rFonts w:ascii="Times New Roman" w:hAnsi="Times New Roman"/>
                      <w:sz w:val="21"/>
                      <w:szCs w:val="21"/>
                      <w:shd w:val="clear" w:color="auto" w:fill="FFFFFF"/>
                      <w:vertAlign w:val="subscript"/>
                    </w:rPr>
                    <w:t>2</w:t>
                  </w:r>
                  <w:r>
                    <w:rPr>
                      <w:rFonts w:ascii="Times New Roman" w:hAnsi="Times New Roman"/>
                      <w:sz w:val="21"/>
                      <w:szCs w:val="21"/>
                      <w:shd w:val="clear" w:color="auto" w:fill="FFFFFF"/>
                    </w:rPr>
                    <w:t>CO</w:t>
                  </w:r>
                  <w:r>
                    <w:rPr>
                      <w:rFonts w:ascii="Times New Roman" w:hAnsi="Times New Roman"/>
                      <w:sz w:val="21"/>
                      <w:szCs w:val="21"/>
                      <w:shd w:val="clear" w:color="auto" w:fill="FFFFFF"/>
                      <w:vertAlign w:val="subscript"/>
                    </w:rPr>
                    <w:t>3</w:t>
                  </w:r>
                  <w:r>
                    <w:rPr>
                      <w:rFonts w:ascii="Times New Roman" w:hAnsi="Times New Roman"/>
                      <w:sz w:val="21"/>
                      <w:szCs w:val="21"/>
                    </w:rPr>
                    <w:t>，相对分子量为105.99，相对密度2.532g/cm</w:t>
                  </w:r>
                  <w:r>
                    <w:rPr>
                      <w:rFonts w:ascii="Times New Roman" w:hAnsi="Times New Roman"/>
                      <w:sz w:val="21"/>
                      <w:szCs w:val="21"/>
                      <w:vertAlign w:val="superscript"/>
                    </w:rPr>
                    <w:t>3</w:t>
                  </w:r>
                  <w:r>
                    <w:rPr>
                      <w:rFonts w:ascii="Times New Roman" w:hAnsi="Times New Roman"/>
                      <w:sz w:val="21"/>
                      <w:szCs w:val="21"/>
                    </w:rPr>
                    <w:t>，熔点为851℃，沸点为1600℃；为白色粉末；</w:t>
                  </w:r>
                  <w:r>
                    <w:rPr>
                      <w:rFonts w:ascii="Times New Roman" w:hAnsi="Times New Roman"/>
                      <w:sz w:val="21"/>
                      <w:szCs w:val="21"/>
                      <w:shd w:val="clear" w:color="auto" w:fill="FFFFFF"/>
                    </w:rPr>
                    <w:t>易溶于水</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19</w:t>
                  </w:r>
                </w:p>
              </w:tc>
              <w:tc>
                <w:tcPr>
                  <w:tcW w:w="698" w:type="pct"/>
                  <w:vAlign w:val="center"/>
                </w:tcPr>
                <w:p>
                  <w:pPr>
                    <w:adjustRightInd w:val="0"/>
                    <w:snapToGrid w:val="0"/>
                    <w:jc w:val="center"/>
                    <w:rPr>
                      <w:szCs w:val="21"/>
                    </w:rPr>
                  </w:pPr>
                  <w:r>
                    <w:rPr>
                      <w:szCs w:val="21"/>
                    </w:rPr>
                    <w:t>氢氧化钠</w:t>
                  </w:r>
                </w:p>
              </w:tc>
              <w:tc>
                <w:tcPr>
                  <w:tcW w:w="3947" w:type="pct"/>
                  <w:vAlign w:val="center"/>
                </w:tcPr>
                <w:p>
                  <w:pPr>
                    <w:pStyle w:val="21"/>
                    <w:adjustRightInd w:val="0"/>
                    <w:snapToGrid w:val="0"/>
                    <w:spacing w:before="0" w:beforeAutospacing="0" w:after="0" w:afterAutospacing="0" w:line="340" w:lineRule="exact"/>
                    <w:jc w:val="both"/>
                    <w:rPr>
                      <w:rFonts w:ascii="Times New Roman" w:hAnsi="Times New Roman"/>
                      <w:sz w:val="21"/>
                      <w:szCs w:val="21"/>
                    </w:rPr>
                  </w:pPr>
                  <w:r>
                    <w:rPr>
                      <w:rFonts w:ascii="Times New Roman" w:hAnsi="Times New Roman"/>
                      <w:sz w:val="21"/>
                      <w:szCs w:val="21"/>
                    </w:rPr>
                    <w:t>CAS号：</w:t>
                  </w:r>
                  <w:r>
                    <w:rPr>
                      <w:rFonts w:ascii="Times New Roman" w:hAnsi="Times New Roman"/>
                      <w:sz w:val="21"/>
                      <w:szCs w:val="21"/>
                      <w:shd w:val="clear" w:color="auto" w:fill="FFFFFF"/>
                    </w:rPr>
                    <w:t>1310-73-2</w:t>
                  </w:r>
                  <w:r>
                    <w:rPr>
                      <w:rFonts w:ascii="Times New Roman" w:hAnsi="Times New Roman"/>
                      <w:sz w:val="21"/>
                      <w:szCs w:val="21"/>
                    </w:rPr>
                    <w:t>；分子式为</w:t>
                  </w:r>
                  <w:r>
                    <w:rPr>
                      <w:rFonts w:ascii="Times New Roman" w:hAnsi="Times New Roman"/>
                      <w:sz w:val="18"/>
                      <w:szCs w:val="18"/>
                      <w:shd w:val="clear" w:color="auto" w:fill="FFFFFF"/>
                    </w:rPr>
                    <w:t>NaOH</w:t>
                  </w:r>
                  <w:r>
                    <w:rPr>
                      <w:rFonts w:ascii="Times New Roman" w:hAnsi="Times New Roman"/>
                      <w:sz w:val="21"/>
                      <w:szCs w:val="21"/>
                    </w:rPr>
                    <w:t>，相对分子量为39.9971，相对密度2.130g/cm</w:t>
                  </w:r>
                  <w:r>
                    <w:rPr>
                      <w:rFonts w:ascii="Times New Roman" w:hAnsi="Times New Roman"/>
                      <w:sz w:val="21"/>
                      <w:szCs w:val="21"/>
                      <w:vertAlign w:val="superscript"/>
                    </w:rPr>
                    <w:t>3</w:t>
                  </w:r>
                  <w:r>
                    <w:rPr>
                      <w:rFonts w:ascii="Times New Roman" w:hAnsi="Times New Roman"/>
                      <w:sz w:val="21"/>
                      <w:szCs w:val="21"/>
                    </w:rPr>
                    <w:t>，熔点为318℃，沸点为1388℃；</w:t>
                  </w:r>
                  <w:r>
                    <w:rPr>
                      <w:rFonts w:ascii="Times New Roman" w:hAnsi="Times New Roman"/>
                      <w:sz w:val="21"/>
                      <w:szCs w:val="21"/>
                      <w:shd w:val="clear" w:color="auto" w:fill="FFFFFF"/>
                    </w:rPr>
                    <w:t>白色半透明结晶状固体</w:t>
                  </w:r>
                  <w:r>
                    <w:rPr>
                      <w:rFonts w:ascii="Times New Roman" w:hAnsi="Times New Roman"/>
                      <w:sz w:val="21"/>
                      <w:szCs w:val="21"/>
                    </w:rPr>
                    <w:t>；</w:t>
                  </w:r>
                  <w:r>
                    <w:rPr>
                      <w:rFonts w:ascii="Times New Roman" w:hAnsi="Times New Roman"/>
                      <w:sz w:val="21"/>
                      <w:szCs w:val="21"/>
                      <w:shd w:val="clear" w:color="auto" w:fill="FFFFFF"/>
                    </w:rPr>
                    <w:t>极易溶于水，溶解时放出大量的热。易溶于乙醇、甘油</w:t>
                  </w:r>
                  <w:r>
                    <w:rPr>
                      <w:rFonts w:ascii="Times New Roman" w:hAnsi="Times New Roman"/>
                      <w:sz w:val="21"/>
                      <w:szCs w:val="21"/>
                    </w:rPr>
                    <w:t>。</w:t>
                  </w:r>
                  <w:r>
                    <w:rPr>
                      <w:rFonts w:ascii="Times New Roman" w:hAnsi="Times New Roman"/>
                      <w:sz w:val="21"/>
                      <w:szCs w:val="21"/>
                      <w:shd w:val="clear" w:color="auto" w:fill="FFFFFF"/>
                    </w:rPr>
                    <w:t>LC50:9460mg/m</w:t>
                  </w:r>
                  <w:r>
                    <w:rPr>
                      <w:rFonts w:ascii="Times New Roman" w:hAnsi="Times New Roman"/>
                      <w:sz w:val="21"/>
                      <w:szCs w:val="21"/>
                      <w:shd w:val="clear" w:color="auto" w:fill="FFFFFF"/>
                      <w:vertAlign w:val="superscript"/>
                    </w:rPr>
                    <w:t>3</w:t>
                  </w:r>
                  <w:r>
                    <w:rPr>
                      <w:rFonts w:ascii="Times New Roman" w:hAnsi="Times New Roman"/>
                      <w:sz w:val="21"/>
                      <w:szCs w:val="21"/>
                      <w:shd w:val="clear" w:color="auto" w:fill="FFFFFF"/>
                    </w:rPr>
                    <w:t>(大鼠吸入，1h);2694mg/m</w:t>
                  </w:r>
                  <w:r>
                    <w:rPr>
                      <w:rFonts w:ascii="Times New Roman" w:hAnsi="Times New Roman"/>
                      <w:sz w:val="21"/>
                      <w:szCs w:val="21"/>
                      <w:shd w:val="clear" w:color="auto" w:fill="FFFFFF"/>
                      <w:vertAlign w:val="superscript"/>
                    </w:rPr>
                    <w:t>3</w:t>
                  </w:r>
                  <w:r>
                    <w:rPr>
                      <w:rFonts w:ascii="Times New Roman" w:hAnsi="Times New Roman"/>
                      <w:sz w:val="21"/>
                      <w:szCs w:val="21"/>
                      <w:shd w:val="clear" w:color="auto" w:fill="FFFFFF"/>
                    </w:rPr>
                    <w:t>(小鼠吸入，1h)。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20</w:t>
                  </w:r>
                </w:p>
              </w:tc>
              <w:tc>
                <w:tcPr>
                  <w:tcW w:w="698" w:type="pct"/>
                  <w:vAlign w:val="center"/>
                </w:tcPr>
                <w:p>
                  <w:pPr>
                    <w:adjustRightInd w:val="0"/>
                    <w:snapToGrid w:val="0"/>
                    <w:jc w:val="center"/>
                    <w:rPr>
                      <w:szCs w:val="21"/>
                    </w:rPr>
                  </w:pPr>
                  <w:r>
                    <w:rPr>
                      <w:szCs w:val="21"/>
                    </w:rPr>
                    <w:t>碳酸氢钠</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sz w:val="21"/>
                      <w:szCs w:val="21"/>
                    </w:rPr>
                    <w:t>CAS号：</w:t>
                  </w:r>
                  <w:r>
                    <w:rPr>
                      <w:rFonts w:ascii="Times New Roman" w:hAnsi="Times New Roman"/>
                      <w:sz w:val="21"/>
                      <w:szCs w:val="21"/>
                      <w:shd w:val="clear" w:color="auto" w:fill="FFFFFF"/>
                    </w:rPr>
                    <w:t>144-55-8</w:t>
                  </w:r>
                  <w:r>
                    <w:rPr>
                      <w:rFonts w:ascii="Times New Roman" w:hAnsi="Times New Roman"/>
                      <w:sz w:val="21"/>
                      <w:szCs w:val="21"/>
                    </w:rPr>
                    <w:t>；分子式为</w:t>
                  </w:r>
                  <w:r>
                    <w:rPr>
                      <w:rFonts w:ascii="Times New Roman" w:hAnsi="Times New Roman"/>
                      <w:sz w:val="21"/>
                      <w:szCs w:val="21"/>
                      <w:shd w:val="clear" w:color="auto" w:fill="FFFFFF"/>
                    </w:rPr>
                    <w:t>NaHCO₃</w:t>
                  </w:r>
                  <w:r>
                    <w:rPr>
                      <w:rFonts w:ascii="Times New Roman" w:hAnsi="Times New Roman"/>
                      <w:sz w:val="21"/>
                      <w:szCs w:val="21"/>
                    </w:rPr>
                    <w:t>，相对分子量为84.01，相对密度2.159g/cm</w:t>
                  </w:r>
                  <w:r>
                    <w:rPr>
                      <w:rFonts w:ascii="Times New Roman" w:hAnsi="Times New Roman"/>
                      <w:sz w:val="21"/>
                      <w:szCs w:val="21"/>
                      <w:vertAlign w:val="superscript"/>
                    </w:rPr>
                    <w:t>3</w:t>
                  </w:r>
                  <w:r>
                    <w:rPr>
                      <w:rFonts w:ascii="Times New Roman" w:hAnsi="Times New Roman"/>
                      <w:sz w:val="21"/>
                      <w:szCs w:val="21"/>
                    </w:rPr>
                    <w:t>，熔点为270℃；白色碱性粉末；</w:t>
                  </w:r>
                  <w:r>
                    <w:rPr>
                      <w:rFonts w:ascii="Times New Roman" w:hAnsi="Times New Roman"/>
                      <w:sz w:val="21"/>
                      <w:szCs w:val="21"/>
                      <w:shd w:val="clear" w:color="auto" w:fill="FFFFFF"/>
                    </w:rPr>
                    <w:t>易溶于水</w:t>
                  </w:r>
                  <w:r>
                    <w:rPr>
                      <w:rFonts w:ascii="Times New Roman" w:hAnsi="Times New Roman"/>
                      <w:sz w:val="21"/>
                      <w:szCs w:val="21"/>
                    </w:rPr>
                    <w:t>；</w:t>
                  </w:r>
                  <w:r>
                    <w:rPr>
                      <w:rFonts w:ascii="Times New Roman" w:hAnsi="Times New Roman"/>
                      <w:sz w:val="21"/>
                      <w:szCs w:val="21"/>
                      <w:shd w:val="clear" w:color="auto" w:fill="FFFFFF"/>
                    </w:rPr>
                    <w:t>低毒，半数致死量(大鼠，经口)4420mg/kg。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 w:type="pct"/>
                  <w:vAlign w:val="center"/>
                </w:tcPr>
                <w:p>
                  <w:pPr>
                    <w:adjustRightInd w:val="0"/>
                    <w:snapToGrid w:val="0"/>
                    <w:spacing w:line="340" w:lineRule="exact"/>
                    <w:ind w:left="-105" w:leftChars="-50" w:right="-105" w:rightChars="-50"/>
                    <w:jc w:val="center"/>
                    <w:rPr>
                      <w:bCs/>
                      <w:szCs w:val="21"/>
                      <w:lang w:bidi="ar"/>
                    </w:rPr>
                  </w:pPr>
                  <w:r>
                    <w:rPr>
                      <w:bCs/>
                      <w:szCs w:val="21"/>
                      <w:lang w:bidi="ar"/>
                    </w:rPr>
                    <w:t>21</w:t>
                  </w:r>
                </w:p>
              </w:tc>
              <w:tc>
                <w:tcPr>
                  <w:tcW w:w="698" w:type="pct"/>
                  <w:vAlign w:val="center"/>
                </w:tcPr>
                <w:p>
                  <w:pPr>
                    <w:adjustRightInd w:val="0"/>
                    <w:snapToGrid w:val="0"/>
                    <w:jc w:val="center"/>
                    <w:rPr>
                      <w:szCs w:val="21"/>
                    </w:rPr>
                  </w:pPr>
                  <w:r>
                    <w:rPr>
                      <w:szCs w:val="21"/>
                    </w:rPr>
                    <w:t>碳酸钾</w:t>
                  </w:r>
                </w:p>
              </w:tc>
              <w:tc>
                <w:tcPr>
                  <w:tcW w:w="3947" w:type="pct"/>
                  <w:vAlign w:val="center"/>
                </w:tcPr>
                <w:p>
                  <w:pPr>
                    <w:pStyle w:val="21"/>
                    <w:adjustRightInd w:val="0"/>
                    <w:snapToGrid w:val="0"/>
                    <w:spacing w:before="0" w:beforeAutospacing="0" w:after="0" w:afterAutospacing="0" w:line="340" w:lineRule="exact"/>
                    <w:rPr>
                      <w:rFonts w:ascii="Times New Roman" w:hAnsi="Times New Roman"/>
                      <w:sz w:val="21"/>
                      <w:szCs w:val="21"/>
                    </w:rPr>
                  </w:pPr>
                  <w:r>
                    <w:rPr>
                      <w:rFonts w:ascii="Times New Roman" w:hAnsi="Times New Roman"/>
                      <w:sz w:val="21"/>
                      <w:szCs w:val="21"/>
                    </w:rPr>
                    <w:t>CAS号：</w:t>
                  </w:r>
                  <w:r>
                    <w:rPr>
                      <w:rFonts w:ascii="Times New Roman" w:hAnsi="Times New Roman"/>
                      <w:sz w:val="18"/>
                      <w:szCs w:val="18"/>
                      <w:shd w:val="clear" w:color="auto" w:fill="FFFFFF"/>
                    </w:rPr>
                    <w:t>584-08-7</w:t>
                  </w:r>
                  <w:r>
                    <w:rPr>
                      <w:rFonts w:ascii="Times New Roman" w:hAnsi="Times New Roman"/>
                      <w:sz w:val="21"/>
                      <w:szCs w:val="21"/>
                    </w:rPr>
                    <w:t>；分子式为</w:t>
                  </w:r>
                  <w:r>
                    <w:rPr>
                      <w:rFonts w:ascii="Times New Roman" w:hAnsi="Times New Roman"/>
                      <w:sz w:val="18"/>
                      <w:szCs w:val="18"/>
                      <w:shd w:val="clear" w:color="auto" w:fill="FFFFFF"/>
                    </w:rPr>
                    <w:t>K</w:t>
                  </w:r>
                  <w:r>
                    <w:rPr>
                      <w:rFonts w:ascii="Times New Roman" w:hAnsi="Times New Roman"/>
                      <w:sz w:val="18"/>
                      <w:szCs w:val="18"/>
                      <w:shd w:val="clear" w:color="auto" w:fill="FFFFFF"/>
                      <w:vertAlign w:val="subscript"/>
                    </w:rPr>
                    <w:t>2</w:t>
                  </w:r>
                  <w:r>
                    <w:rPr>
                      <w:rFonts w:ascii="Times New Roman" w:hAnsi="Times New Roman"/>
                      <w:sz w:val="18"/>
                      <w:szCs w:val="18"/>
                      <w:shd w:val="clear" w:color="auto" w:fill="FFFFFF"/>
                    </w:rPr>
                    <w:t>CO</w:t>
                  </w:r>
                  <w:r>
                    <w:rPr>
                      <w:rFonts w:ascii="Times New Roman" w:hAnsi="Times New Roman"/>
                      <w:sz w:val="18"/>
                      <w:szCs w:val="18"/>
                      <w:shd w:val="clear" w:color="auto" w:fill="FFFFFF"/>
                      <w:vertAlign w:val="subscript"/>
                    </w:rPr>
                    <w:t>3</w:t>
                  </w:r>
                  <w:r>
                    <w:rPr>
                      <w:rFonts w:ascii="Times New Roman" w:hAnsi="Times New Roman"/>
                      <w:sz w:val="21"/>
                      <w:szCs w:val="21"/>
                    </w:rPr>
                    <w:t>，相对分子量为138.21，相对密度2.43g/cm</w:t>
                  </w:r>
                  <w:r>
                    <w:rPr>
                      <w:rFonts w:ascii="Times New Roman" w:hAnsi="Times New Roman"/>
                      <w:sz w:val="21"/>
                      <w:szCs w:val="21"/>
                      <w:vertAlign w:val="superscript"/>
                    </w:rPr>
                    <w:t>3</w:t>
                  </w:r>
                  <w:r>
                    <w:rPr>
                      <w:rFonts w:ascii="Times New Roman" w:hAnsi="Times New Roman"/>
                      <w:sz w:val="21"/>
                      <w:szCs w:val="21"/>
                    </w:rPr>
                    <w:t>，熔点为891℃；白色粉状颗粒，</w:t>
                  </w:r>
                  <w:r>
                    <w:rPr>
                      <w:rFonts w:ascii="Times New Roman" w:hAnsi="Times New Roman"/>
                      <w:sz w:val="21"/>
                      <w:szCs w:val="21"/>
                      <w:shd w:val="clear" w:color="auto" w:fill="FFFFFF"/>
                    </w:rPr>
                    <w:t>在湿空气中易吸湿潮解</w:t>
                  </w:r>
                  <w:r>
                    <w:rPr>
                      <w:rFonts w:ascii="Times New Roman" w:hAnsi="Times New Roman"/>
                      <w:sz w:val="21"/>
                      <w:szCs w:val="21"/>
                    </w:rPr>
                    <w:t>；</w:t>
                  </w:r>
                  <w:r>
                    <w:rPr>
                      <w:rFonts w:ascii="Times New Roman" w:hAnsi="Times New Roman"/>
                      <w:sz w:val="21"/>
                      <w:szCs w:val="21"/>
                      <w:shd w:val="clear" w:color="auto" w:fill="FFFFFF"/>
                    </w:rPr>
                    <w:t>大鼠经口LD</w:t>
                  </w:r>
                  <w:r>
                    <w:rPr>
                      <w:rFonts w:ascii="Times New Roman" w:hAnsi="Times New Roman"/>
                      <w:sz w:val="21"/>
                      <w:szCs w:val="21"/>
                      <w:shd w:val="clear" w:color="auto" w:fill="FFFFFF"/>
                      <w:vertAlign w:val="subscript"/>
                    </w:rPr>
                    <w:t>50</w:t>
                  </w:r>
                  <w:r>
                    <w:rPr>
                      <w:rFonts w:ascii="Times New Roman" w:hAnsi="Times New Roman"/>
                      <w:sz w:val="21"/>
                      <w:szCs w:val="21"/>
                      <w:shd w:val="clear" w:color="auto" w:fill="FFFFFF"/>
                    </w:rPr>
                    <w:t>为1870mg/kg。</w:t>
                  </w:r>
                </w:p>
              </w:tc>
            </w:tr>
          </w:tbl>
          <w:p>
            <w:pPr>
              <w:adjustRightInd w:val="0"/>
              <w:snapToGrid w:val="0"/>
              <w:spacing w:line="360" w:lineRule="auto"/>
              <w:ind w:firstLine="482" w:firstLineChars="200"/>
              <w:rPr>
                <w:b/>
                <w:bCs/>
                <w:sz w:val="24"/>
              </w:rPr>
            </w:pPr>
            <w:r>
              <w:rPr>
                <w:b/>
                <w:bCs/>
                <w:sz w:val="24"/>
              </w:rPr>
              <w:t>五、主要设备</w:t>
            </w:r>
          </w:p>
          <w:p>
            <w:pPr>
              <w:adjustRightInd w:val="0"/>
              <w:snapToGrid w:val="0"/>
              <w:spacing w:line="360" w:lineRule="auto"/>
              <w:ind w:firstLine="480" w:firstLineChars="200"/>
              <w:rPr>
                <w:sz w:val="24"/>
              </w:rPr>
            </w:pPr>
            <w:r>
              <w:rPr>
                <w:sz w:val="24"/>
              </w:rPr>
              <w:t>本项目主要生产设备见表2-5。</w:t>
            </w:r>
          </w:p>
          <w:p>
            <w:pPr>
              <w:adjustRightInd w:val="0"/>
              <w:snapToGrid w:val="0"/>
              <w:spacing w:after="72" w:afterLines="30"/>
              <w:jc w:val="center"/>
              <w:rPr>
                <w:rFonts w:eastAsia="黑体"/>
                <w:kern w:val="24"/>
                <w:szCs w:val="21"/>
              </w:rPr>
            </w:pPr>
            <w:r>
              <w:rPr>
                <w:rFonts w:eastAsia="黑体"/>
                <w:kern w:val="24"/>
                <w:szCs w:val="21"/>
              </w:rPr>
              <w:t>表2-5  本项目主要设备一览表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098"/>
              <w:gridCol w:w="1948"/>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序号</w:t>
                  </w:r>
                </w:p>
              </w:tc>
              <w:tc>
                <w:tcPr>
                  <w:tcW w:w="1899" w:type="pct"/>
                  <w:vAlign w:val="center"/>
                </w:tcPr>
                <w:p>
                  <w:pPr>
                    <w:jc w:val="center"/>
                    <w:rPr>
                      <w:szCs w:val="21"/>
                    </w:rPr>
                  </w:pPr>
                  <w:r>
                    <w:rPr>
                      <w:szCs w:val="21"/>
                    </w:rPr>
                    <w:t>名称</w:t>
                  </w:r>
                </w:p>
              </w:tc>
              <w:tc>
                <w:tcPr>
                  <w:tcW w:w="1194" w:type="pct"/>
                  <w:vAlign w:val="center"/>
                </w:tcPr>
                <w:p>
                  <w:pPr>
                    <w:jc w:val="center"/>
                    <w:rPr>
                      <w:szCs w:val="21"/>
                    </w:rPr>
                  </w:pPr>
                  <w:r>
                    <w:rPr>
                      <w:szCs w:val="21"/>
                    </w:rPr>
                    <w:t>数量</w:t>
                  </w:r>
                </w:p>
              </w:tc>
              <w:tc>
                <w:tcPr>
                  <w:tcW w:w="1327" w:type="pct"/>
                  <w:vAlign w:val="center"/>
                </w:tcPr>
                <w:p>
                  <w:pPr>
                    <w:jc w:val="center"/>
                    <w:rPr>
                      <w:szCs w:val="21"/>
                    </w:rPr>
                  </w:pPr>
                  <w:r>
                    <w:rPr>
                      <w:szCs w:val="21"/>
                    </w:rPr>
                    <w:t>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w:t>
                  </w:r>
                </w:p>
              </w:tc>
              <w:tc>
                <w:tcPr>
                  <w:tcW w:w="1899" w:type="pct"/>
                  <w:vAlign w:val="center"/>
                </w:tcPr>
                <w:p>
                  <w:pPr>
                    <w:jc w:val="center"/>
                    <w:rPr>
                      <w:szCs w:val="21"/>
                    </w:rPr>
                  </w:pPr>
                  <w:r>
                    <w:rPr>
                      <w:szCs w:val="21"/>
                    </w:rPr>
                    <w:t>磁力搅拌器（常温）</w:t>
                  </w:r>
                </w:p>
              </w:tc>
              <w:tc>
                <w:tcPr>
                  <w:tcW w:w="1194" w:type="pct"/>
                  <w:vAlign w:val="center"/>
                </w:tcPr>
                <w:p>
                  <w:pPr>
                    <w:jc w:val="center"/>
                    <w:rPr>
                      <w:szCs w:val="21"/>
                    </w:rPr>
                  </w:pPr>
                  <w:r>
                    <w:rPr>
                      <w:szCs w:val="21"/>
                    </w:rPr>
                    <w:t>20套</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2</w:t>
                  </w:r>
                </w:p>
              </w:tc>
              <w:tc>
                <w:tcPr>
                  <w:tcW w:w="1899" w:type="pct"/>
                  <w:vAlign w:val="center"/>
                </w:tcPr>
                <w:p>
                  <w:pPr>
                    <w:jc w:val="center"/>
                    <w:rPr>
                      <w:szCs w:val="21"/>
                    </w:rPr>
                  </w:pPr>
                  <w:r>
                    <w:rPr>
                      <w:szCs w:val="21"/>
                    </w:rPr>
                    <w:t>小型机械搅拌器</w:t>
                  </w:r>
                </w:p>
              </w:tc>
              <w:tc>
                <w:tcPr>
                  <w:tcW w:w="1194" w:type="pct"/>
                  <w:vAlign w:val="center"/>
                </w:tcPr>
                <w:p>
                  <w:pPr>
                    <w:jc w:val="center"/>
                    <w:rPr>
                      <w:szCs w:val="21"/>
                    </w:rPr>
                  </w:pPr>
                  <w:r>
                    <w:rPr>
                      <w:szCs w:val="21"/>
                    </w:rPr>
                    <w:t>6套</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3</w:t>
                  </w:r>
                </w:p>
              </w:tc>
              <w:tc>
                <w:tcPr>
                  <w:tcW w:w="1899" w:type="pct"/>
                  <w:vAlign w:val="center"/>
                </w:tcPr>
                <w:p>
                  <w:pPr>
                    <w:jc w:val="center"/>
                    <w:rPr>
                      <w:szCs w:val="21"/>
                    </w:rPr>
                  </w:pPr>
                  <w:r>
                    <w:rPr>
                      <w:szCs w:val="21"/>
                    </w:rPr>
                    <w:t>旋转蒸发仪</w:t>
                  </w:r>
                </w:p>
              </w:tc>
              <w:tc>
                <w:tcPr>
                  <w:tcW w:w="1194" w:type="pct"/>
                  <w:vAlign w:val="center"/>
                </w:tcPr>
                <w:p>
                  <w:pPr>
                    <w:jc w:val="center"/>
                    <w:rPr>
                      <w:szCs w:val="21"/>
                    </w:rPr>
                  </w:pPr>
                  <w:r>
                    <w:rPr>
                      <w:szCs w:val="21"/>
                    </w:rPr>
                    <w:t>5套</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4</w:t>
                  </w:r>
                </w:p>
              </w:tc>
              <w:tc>
                <w:tcPr>
                  <w:tcW w:w="1899" w:type="pct"/>
                  <w:vAlign w:val="center"/>
                </w:tcPr>
                <w:p>
                  <w:pPr>
                    <w:jc w:val="center"/>
                    <w:rPr>
                      <w:szCs w:val="21"/>
                    </w:rPr>
                  </w:pPr>
                  <w:r>
                    <w:rPr>
                      <w:szCs w:val="21"/>
                    </w:rPr>
                    <w:t>低温恒温浴槽</w:t>
                  </w:r>
                </w:p>
              </w:tc>
              <w:tc>
                <w:tcPr>
                  <w:tcW w:w="1194" w:type="pct"/>
                  <w:vAlign w:val="center"/>
                </w:tcPr>
                <w:p>
                  <w:pPr>
                    <w:jc w:val="center"/>
                    <w:rPr>
                      <w:szCs w:val="21"/>
                    </w:rPr>
                  </w:pPr>
                  <w:r>
                    <w:rPr>
                      <w:szCs w:val="21"/>
                    </w:rPr>
                    <w:t>4台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5</w:t>
                  </w:r>
                </w:p>
              </w:tc>
              <w:tc>
                <w:tcPr>
                  <w:tcW w:w="1899" w:type="pct"/>
                  <w:vAlign w:val="center"/>
                </w:tcPr>
                <w:p>
                  <w:pPr>
                    <w:jc w:val="center"/>
                    <w:rPr>
                      <w:szCs w:val="21"/>
                    </w:rPr>
                  </w:pPr>
                  <w:r>
                    <w:rPr>
                      <w:szCs w:val="21"/>
                    </w:rPr>
                    <w:t>加热油浴</w:t>
                  </w:r>
                </w:p>
              </w:tc>
              <w:tc>
                <w:tcPr>
                  <w:tcW w:w="1194" w:type="pct"/>
                  <w:vAlign w:val="center"/>
                </w:tcPr>
                <w:p>
                  <w:pPr>
                    <w:jc w:val="center"/>
                    <w:rPr>
                      <w:szCs w:val="21"/>
                    </w:rPr>
                  </w:pPr>
                  <w:r>
                    <w:rPr>
                      <w:szCs w:val="21"/>
                    </w:rPr>
                    <w:t>12套</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6</w:t>
                  </w:r>
                </w:p>
              </w:tc>
              <w:tc>
                <w:tcPr>
                  <w:tcW w:w="1899" w:type="pct"/>
                  <w:vAlign w:val="center"/>
                </w:tcPr>
                <w:p>
                  <w:pPr>
                    <w:jc w:val="center"/>
                    <w:rPr>
                      <w:szCs w:val="21"/>
                    </w:rPr>
                  </w:pPr>
                  <w:r>
                    <w:rPr>
                      <w:szCs w:val="21"/>
                    </w:rPr>
                    <w:t>水泵</w:t>
                  </w:r>
                </w:p>
              </w:tc>
              <w:tc>
                <w:tcPr>
                  <w:tcW w:w="1194" w:type="pct"/>
                  <w:vAlign w:val="center"/>
                </w:tcPr>
                <w:p>
                  <w:pPr>
                    <w:jc w:val="center"/>
                    <w:rPr>
                      <w:szCs w:val="21"/>
                    </w:rPr>
                  </w:pPr>
                  <w:r>
                    <w:rPr>
                      <w:szCs w:val="21"/>
                    </w:rPr>
                    <w:t>2台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7</w:t>
                  </w:r>
                </w:p>
              </w:tc>
              <w:tc>
                <w:tcPr>
                  <w:tcW w:w="1899" w:type="pct"/>
                  <w:vAlign w:val="center"/>
                </w:tcPr>
                <w:p>
                  <w:pPr>
                    <w:jc w:val="center"/>
                    <w:rPr>
                      <w:szCs w:val="21"/>
                    </w:rPr>
                  </w:pPr>
                  <w:r>
                    <w:rPr>
                      <w:szCs w:val="21"/>
                    </w:rPr>
                    <w:t>油泵</w:t>
                  </w:r>
                </w:p>
              </w:tc>
              <w:tc>
                <w:tcPr>
                  <w:tcW w:w="1194" w:type="pct"/>
                  <w:vAlign w:val="center"/>
                </w:tcPr>
                <w:p>
                  <w:pPr>
                    <w:jc w:val="center"/>
                    <w:rPr>
                      <w:szCs w:val="21"/>
                    </w:rPr>
                  </w:pPr>
                  <w:r>
                    <w:rPr>
                      <w:szCs w:val="21"/>
                    </w:rPr>
                    <w:t>4台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8</w:t>
                  </w:r>
                </w:p>
              </w:tc>
              <w:tc>
                <w:tcPr>
                  <w:tcW w:w="1899" w:type="pct"/>
                  <w:vAlign w:val="center"/>
                </w:tcPr>
                <w:p>
                  <w:pPr>
                    <w:jc w:val="center"/>
                    <w:rPr>
                      <w:szCs w:val="21"/>
                    </w:rPr>
                  </w:pPr>
                  <w:r>
                    <w:rPr>
                      <w:szCs w:val="21"/>
                    </w:rPr>
                    <w:t>冷冻干燥机</w:t>
                  </w:r>
                </w:p>
              </w:tc>
              <w:tc>
                <w:tcPr>
                  <w:tcW w:w="1194" w:type="pct"/>
                  <w:vAlign w:val="center"/>
                </w:tcPr>
                <w:p>
                  <w:pPr>
                    <w:jc w:val="center"/>
                    <w:rPr>
                      <w:szCs w:val="21"/>
                    </w:rPr>
                  </w:pPr>
                  <w:r>
                    <w:rPr>
                      <w:szCs w:val="21"/>
                    </w:rPr>
                    <w:t>1台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9</w:t>
                  </w:r>
                </w:p>
              </w:tc>
              <w:tc>
                <w:tcPr>
                  <w:tcW w:w="1899" w:type="pct"/>
                  <w:vAlign w:val="center"/>
                </w:tcPr>
                <w:p>
                  <w:pPr>
                    <w:jc w:val="center"/>
                    <w:rPr>
                      <w:szCs w:val="21"/>
                    </w:rPr>
                  </w:pPr>
                  <w:r>
                    <w:rPr>
                      <w:szCs w:val="21"/>
                    </w:rPr>
                    <w:t>快速纯化制备液相</w:t>
                  </w:r>
                </w:p>
              </w:tc>
              <w:tc>
                <w:tcPr>
                  <w:tcW w:w="1194" w:type="pct"/>
                  <w:vAlign w:val="center"/>
                </w:tcPr>
                <w:p>
                  <w:pPr>
                    <w:jc w:val="center"/>
                    <w:rPr>
                      <w:szCs w:val="21"/>
                    </w:rPr>
                  </w:pPr>
                  <w:r>
                    <w:rPr>
                      <w:szCs w:val="21"/>
                    </w:rPr>
                    <w:t>1台</w:t>
                  </w:r>
                </w:p>
              </w:tc>
              <w:tc>
                <w:tcPr>
                  <w:tcW w:w="1327" w:type="pct"/>
                  <w:vAlign w:val="center"/>
                </w:tcPr>
                <w:p>
                  <w:pPr>
                    <w:jc w:val="center"/>
                    <w:rPr>
                      <w:rFonts w:eastAsiaTheme="minorEastAsia"/>
                      <w:szCs w:val="21"/>
                    </w:rPr>
                  </w:pPr>
                  <w:r>
                    <w:rPr>
                      <w:rFonts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10</w:t>
                  </w:r>
                </w:p>
              </w:tc>
              <w:tc>
                <w:tcPr>
                  <w:tcW w:w="1899" w:type="pct"/>
                  <w:vAlign w:val="center"/>
                </w:tcPr>
                <w:p>
                  <w:pPr>
                    <w:jc w:val="center"/>
                    <w:rPr>
                      <w:szCs w:val="21"/>
                    </w:rPr>
                  </w:pPr>
                  <w:r>
                    <w:rPr>
                      <w:szCs w:val="21"/>
                    </w:rPr>
                    <w:t>超声波清洗器</w:t>
                  </w:r>
                </w:p>
              </w:tc>
              <w:tc>
                <w:tcPr>
                  <w:tcW w:w="1194" w:type="pct"/>
                  <w:vAlign w:val="center"/>
                </w:tcPr>
                <w:p>
                  <w:pPr>
                    <w:jc w:val="center"/>
                    <w:rPr>
                      <w:szCs w:val="21"/>
                    </w:rPr>
                  </w:pPr>
                  <w:r>
                    <w:rPr>
                      <w:szCs w:val="21"/>
                    </w:rPr>
                    <w:t>1台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11</w:t>
                  </w:r>
                </w:p>
              </w:tc>
              <w:tc>
                <w:tcPr>
                  <w:tcW w:w="1899" w:type="pct"/>
                  <w:vAlign w:val="center"/>
                </w:tcPr>
                <w:p>
                  <w:pPr>
                    <w:jc w:val="center"/>
                    <w:rPr>
                      <w:szCs w:val="21"/>
                    </w:rPr>
                  </w:pPr>
                  <w:r>
                    <w:rPr>
                      <w:szCs w:val="21"/>
                    </w:rPr>
                    <w:t>烘箱</w:t>
                  </w:r>
                </w:p>
              </w:tc>
              <w:tc>
                <w:tcPr>
                  <w:tcW w:w="1194" w:type="pct"/>
                  <w:vAlign w:val="center"/>
                </w:tcPr>
                <w:p>
                  <w:pPr>
                    <w:jc w:val="center"/>
                    <w:rPr>
                      <w:szCs w:val="21"/>
                    </w:rPr>
                  </w:pPr>
                  <w:r>
                    <w:rPr>
                      <w:szCs w:val="21"/>
                    </w:rPr>
                    <w:t>2台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12</w:t>
                  </w:r>
                </w:p>
              </w:tc>
              <w:tc>
                <w:tcPr>
                  <w:tcW w:w="1899" w:type="pct"/>
                  <w:vAlign w:val="center"/>
                </w:tcPr>
                <w:p>
                  <w:pPr>
                    <w:jc w:val="center"/>
                    <w:rPr>
                      <w:szCs w:val="21"/>
                    </w:rPr>
                  </w:pPr>
                  <w:r>
                    <w:rPr>
                      <w:szCs w:val="21"/>
                    </w:rPr>
                    <w:t>分析天平</w:t>
                  </w:r>
                </w:p>
              </w:tc>
              <w:tc>
                <w:tcPr>
                  <w:tcW w:w="1194" w:type="pct"/>
                  <w:vAlign w:val="center"/>
                </w:tcPr>
                <w:p>
                  <w:pPr>
                    <w:jc w:val="center"/>
                    <w:rPr>
                      <w:szCs w:val="21"/>
                    </w:rPr>
                  </w:pPr>
                  <w:r>
                    <w:rPr>
                      <w:szCs w:val="21"/>
                    </w:rPr>
                    <w:t>1台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13</w:t>
                  </w:r>
                </w:p>
              </w:tc>
              <w:tc>
                <w:tcPr>
                  <w:tcW w:w="1899" w:type="pct"/>
                  <w:vAlign w:val="center"/>
                </w:tcPr>
                <w:p>
                  <w:pPr>
                    <w:jc w:val="center"/>
                    <w:rPr>
                      <w:szCs w:val="21"/>
                    </w:rPr>
                  </w:pPr>
                  <w:r>
                    <w:rPr>
                      <w:szCs w:val="21"/>
                    </w:rPr>
                    <w:t>台秤</w:t>
                  </w:r>
                </w:p>
              </w:tc>
              <w:tc>
                <w:tcPr>
                  <w:tcW w:w="1194" w:type="pct"/>
                  <w:vAlign w:val="center"/>
                </w:tcPr>
                <w:p>
                  <w:pPr>
                    <w:jc w:val="center"/>
                    <w:rPr>
                      <w:szCs w:val="21"/>
                    </w:rPr>
                  </w:pPr>
                  <w:r>
                    <w:rPr>
                      <w:szCs w:val="21"/>
                    </w:rPr>
                    <w:t>1台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14</w:t>
                  </w:r>
                </w:p>
              </w:tc>
              <w:tc>
                <w:tcPr>
                  <w:tcW w:w="1899" w:type="pct"/>
                  <w:vAlign w:val="center"/>
                </w:tcPr>
                <w:p>
                  <w:pPr>
                    <w:jc w:val="center"/>
                    <w:rPr>
                      <w:szCs w:val="21"/>
                    </w:rPr>
                  </w:pPr>
                  <w:r>
                    <w:rPr>
                      <w:szCs w:val="21"/>
                    </w:rPr>
                    <w:t>低温干燥防潮箱</w:t>
                  </w:r>
                </w:p>
              </w:tc>
              <w:tc>
                <w:tcPr>
                  <w:tcW w:w="1194" w:type="pct"/>
                  <w:vAlign w:val="center"/>
                </w:tcPr>
                <w:p>
                  <w:pPr>
                    <w:jc w:val="center"/>
                    <w:rPr>
                      <w:szCs w:val="21"/>
                    </w:rPr>
                  </w:pPr>
                  <w:r>
                    <w:rPr>
                      <w:szCs w:val="21"/>
                    </w:rPr>
                    <w:t>1台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15</w:t>
                  </w:r>
                </w:p>
              </w:tc>
              <w:tc>
                <w:tcPr>
                  <w:tcW w:w="1899" w:type="pct"/>
                  <w:vAlign w:val="center"/>
                </w:tcPr>
                <w:p>
                  <w:pPr>
                    <w:jc w:val="center"/>
                    <w:rPr>
                      <w:szCs w:val="21"/>
                    </w:rPr>
                  </w:pPr>
                  <w:r>
                    <w:rPr>
                      <w:szCs w:val="21"/>
                    </w:rPr>
                    <w:t>冰箱</w:t>
                  </w:r>
                </w:p>
              </w:tc>
              <w:tc>
                <w:tcPr>
                  <w:tcW w:w="1194" w:type="pct"/>
                  <w:vAlign w:val="center"/>
                </w:tcPr>
                <w:p>
                  <w:pPr>
                    <w:jc w:val="center"/>
                    <w:rPr>
                      <w:szCs w:val="21"/>
                    </w:rPr>
                  </w:pPr>
                  <w:r>
                    <w:rPr>
                      <w:szCs w:val="21"/>
                    </w:rPr>
                    <w:t>11台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16</w:t>
                  </w:r>
                </w:p>
              </w:tc>
              <w:tc>
                <w:tcPr>
                  <w:tcW w:w="1899" w:type="pct"/>
                  <w:vAlign w:val="center"/>
                </w:tcPr>
                <w:p>
                  <w:pPr>
                    <w:jc w:val="center"/>
                    <w:rPr>
                      <w:szCs w:val="21"/>
                    </w:rPr>
                  </w:pPr>
                  <w:r>
                    <w:rPr>
                      <w:szCs w:val="21"/>
                    </w:rPr>
                    <w:t>通风橱</w:t>
                  </w:r>
                </w:p>
              </w:tc>
              <w:tc>
                <w:tcPr>
                  <w:tcW w:w="1194" w:type="pct"/>
                  <w:vAlign w:val="center"/>
                </w:tcPr>
                <w:p>
                  <w:pPr>
                    <w:jc w:val="center"/>
                    <w:rPr>
                      <w:szCs w:val="21"/>
                    </w:rPr>
                  </w:pPr>
                  <w:r>
                    <w:rPr>
                      <w:szCs w:val="21"/>
                    </w:rPr>
                    <w:t>26台</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17</w:t>
                  </w:r>
                </w:p>
              </w:tc>
              <w:tc>
                <w:tcPr>
                  <w:tcW w:w="1899" w:type="pct"/>
                  <w:vAlign w:val="center"/>
                </w:tcPr>
                <w:p>
                  <w:pPr>
                    <w:jc w:val="center"/>
                    <w:rPr>
                      <w:szCs w:val="21"/>
                    </w:rPr>
                  </w:pPr>
                  <w:r>
                    <w:rPr>
                      <w:szCs w:val="21"/>
                    </w:rPr>
                    <w:t>活性炭吸附装置</w:t>
                  </w:r>
                </w:p>
              </w:tc>
              <w:tc>
                <w:tcPr>
                  <w:tcW w:w="1194" w:type="pct"/>
                  <w:vAlign w:val="center"/>
                </w:tcPr>
                <w:p>
                  <w:pPr>
                    <w:jc w:val="center"/>
                    <w:rPr>
                      <w:szCs w:val="21"/>
                    </w:rPr>
                  </w:pPr>
                  <w:r>
                    <w:rPr>
                      <w:szCs w:val="21"/>
                    </w:rPr>
                    <w:t>1套</w:t>
                  </w:r>
                </w:p>
              </w:tc>
              <w:tc>
                <w:tcPr>
                  <w:tcW w:w="1327" w:type="pct"/>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80" w:type="pct"/>
                  <w:vAlign w:val="center"/>
                </w:tcPr>
                <w:p>
                  <w:pPr>
                    <w:jc w:val="center"/>
                    <w:rPr>
                      <w:szCs w:val="21"/>
                    </w:rPr>
                  </w:pPr>
                  <w:r>
                    <w:rPr>
                      <w:szCs w:val="21"/>
                    </w:rPr>
                    <w:t>18</w:t>
                  </w:r>
                </w:p>
              </w:tc>
              <w:tc>
                <w:tcPr>
                  <w:tcW w:w="1899" w:type="pct"/>
                  <w:vAlign w:val="center"/>
                </w:tcPr>
                <w:p>
                  <w:pPr>
                    <w:jc w:val="center"/>
                    <w:rPr>
                      <w:szCs w:val="21"/>
                    </w:rPr>
                  </w:pPr>
                  <w:r>
                    <w:rPr>
                      <w:szCs w:val="21"/>
                    </w:rPr>
                    <w:t>环保设施风机</w:t>
                  </w:r>
                </w:p>
              </w:tc>
              <w:tc>
                <w:tcPr>
                  <w:tcW w:w="1194" w:type="pct"/>
                  <w:vAlign w:val="center"/>
                </w:tcPr>
                <w:p>
                  <w:pPr>
                    <w:jc w:val="center"/>
                    <w:rPr>
                      <w:szCs w:val="21"/>
                    </w:rPr>
                  </w:pPr>
                  <w:r>
                    <w:rPr>
                      <w:szCs w:val="21"/>
                    </w:rPr>
                    <w:t>4台</w:t>
                  </w:r>
                </w:p>
              </w:tc>
              <w:tc>
                <w:tcPr>
                  <w:tcW w:w="1327" w:type="pct"/>
                  <w:vAlign w:val="center"/>
                </w:tcPr>
                <w:p>
                  <w:pPr>
                    <w:jc w:val="center"/>
                    <w:rPr>
                      <w:szCs w:val="21"/>
                    </w:rPr>
                  </w:pPr>
                  <w:r>
                    <w:rPr>
                      <w:szCs w:val="21"/>
                    </w:rPr>
                    <w:t>20000m</w:t>
                  </w:r>
                  <w:r>
                    <w:rPr>
                      <w:szCs w:val="21"/>
                      <w:vertAlign w:val="superscript"/>
                    </w:rPr>
                    <w:t>3</w:t>
                  </w:r>
                  <w:r>
                    <w:rPr>
                      <w:szCs w:val="21"/>
                    </w:rPr>
                    <w:t>/h</w:t>
                  </w:r>
                </w:p>
              </w:tc>
            </w:tr>
          </w:tbl>
          <w:p>
            <w:pPr>
              <w:adjustRightInd w:val="0"/>
              <w:snapToGrid w:val="0"/>
              <w:spacing w:line="360" w:lineRule="auto"/>
              <w:ind w:firstLine="482" w:firstLineChars="200"/>
              <w:rPr>
                <w:b/>
                <w:sz w:val="24"/>
              </w:rPr>
            </w:pPr>
            <w:r>
              <w:rPr>
                <w:b/>
                <w:sz w:val="24"/>
              </w:rPr>
              <w:t>六、劳动定员及工作制度</w:t>
            </w:r>
          </w:p>
          <w:p>
            <w:pPr>
              <w:adjustRightInd w:val="0"/>
              <w:snapToGrid w:val="0"/>
              <w:spacing w:line="360" w:lineRule="auto"/>
              <w:ind w:firstLine="480" w:firstLineChars="200"/>
              <w:rPr>
                <w:bCs/>
                <w:sz w:val="24"/>
              </w:rPr>
            </w:pPr>
            <w:r>
              <w:rPr>
                <w:bCs/>
                <w:sz w:val="24"/>
              </w:rPr>
              <w:t>根据建设单位提供资料，项目共有人员20人，一班工作制，每班8小时，年工作300天。</w:t>
            </w:r>
          </w:p>
          <w:p>
            <w:pPr>
              <w:adjustRightInd w:val="0"/>
              <w:snapToGrid w:val="0"/>
              <w:spacing w:line="360" w:lineRule="auto"/>
              <w:ind w:firstLine="482" w:firstLineChars="200"/>
              <w:rPr>
                <w:b/>
                <w:sz w:val="24"/>
              </w:rPr>
            </w:pPr>
            <w:r>
              <w:rPr>
                <w:b/>
                <w:sz w:val="24"/>
              </w:rPr>
              <w:t>七、公用工程</w:t>
            </w:r>
          </w:p>
          <w:p>
            <w:pPr>
              <w:adjustRightInd w:val="0"/>
              <w:snapToGrid w:val="0"/>
              <w:spacing w:line="360" w:lineRule="auto"/>
              <w:ind w:firstLine="480" w:firstLineChars="200"/>
              <w:rPr>
                <w:bCs/>
                <w:sz w:val="24"/>
              </w:rPr>
            </w:pPr>
            <w:r>
              <w:rPr>
                <w:bCs/>
                <w:sz w:val="24"/>
              </w:rPr>
              <w:t>1、给水工程</w:t>
            </w:r>
          </w:p>
          <w:p>
            <w:pPr>
              <w:adjustRightInd w:val="0"/>
              <w:snapToGrid w:val="0"/>
              <w:spacing w:line="360" w:lineRule="auto"/>
              <w:ind w:firstLine="480" w:firstLineChars="200"/>
              <w:rPr>
                <w:bCs/>
                <w:sz w:val="24"/>
              </w:rPr>
            </w:pPr>
            <w:r>
              <w:rPr>
                <w:bCs/>
                <w:sz w:val="24"/>
              </w:rPr>
              <w:t>本项目用水由市政管网供给。用水主要为</w:t>
            </w:r>
            <w:r>
              <w:rPr>
                <w:sz w:val="24"/>
                <w:szCs w:val="20"/>
              </w:rPr>
              <w:t>员工生活用水和实验用水</w:t>
            </w:r>
            <w:r>
              <w:rPr>
                <w:bCs/>
                <w:sz w:val="24"/>
              </w:rPr>
              <w:t>。</w:t>
            </w:r>
          </w:p>
          <w:p>
            <w:pPr>
              <w:adjustRightInd w:val="0"/>
              <w:snapToGrid w:val="0"/>
              <w:spacing w:line="360" w:lineRule="auto"/>
              <w:ind w:firstLine="480" w:firstLineChars="200"/>
              <w:rPr>
                <w:bCs/>
                <w:sz w:val="24"/>
              </w:rPr>
            </w:pPr>
            <w:r>
              <w:rPr>
                <w:sz w:val="24"/>
                <w:szCs w:val="20"/>
              </w:rPr>
              <w:t>实验用水包括项目配置、稀释溶液用水、部分器具清洗用水，</w:t>
            </w:r>
            <w:r>
              <w:rPr>
                <w:sz w:val="24"/>
              </w:rPr>
              <w:t>均使用纯水，纯水由建设单位外购使用。</w:t>
            </w:r>
          </w:p>
          <w:p>
            <w:pPr>
              <w:tabs>
                <w:tab w:val="left" w:pos="2130"/>
              </w:tabs>
              <w:spacing w:line="360" w:lineRule="auto"/>
              <w:ind w:firstLine="480" w:firstLineChars="200"/>
              <w:rPr>
                <w:sz w:val="24"/>
              </w:rPr>
            </w:pPr>
            <w:r>
              <w:rPr>
                <w:sz w:val="24"/>
                <w:szCs w:val="20"/>
              </w:rPr>
              <w:t>（1）配置、稀释溶液用水：根据建设单位估算，项目平均每天配置、稀释溶剂用纯水约0.005m</w:t>
            </w:r>
            <w:r>
              <w:rPr>
                <w:sz w:val="24"/>
                <w:szCs w:val="20"/>
                <w:vertAlign w:val="superscript"/>
              </w:rPr>
              <w:t>3</w:t>
            </w:r>
            <w:r>
              <w:rPr>
                <w:sz w:val="24"/>
                <w:szCs w:val="20"/>
              </w:rPr>
              <w:t>/d，1.5</w:t>
            </w:r>
            <w:r>
              <w:rPr>
                <w:sz w:val="24"/>
              </w:rPr>
              <w:t>m</w:t>
            </w:r>
            <w:r>
              <w:rPr>
                <w:sz w:val="24"/>
                <w:vertAlign w:val="superscript"/>
              </w:rPr>
              <w:t>3</w:t>
            </w:r>
            <w:r>
              <w:rPr>
                <w:sz w:val="24"/>
              </w:rPr>
              <w:t>/a。</w:t>
            </w:r>
          </w:p>
          <w:p>
            <w:pPr>
              <w:pStyle w:val="23"/>
              <w:spacing w:after="0" w:line="360" w:lineRule="auto"/>
              <w:ind w:left="0" w:leftChars="0" w:firstLine="480"/>
              <w:rPr>
                <w:sz w:val="24"/>
              </w:rPr>
            </w:pPr>
            <w:r>
              <w:rPr>
                <w:sz w:val="24"/>
              </w:rPr>
              <w:t>（2）实验器具清洗用水：根据建设单位提供，实验器具使用前需要进行润洗（润洗过程采用外购纯水），润洗用水量约0.001m</w:t>
            </w:r>
            <w:r>
              <w:rPr>
                <w:sz w:val="24"/>
                <w:vertAlign w:val="superscript"/>
              </w:rPr>
              <w:t>3</w:t>
            </w:r>
            <w:r>
              <w:rPr>
                <w:sz w:val="24"/>
              </w:rPr>
              <w:t>/d，0.3m</w:t>
            </w:r>
            <w:r>
              <w:rPr>
                <w:sz w:val="24"/>
                <w:vertAlign w:val="superscript"/>
              </w:rPr>
              <w:t>3</w:t>
            </w:r>
            <w:r>
              <w:rPr>
                <w:sz w:val="24"/>
              </w:rPr>
              <w:t>/a。实验结束后，实验器具需进行3次清洗，第1次使用少量新鲜水进行冲洗，去除实验器具表面残留的试剂，用水量约为0.02m</w:t>
            </w:r>
            <w:r>
              <w:rPr>
                <w:sz w:val="24"/>
                <w:vertAlign w:val="superscript"/>
              </w:rPr>
              <w:t>3</w:t>
            </w:r>
            <w:r>
              <w:rPr>
                <w:sz w:val="24"/>
              </w:rPr>
              <w:t>/d，6m</w:t>
            </w:r>
            <w:r>
              <w:rPr>
                <w:sz w:val="24"/>
                <w:vertAlign w:val="superscript"/>
              </w:rPr>
              <w:t>3</w:t>
            </w:r>
            <w:r>
              <w:rPr>
                <w:sz w:val="24"/>
              </w:rPr>
              <w:t>/a；第2次采用新鲜水对实验器具进行彻底清洗，用水量约为0.08m</w:t>
            </w:r>
            <w:r>
              <w:rPr>
                <w:sz w:val="24"/>
                <w:vertAlign w:val="superscript"/>
              </w:rPr>
              <w:t>3</w:t>
            </w:r>
            <w:r>
              <w:rPr>
                <w:sz w:val="24"/>
              </w:rPr>
              <w:t>/d，24m</w:t>
            </w:r>
            <w:r>
              <w:rPr>
                <w:sz w:val="24"/>
                <w:vertAlign w:val="superscript"/>
              </w:rPr>
              <w:t>3</w:t>
            </w:r>
            <w:r>
              <w:rPr>
                <w:sz w:val="24"/>
              </w:rPr>
              <w:t>/a；第3次采用外购纯水对实验器具进行润洗，润洗后烘干备用，用水量约0.001m</w:t>
            </w:r>
            <w:r>
              <w:rPr>
                <w:sz w:val="24"/>
                <w:vertAlign w:val="superscript"/>
              </w:rPr>
              <w:t>3</w:t>
            </w:r>
            <w:r>
              <w:rPr>
                <w:sz w:val="24"/>
              </w:rPr>
              <w:t>/d，0.3m</w:t>
            </w:r>
            <w:r>
              <w:rPr>
                <w:sz w:val="24"/>
                <w:vertAlign w:val="superscript"/>
              </w:rPr>
              <w:t>3</w:t>
            </w:r>
            <w:r>
              <w:rPr>
                <w:sz w:val="24"/>
              </w:rPr>
              <w:t>/a。</w:t>
            </w:r>
          </w:p>
          <w:p>
            <w:pPr>
              <w:tabs>
                <w:tab w:val="left" w:pos="2130"/>
              </w:tabs>
              <w:spacing w:line="360" w:lineRule="auto"/>
              <w:ind w:firstLine="480" w:firstLineChars="200"/>
              <w:rPr>
                <w:sz w:val="24"/>
              </w:rPr>
            </w:pPr>
            <w:r>
              <w:rPr>
                <w:sz w:val="24"/>
              </w:rPr>
              <w:t>（3）实验室地面清洁用水</w:t>
            </w:r>
          </w:p>
          <w:p>
            <w:pPr>
              <w:tabs>
                <w:tab w:val="left" w:pos="2130"/>
              </w:tabs>
              <w:spacing w:line="360" w:lineRule="auto"/>
              <w:ind w:firstLine="480" w:firstLineChars="200"/>
            </w:pPr>
            <w:r>
              <w:rPr>
                <w:sz w:val="24"/>
              </w:rPr>
              <w:t>本项目实验室每周清洗2次，每次清洗用水量约0.16m</w:t>
            </w:r>
            <w:r>
              <w:rPr>
                <w:sz w:val="24"/>
                <w:vertAlign w:val="superscript"/>
              </w:rPr>
              <w:t>3</w:t>
            </w:r>
            <w:r>
              <w:rPr>
                <w:sz w:val="24"/>
              </w:rPr>
              <w:t>，则项目实验室地面清洁用水平均约0.064m</w:t>
            </w:r>
            <w:r>
              <w:rPr>
                <w:sz w:val="24"/>
                <w:vertAlign w:val="superscript"/>
              </w:rPr>
              <w:t>3</w:t>
            </w:r>
            <w:r>
              <w:rPr>
                <w:sz w:val="24"/>
              </w:rPr>
              <w:t>/d，19.2m</w:t>
            </w:r>
            <w:r>
              <w:rPr>
                <w:sz w:val="24"/>
                <w:vertAlign w:val="superscript"/>
              </w:rPr>
              <w:t>3</w:t>
            </w:r>
            <w:r>
              <w:rPr>
                <w:sz w:val="24"/>
              </w:rPr>
              <w:t>/a。</w:t>
            </w:r>
          </w:p>
          <w:p>
            <w:pPr>
              <w:tabs>
                <w:tab w:val="left" w:pos="2130"/>
              </w:tabs>
              <w:spacing w:line="360" w:lineRule="auto"/>
              <w:ind w:firstLine="480" w:firstLineChars="200"/>
              <w:rPr>
                <w:sz w:val="24"/>
              </w:rPr>
            </w:pPr>
            <w:r>
              <w:rPr>
                <w:sz w:val="24"/>
              </w:rPr>
              <w:t>（4）生活用水</w:t>
            </w:r>
          </w:p>
          <w:p>
            <w:pPr>
              <w:tabs>
                <w:tab w:val="left" w:pos="2130"/>
              </w:tabs>
              <w:spacing w:line="360" w:lineRule="auto"/>
              <w:ind w:firstLine="480" w:firstLineChars="200"/>
              <w:rPr>
                <w:sz w:val="24"/>
                <w:szCs w:val="20"/>
              </w:rPr>
            </w:pPr>
            <w:r>
              <w:rPr>
                <w:sz w:val="24"/>
              </w:rPr>
              <w:t>本项目劳动定员为20人，企业不设食宿，本项目员工生活用水仅为日常盥洗用水和冲厕用水，根据《陕西省行业用水定额（修订版）》（DB61T943-2020）并结合项目实际情况可知</w:t>
            </w:r>
            <w:r>
              <w:rPr>
                <w:sz w:val="24"/>
                <w:szCs w:val="20"/>
              </w:rPr>
              <w:t>，生活</w:t>
            </w:r>
            <w:r>
              <w:rPr>
                <w:sz w:val="24"/>
              </w:rPr>
              <w:t>用水量按每人27L/d计算，则本项目职工生活用水量约为0.54m</w:t>
            </w:r>
            <w:r>
              <w:rPr>
                <w:sz w:val="24"/>
                <w:vertAlign w:val="superscript"/>
              </w:rPr>
              <w:t>3</w:t>
            </w:r>
            <w:r>
              <w:rPr>
                <w:sz w:val="24"/>
              </w:rPr>
              <w:t>/d，即162m</w:t>
            </w:r>
            <w:r>
              <w:rPr>
                <w:sz w:val="24"/>
                <w:vertAlign w:val="superscript"/>
              </w:rPr>
              <w:t>3</w:t>
            </w:r>
            <w:r>
              <w:rPr>
                <w:sz w:val="24"/>
              </w:rPr>
              <w:t>/a，</w:t>
            </w:r>
            <w:r>
              <w:rPr>
                <w:sz w:val="24"/>
                <w:szCs w:val="20"/>
              </w:rPr>
              <w:t>生活污水排污系数取0.8，则生活污水产生量为0.43m</w:t>
            </w:r>
            <w:r>
              <w:rPr>
                <w:sz w:val="24"/>
                <w:szCs w:val="20"/>
                <w:vertAlign w:val="superscript"/>
              </w:rPr>
              <w:t>3</w:t>
            </w:r>
            <w:r>
              <w:rPr>
                <w:sz w:val="24"/>
                <w:szCs w:val="20"/>
              </w:rPr>
              <w:t>/d，130m</w:t>
            </w:r>
            <w:r>
              <w:rPr>
                <w:sz w:val="24"/>
                <w:szCs w:val="20"/>
                <w:vertAlign w:val="superscript"/>
              </w:rPr>
              <w:t>3</w:t>
            </w:r>
            <w:r>
              <w:rPr>
                <w:sz w:val="24"/>
                <w:szCs w:val="20"/>
              </w:rPr>
              <w:t>/a。</w:t>
            </w:r>
          </w:p>
          <w:p>
            <w:pPr>
              <w:adjustRightInd w:val="0"/>
              <w:snapToGrid w:val="0"/>
              <w:spacing w:line="360" w:lineRule="auto"/>
              <w:ind w:firstLine="480" w:firstLineChars="200"/>
              <w:rPr>
                <w:bCs/>
                <w:sz w:val="24"/>
              </w:rPr>
            </w:pPr>
            <w:r>
              <w:rPr>
                <w:bCs/>
                <w:sz w:val="24"/>
              </w:rPr>
              <w:t>2、排水工程</w:t>
            </w:r>
          </w:p>
          <w:p>
            <w:pPr>
              <w:adjustRightInd w:val="0"/>
              <w:snapToGrid w:val="0"/>
              <w:spacing w:line="360" w:lineRule="auto"/>
              <w:ind w:firstLine="480" w:firstLineChars="200"/>
              <w:rPr>
                <w:bCs/>
                <w:sz w:val="24"/>
              </w:rPr>
            </w:pPr>
            <w:r>
              <w:rPr>
                <w:sz w:val="24"/>
              </w:rPr>
              <w:t>本项目废水主要有实验器具清洗废水、实验室地面清洁废水和生活污水。实验器具清洗废水按用水量的90%进行计算，实验室地面清洁用水、生活污水产生量按用水量的80%进行计算。则项目用水、排水情况见表2-6，水平衡关系见图</w:t>
            </w:r>
            <w:r>
              <w:rPr>
                <w:bCs/>
                <w:sz w:val="24"/>
              </w:rPr>
              <w:t>本项目水平衡图如图2-1所示。</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表2-6  项目用水、排水情况表  单位：m</w:t>
            </w:r>
            <w:r>
              <w:rPr>
                <w:rFonts w:eastAsia="黑体"/>
                <w:b w:val="0"/>
                <w:kern w:val="24"/>
                <w:sz w:val="21"/>
                <w:szCs w:val="21"/>
                <w:vertAlign w:val="superscript"/>
              </w:rPr>
              <w:t>3</w:t>
            </w:r>
            <w:r>
              <w:rPr>
                <w:rFonts w:eastAsia="黑体"/>
                <w:b w:val="0"/>
                <w:kern w:val="24"/>
                <w:sz w:val="21"/>
                <w:szCs w:val="21"/>
              </w:rPr>
              <w:t>/d</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682"/>
              <w:gridCol w:w="1639"/>
              <w:gridCol w:w="925"/>
              <w:gridCol w:w="909"/>
              <w:gridCol w:w="1072"/>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5" w:type="pct"/>
                  <w:vAlign w:val="center"/>
                </w:tcPr>
                <w:p>
                  <w:pPr>
                    <w:adjustRightInd w:val="0"/>
                    <w:snapToGrid w:val="0"/>
                    <w:spacing w:line="340" w:lineRule="exact"/>
                    <w:jc w:val="center"/>
                    <w:rPr>
                      <w:szCs w:val="21"/>
                    </w:rPr>
                  </w:pPr>
                  <w:r>
                    <w:rPr>
                      <w:szCs w:val="21"/>
                    </w:rPr>
                    <w:t>序号</w:t>
                  </w:r>
                </w:p>
              </w:tc>
              <w:tc>
                <w:tcPr>
                  <w:tcW w:w="1423" w:type="pct"/>
                  <w:gridSpan w:val="2"/>
                  <w:vAlign w:val="center"/>
                </w:tcPr>
                <w:p>
                  <w:pPr>
                    <w:adjustRightInd w:val="0"/>
                    <w:snapToGrid w:val="0"/>
                    <w:spacing w:line="340" w:lineRule="exact"/>
                    <w:jc w:val="center"/>
                    <w:rPr>
                      <w:szCs w:val="21"/>
                    </w:rPr>
                  </w:pPr>
                  <w:r>
                    <w:rPr>
                      <w:szCs w:val="21"/>
                    </w:rPr>
                    <w:t>类型</w:t>
                  </w:r>
                </w:p>
              </w:tc>
              <w:tc>
                <w:tcPr>
                  <w:tcW w:w="567" w:type="pct"/>
                  <w:vAlign w:val="center"/>
                </w:tcPr>
                <w:p>
                  <w:pPr>
                    <w:adjustRightInd w:val="0"/>
                    <w:snapToGrid w:val="0"/>
                    <w:spacing w:line="340" w:lineRule="exact"/>
                    <w:jc w:val="center"/>
                    <w:rPr>
                      <w:szCs w:val="21"/>
                    </w:rPr>
                  </w:pPr>
                  <w:r>
                    <w:rPr>
                      <w:szCs w:val="21"/>
                    </w:rPr>
                    <w:t>用水量</w:t>
                  </w:r>
                </w:p>
              </w:tc>
              <w:tc>
                <w:tcPr>
                  <w:tcW w:w="557" w:type="pct"/>
                  <w:vAlign w:val="center"/>
                </w:tcPr>
                <w:p>
                  <w:pPr>
                    <w:adjustRightInd w:val="0"/>
                    <w:snapToGrid w:val="0"/>
                    <w:spacing w:line="340" w:lineRule="exact"/>
                    <w:jc w:val="center"/>
                    <w:rPr>
                      <w:szCs w:val="21"/>
                    </w:rPr>
                  </w:pPr>
                  <w:r>
                    <w:rPr>
                      <w:szCs w:val="21"/>
                    </w:rPr>
                    <w:t>消耗量</w:t>
                  </w:r>
                </w:p>
              </w:tc>
              <w:tc>
                <w:tcPr>
                  <w:tcW w:w="657" w:type="pct"/>
                  <w:vAlign w:val="center"/>
                </w:tcPr>
                <w:p>
                  <w:pPr>
                    <w:adjustRightInd w:val="0"/>
                    <w:snapToGrid w:val="0"/>
                    <w:spacing w:line="340" w:lineRule="exact"/>
                    <w:jc w:val="center"/>
                    <w:rPr>
                      <w:szCs w:val="21"/>
                    </w:rPr>
                  </w:pPr>
                  <w:r>
                    <w:rPr>
                      <w:szCs w:val="21"/>
                    </w:rPr>
                    <w:t>废水量</w:t>
                  </w:r>
                </w:p>
              </w:tc>
              <w:tc>
                <w:tcPr>
                  <w:tcW w:w="1371" w:type="pct"/>
                  <w:vAlign w:val="center"/>
                </w:tcPr>
                <w:p>
                  <w:pPr>
                    <w:adjustRightInd w:val="0"/>
                    <w:snapToGrid w:val="0"/>
                    <w:spacing w:line="340" w:lineRule="exact"/>
                    <w:jc w:val="center"/>
                    <w:rPr>
                      <w:szCs w:val="21"/>
                    </w:rPr>
                  </w:pPr>
                  <w:r>
                    <w:rPr>
                      <w:szCs w:val="21"/>
                    </w:rPr>
                    <w:t>拟排放去向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5" w:type="pct"/>
                  <w:vAlign w:val="center"/>
                </w:tcPr>
                <w:p>
                  <w:pPr>
                    <w:adjustRightInd w:val="0"/>
                    <w:snapToGrid w:val="0"/>
                    <w:spacing w:line="340" w:lineRule="exact"/>
                    <w:jc w:val="center"/>
                    <w:rPr>
                      <w:szCs w:val="21"/>
                    </w:rPr>
                  </w:pPr>
                  <w:r>
                    <w:rPr>
                      <w:szCs w:val="21"/>
                    </w:rPr>
                    <w:t>1</w:t>
                  </w:r>
                </w:p>
              </w:tc>
              <w:tc>
                <w:tcPr>
                  <w:tcW w:w="1423" w:type="pct"/>
                  <w:gridSpan w:val="2"/>
                  <w:vAlign w:val="center"/>
                </w:tcPr>
                <w:p>
                  <w:pPr>
                    <w:adjustRightInd w:val="0"/>
                    <w:snapToGrid w:val="0"/>
                    <w:spacing w:line="340" w:lineRule="exact"/>
                    <w:jc w:val="left"/>
                    <w:rPr>
                      <w:szCs w:val="21"/>
                    </w:rPr>
                  </w:pPr>
                  <w:r>
                    <w:rPr>
                      <w:szCs w:val="21"/>
                    </w:rPr>
                    <w:t>配置、稀释溶液</w:t>
                  </w:r>
                </w:p>
                <w:p>
                  <w:pPr>
                    <w:adjustRightInd w:val="0"/>
                    <w:snapToGrid w:val="0"/>
                    <w:spacing w:line="340" w:lineRule="exact"/>
                    <w:jc w:val="left"/>
                    <w:rPr>
                      <w:szCs w:val="21"/>
                    </w:rPr>
                  </w:pPr>
                  <w:r>
                    <w:rPr>
                      <w:szCs w:val="21"/>
                    </w:rPr>
                    <w:t>用水（纯水）</w:t>
                  </w:r>
                </w:p>
              </w:tc>
              <w:tc>
                <w:tcPr>
                  <w:tcW w:w="567" w:type="pct"/>
                  <w:vAlign w:val="center"/>
                </w:tcPr>
                <w:p>
                  <w:pPr>
                    <w:adjustRightInd w:val="0"/>
                    <w:snapToGrid w:val="0"/>
                    <w:spacing w:line="340" w:lineRule="exact"/>
                    <w:jc w:val="center"/>
                    <w:rPr>
                      <w:szCs w:val="21"/>
                    </w:rPr>
                  </w:pPr>
                  <w:r>
                    <w:rPr>
                      <w:szCs w:val="21"/>
                    </w:rPr>
                    <w:t>0.005</w:t>
                  </w:r>
                </w:p>
              </w:tc>
              <w:tc>
                <w:tcPr>
                  <w:tcW w:w="557" w:type="pct"/>
                  <w:vAlign w:val="center"/>
                </w:tcPr>
                <w:p>
                  <w:pPr>
                    <w:adjustRightInd w:val="0"/>
                    <w:snapToGrid w:val="0"/>
                    <w:spacing w:line="340" w:lineRule="exact"/>
                    <w:jc w:val="center"/>
                    <w:rPr>
                      <w:szCs w:val="21"/>
                    </w:rPr>
                  </w:pPr>
                  <w:r>
                    <w:rPr>
                      <w:szCs w:val="21"/>
                    </w:rPr>
                    <w:t>0.005</w:t>
                  </w:r>
                </w:p>
              </w:tc>
              <w:tc>
                <w:tcPr>
                  <w:tcW w:w="657" w:type="pct"/>
                  <w:vAlign w:val="center"/>
                </w:tcPr>
                <w:p>
                  <w:pPr>
                    <w:adjustRightInd w:val="0"/>
                    <w:snapToGrid w:val="0"/>
                    <w:spacing w:line="340" w:lineRule="exact"/>
                    <w:jc w:val="center"/>
                    <w:rPr>
                      <w:szCs w:val="21"/>
                    </w:rPr>
                  </w:pPr>
                  <w:r>
                    <w:rPr>
                      <w:szCs w:val="21"/>
                    </w:rPr>
                    <w:t>/</w:t>
                  </w:r>
                </w:p>
              </w:tc>
              <w:tc>
                <w:tcPr>
                  <w:tcW w:w="1371" w:type="pct"/>
                  <w:vAlign w:val="center"/>
                </w:tcPr>
                <w:p>
                  <w:pPr>
                    <w:adjustRightInd w:val="0"/>
                    <w:snapToGrid w:val="0"/>
                    <w:spacing w:line="3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5" w:type="pct"/>
                  <w:vMerge w:val="restart"/>
                  <w:vAlign w:val="center"/>
                </w:tcPr>
                <w:p>
                  <w:pPr>
                    <w:adjustRightInd w:val="0"/>
                    <w:snapToGrid w:val="0"/>
                    <w:spacing w:line="340" w:lineRule="exact"/>
                    <w:jc w:val="center"/>
                    <w:rPr>
                      <w:szCs w:val="21"/>
                    </w:rPr>
                  </w:pPr>
                  <w:r>
                    <w:rPr>
                      <w:szCs w:val="21"/>
                    </w:rPr>
                    <w:t>2</w:t>
                  </w:r>
                </w:p>
              </w:tc>
              <w:tc>
                <w:tcPr>
                  <w:tcW w:w="418" w:type="pct"/>
                  <w:vMerge w:val="restart"/>
                  <w:vAlign w:val="center"/>
                </w:tcPr>
                <w:p>
                  <w:pPr>
                    <w:adjustRightInd w:val="0"/>
                    <w:snapToGrid w:val="0"/>
                    <w:spacing w:line="340" w:lineRule="exact"/>
                    <w:jc w:val="center"/>
                    <w:rPr>
                      <w:szCs w:val="21"/>
                    </w:rPr>
                  </w:pPr>
                  <w:r>
                    <w:rPr>
                      <w:szCs w:val="21"/>
                    </w:rPr>
                    <w:t>实验器具清洗用水</w:t>
                  </w:r>
                </w:p>
              </w:tc>
              <w:tc>
                <w:tcPr>
                  <w:tcW w:w="1005" w:type="pct"/>
                  <w:vAlign w:val="center"/>
                </w:tcPr>
                <w:p>
                  <w:pPr>
                    <w:adjustRightInd w:val="0"/>
                    <w:snapToGrid w:val="0"/>
                    <w:spacing w:line="340" w:lineRule="exact"/>
                    <w:jc w:val="center"/>
                    <w:rPr>
                      <w:szCs w:val="21"/>
                    </w:rPr>
                  </w:pPr>
                  <w:r>
                    <w:rPr>
                      <w:szCs w:val="21"/>
                    </w:rPr>
                    <w:t>1次清洗</w:t>
                  </w:r>
                </w:p>
              </w:tc>
              <w:tc>
                <w:tcPr>
                  <w:tcW w:w="567" w:type="pct"/>
                  <w:vAlign w:val="center"/>
                </w:tcPr>
                <w:p>
                  <w:pPr>
                    <w:adjustRightInd w:val="0"/>
                    <w:snapToGrid w:val="0"/>
                    <w:spacing w:line="340" w:lineRule="exact"/>
                    <w:jc w:val="center"/>
                    <w:rPr>
                      <w:szCs w:val="21"/>
                    </w:rPr>
                  </w:pPr>
                  <w:r>
                    <w:rPr>
                      <w:szCs w:val="21"/>
                    </w:rPr>
                    <w:t>0.02</w:t>
                  </w:r>
                </w:p>
              </w:tc>
              <w:tc>
                <w:tcPr>
                  <w:tcW w:w="557" w:type="pct"/>
                  <w:vAlign w:val="center"/>
                </w:tcPr>
                <w:p>
                  <w:pPr>
                    <w:adjustRightInd w:val="0"/>
                    <w:snapToGrid w:val="0"/>
                    <w:spacing w:line="340" w:lineRule="exact"/>
                    <w:jc w:val="center"/>
                    <w:rPr>
                      <w:szCs w:val="21"/>
                    </w:rPr>
                  </w:pPr>
                  <w:r>
                    <w:rPr>
                      <w:szCs w:val="21"/>
                    </w:rPr>
                    <w:t>0.02</w:t>
                  </w:r>
                </w:p>
              </w:tc>
              <w:tc>
                <w:tcPr>
                  <w:tcW w:w="657" w:type="pct"/>
                  <w:vAlign w:val="center"/>
                </w:tcPr>
                <w:p>
                  <w:pPr>
                    <w:adjustRightInd w:val="0"/>
                    <w:snapToGrid w:val="0"/>
                    <w:spacing w:line="340" w:lineRule="exact"/>
                    <w:jc w:val="center"/>
                    <w:rPr>
                      <w:szCs w:val="21"/>
                    </w:rPr>
                  </w:pPr>
                  <w:r>
                    <w:rPr>
                      <w:szCs w:val="21"/>
                    </w:rPr>
                    <w:t>/</w:t>
                  </w:r>
                </w:p>
              </w:tc>
              <w:tc>
                <w:tcPr>
                  <w:tcW w:w="1371" w:type="pct"/>
                  <w:vAlign w:val="center"/>
                </w:tcPr>
                <w:p>
                  <w:pPr>
                    <w:adjustRightInd w:val="0"/>
                    <w:snapToGrid w:val="0"/>
                    <w:spacing w:line="340" w:lineRule="exact"/>
                    <w:jc w:val="center"/>
                    <w:rPr>
                      <w:szCs w:val="21"/>
                    </w:rPr>
                  </w:pPr>
                  <w:r>
                    <w:rPr>
                      <w:szCs w:val="21"/>
                    </w:rPr>
                    <w:t>交有资质单位处置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5" w:type="pct"/>
                  <w:vMerge w:val="continue"/>
                  <w:vAlign w:val="center"/>
                </w:tcPr>
                <w:p>
                  <w:pPr>
                    <w:adjustRightInd w:val="0"/>
                    <w:snapToGrid w:val="0"/>
                    <w:spacing w:line="340" w:lineRule="exact"/>
                    <w:jc w:val="center"/>
                    <w:rPr>
                      <w:szCs w:val="21"/>
                    </w:rPr>
                  </w:pPr>
                </w:p>
              </w:tc>
              <w:tc>
                <w:tcPr>
                  <w:tcW w:w="418" w:type="pct"/>
                  <w:vMerge w:val="continue"/>
                  <w:vAlign w:val="center"/>
                </w:tcPr>
                <w:p>
                  <w:pPr>
                    <w:adjustRightInd w:val="0"/>
                    <w:snapToGrid w:val="0"/>
                    <w:spacing w:line="340" w:lineRule="exact"/>
                    <w:jc w:val="center"/>
                    <w:rPr>
                      <w:szCs w:val="21"/>
                    </w:rPr>
                  </w:pPr>
                </w:p>
              </w:tc>
              <w:tc>
                <w:tcPr>
                  <w:tcW w:w="1005" w:type="pct"/>
                  <w:vAlign w:val="center"/>
                </w:tcPr>
                <w:p>
                  <w:pPr>
                    <w:adjustRightInd w:val="0"/>
                    <w:snapToGrid w:val="0"/>
                    <w:spacing w:line="340" w:lineRule="exact"/>
                    <w:jc w:val="center"/>
                    <w:rPr>
                      <w:szCs w:val="21"/>
                    </w:rPr>
                  </w:pPr>
                  <w:r>
                    <w:rPr>
                      <w:szCs w:val="21"/>
                    </w:rPr>
                    <w:t>2次清洗</w:t>
                  </w:r>
                </w:p>
              </w:tc>
              <w:tc>
                <w:tcPr>
                  <w:tcW w:w="567" w:type="pct"/>
                  <w:vAlign w:val="center"/>
                </w:tcPr>
                <w:p>
                  <w:pPr>
                    <w:adjustRightInd w:val="0"/>
                    <w:snapToGrid w:val="0"/>
                    <w:spacing w:line="340" w:lineRule="exact"/>
                    <w:jc w:val="center"/>
                    <w:rPr>
                      <w:szCs w:val="21"/>
                    </w:rPr>
                  </w:pPr>
                  <w:r>
                    <w:rPr>
                      <w:szCs w:val="21"/>
                    </w:rPr>
                    <w:t>0.08</w:t>
                  </w:r>
                </w:p>
              </w:tc>
              <w:tc>
                <w:tcPr>
                  <w:tcW w:w="557" w:type="pct"/>
                  <w:vAlign w:val="center"/>
                </w:tcPr>
                <w:p>
                  <w:pPr>
                    <w:adjustRightInd w:val="0"/>
                    <w:snapToGrid w:val="0"/>
                    <w:spacing w:line="340" w:lineRule="exact"/>
                    <w:jc w:val="center"/>
                    <w:rPr>
                      <w:szCs w:val="21"/>
                    </w:rPr>
                  </w:pPr>
                  <w:r>
                    <w:rPr>
                      <w:szCs w:val="21"/>
                    </w:rPr>
                    <w:t>0.008</w:t>
                  </w:r>
                </w:p>
              </w:tc>
              <w:tc>
                <w:tcPr>
                  <w:tcW w:w="657" w:type="pct"/>
                  <w:vAlign w:val="center"/>
                </w:tcPr>
                <w:p>
                  <w:pPr>
                    <w:adjustRightInd w:val="0"/>
                    <w:snapToGrid w:val="0"/>
                    <w:spacing w:line="340" w:lineRule="exact"/>
                    <w:jc w:val="center"/>
                    <w:rPr>
                      <w:szCs w:val="21"/>
                    </w:rPr>
                  </w:pPr>
                  <w:r>
                    <w:rPr>
                      <w:szCs w:val="21"/>
                    </w:rPr>
                    <w:t>0.072</w:t>
                  </w:r>
                </w:p>
              </w:tc>
              <w:tc>
                <w:tcPr>
                  <w:tcW w:w="1371" w:type="pct"/>
                  <w:vMerge w:val="restart"/>
                  <w:vAlign w:val="center"/>
                </w:tcPr>
                <w:p>
                  <w:pPr>
                    <w:adjustRightInd w:val="0"/>
                    <w:snapToGrid w:val="0"/>
                    <w:spacing w:line="340" w:lineRule="exact"/>
                    <w:rPr>
                      <w:szCs w:val="21"/>
                    </w:rPr>
                  </w:pPr>
                  <w:r>
                    <w:rPr>
                      <w:rFonts w:hint="eastAsia"/>
                      <w:szCs w:val="21"/>
                    </w:rPr>
                    <w:t>废水倒入</w:t>
                  </w:r>
                  <w:r>
                    <w:rPr>
                      <w:szCs w:val="21"/>
                    </w:rPr>
                    <w:t>中和池处理后，</w:t>
                  </w:r>
                  <w:r>
                    <w:rPr>
                      <w:rFonts w:hint="eastAsia"/>
                      <w:szCs w:val="21"/>
                    </w:rPr>
                    <w:t>再经管道</w:t>
                  </w:r>
                  <w:r>
                    <w:rPr>
                      <w:szCs w:val="21"/>
                    </w:rPr>
                    <w:t>排入园区现有化粪池处理后，进入市政管网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5" w:type="pct"/>
                  <w:vMerge w:val="continue"/>
                  <w:vAlign w:val="center"/>
                </w:tcPr>
                <w:p>
                  <w:pPr>
                    <w:adjustRightInd w:val="0"/>
                    <w:snapToGrid w:val="0"/>
                    <w:spacing w:line="340" w:lineRule="exact"/>
                    <w:jc w:val="center"/>
                    <w:rPr>
                      <w:szCs w:val="21"/>
                    </w:rPr>
                  </w:pPr>
                </w:p>
              </w:tc>
              <w:tc>
                <w:tcPr>
                  <w:tcW w:w="418" w:type="pct"/>
                  <w:vMerge w:val="continue"/>
                  <w:vAlign w:val="center"/>
                </w:tcPr>
                <w:p>
                  <w:pPr>
                    <w:adjustRightInd w:val="0"/>
                    <w:snapToGrid w:val="0"/>
                    <w:spacing w:line="340" w:lineRule="exact"/>
                    <w:jc w:val="center"/>
                    <w:rPr>
                      <w:szCs w:val="21"/>
                    </w:rPr>
                  </w:pPr>
                </w:p>
              </w:tc>
              <w:tc>
                <w:tcPr>
                  <w:tcW w:w="1005" w:type="pct"/>
                  <w:vAlign w:val="center"/>
                </w:tcPr>
                <w:p>
                  <w:pPr>
                    <w:adjustRightInd w:val="0"/>
                    <w:snapToGrid w:val="0"/>
                    <w:spacing w:line="340" w:lineRule="exact"/>
                    <w:jc w:val="left"/>
                    <w:rPr>
                      <w:szCs w:val="21"/>
                    </w:rPr>
                  </w:pPr>
                  <w:r>
                    <w:rPr>
                      <w:szCs w:val="21"/>
                    </w:rPr>
                    <w:t>3次清洗（纯水）</w:t>
                  </w:r>
                </w:p>
              </w:tc>
              <w:tc>
                <w:tcPr>
                  <w:tcW w:w="567" w:type="pct"/>
                  <w:vAlign w:val="center"/>
                </w:tcPr>
                <w:p>
                  <w:pPr>
                    <w:adjustRightInd w:val="0"/>
                    <w:snapToGrid w:val="0"/>
                    <w:spacing w:line="340" w:lineRule="exact"/>
                    <w:jc w:val="center"/>
                    <w:rPr>
                      <w:szCs w:val="21"/>
                    </w:rPr>
                  </w:pPr>
                  <w:r>
                    <w:rPr>
                      <w:szCs w:val="21"/>
                    </w:rPr>
                    <w:t>0.001</w:t>
                  </w:r>
                </w:p>
              </w:tc>
              <w:tc>
                <w:tcPr>
                  <w:tcW w:w="557" w:type="pct"/>
                  <w:vAlign w:val="center"/>
                </w:tcPr>
                <w:p>
                  <w:pPr>
                    <w:adjustRightInd w:val="0"/>
                    <w:snapToGrid w:val="0"/>
                    <w:spacing w:line="340" w:lineRule="exact"/>
                    <w:jc w:val="center"/>
                    <w:rPr>
                      <w:szCs w:val="21"/>
                    </w:rPr>
                  </w:pPr>
                  <w:r>
                    <w:rPr>
                      <w:szCs w:val="21"/>
                    </w:rPr>
                    <w:t>0.0001</w:t>
                  </w:r>
                </w:p>
              </w:tc>
              <w:tc>
                <w:tcPr>
                  <w:tcW w:w="657" w:type="pct"/>
                  <w:vAlign w:val="center"/>
                </w:tcPr>
                <w:p>
                  <w:pPr>
                    <w:adjustRightInd w:val="0"/>
                    <w:snapToGrid w:val="0"/>
                    <w:spacing w:line="340" w:lineRule="exact"/>
                    <w:jc w:val="center"/>
                    <w:rPr>
                      <w:szCs w:val="21"/>
                    </w:rPr>
                  </w:pPr>
                  <w:r>
                    <w:rPr>
                      <w:szCs w:val="21"/>
                    </w:rPr>
                    <w:t>0.0009</w:t>
                  </w:r>
                </w:p>
              </w:tc>
              <w:tc>
                <w:tcPr>
                  <w:tcW w:w="1371" w:type="pct"/>
                  <w:vMerge w:val="continue"/>
                  <w:vAlign w:val="center"/>
                </w:tcPr>
                <w:p>
                  <w:pPr>
                    <w:adjustRightInd w:val="0"/>
                    <w:snapToGrid w:val="0"/>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5" w:type="pct"/>
                  <w:vMerge w:val="continue"/>
                  <w:vAlign w:val="center"/>
                </w:tcPr>
                <w:p>
                  <w:pPr>
                    <w:adjustRightInd w:val="0"/>
                    <w:snapToGrid w:val="0"/>
                    <w:spacing w:line="340" w:lineRule="exact"/>
                    <w:jc w:val="center"/>
                    <w:rPr>
                      <w:szCs w:val="21"/>
                    </w:rPr>
                  </w:pPr>
                </w:p>
              </w:tc>
              <w:tc>
                <w:tcPr>
                  <w:tcW w:w="418" w:type="pct"/>
                  <w:vMerge w:val="continue"/>
                  <w:vAlign w:val="center"/>
                </w:tcPr>
                <w:p>
                  <w:pPr>
                    <w:adjustRightInd w:val="0"/>
                    <w:snapToGrid w:val="0"/>
                    <w:spacing w:line="340" w:lineRule="exact"/>
                    <w:jc w:val="center"/>
                    <w:rPr>
                      <w:szCs w:val="21"/>
                    </w:rPr>
                  </w:pPr>
                </w:p>
              </w:tc>
              <w:tc>
                <w:tcPr>
                  <w:tcW w:w="1005" w:type="pct"/>
                  <w:vAlign w:val="center"/>
                </w:tcPr>
                <w:p>
                  <w:pPr>
                    <w:adjustRightInd w:val="0"/>
                    <w:snapToGrid w:val="0"/>
                    <w:spacing w:line="340" w:lineRule="exact"/>
                    <w:jc w:val="center"/>
                    <w:rPr>
                      <w:szCs w:val="21"/>
                    </w:rPr>
                  </w:pPr>
                  <w:r>
                    <w:rPr>
                      <w:szCs w:val="21"/>
                    </w:rPr>
                    <w:t>使用前润洗</w:t>
                  </w:r>
                </w:p>
              </w:tc>
              <w:tc>
                <w:tcPr>
                  <w:tcW w:w="567" w:type="pct"/>
                  <w:vAlign w:val="center"/>
                </w:tcPr>
                <w:p>
                  <w:pPr>
                    <w:adjustRightInd w:val="0"/>
                    <w:snapToGrid w:val="0"/>
                    <w:spacing w:line="340" w:lineRule="exact"/>
                    <w:jc w:val="center"/>
                    <w:rPr>
                      <w:szCs w:val="21"/>
                    </w:rPr>
                  </w:pPr>
                  <w:r>
                    <w:rPr>
                      <w:szCs w:val="21"/>
                    </w:rPr>
                    <w:t>0.001</w:t>
                  </w:r>
                </w:p>
              </w:tc>
              <w:tc>
                <w:tcPr>
                  <w:tcW w:w="557" w:type="pct"/>
                  <w:vAlign w:val="center"/>
                </w:tcPr>
                <w:p>
                  <w:pPr>
                    <w:adjustRightInd w:val="0"/>
                    <w:snapToGrid w:val="0"/>
                    <w:spacing w:line="340" w:lineRule="exact"/>
                    <w:jc w:val="center"/>
                    <w:rPr>
                      <w:szCs w:val="21"/>
                    </w:rPr>
                  </w:pPr>
                  <w:r>
                    <w:rPr>
                      <w:szCs w:val="21"/>
                    </w:rPr>
                    <w:t>0.0001</w:t>
                  </w:r>
                </w:p>
              </w:tc>
              <w:tc>
                <w:tcPr>
                  <w:tcW w:w="657" w:type="pct"/>
                  <w:vAlign w:val="center"/>
                </w:tcPr>
                <w:p>
                  <w:pPr>
                    <w:adjustRightInd w:val="0"/>
                    <w:snapToGrid w:val="0"/>
                    <w:spacing w:line="340" w:lineRule="exact"/>
                    <w:jc w:val="center"/>
                    <w:rPr>
                      <w:szCs w:val="21"/>
                    </w:rPr>
                  </w:pPr>
                  <w:r>
                    <w:rPr>
                      <w:szCs w:val="21"/>
                    </w:rPr>
                    <w:t>0.0009</w:t>
                  </w:r>
                </w:p>
              </w:tc>
              <w:tc>
                <w:tcPr>
                  <w:tcW w:w="1371" w:type="pct"/>
                  <w:vMerge w:val="continue"/>
                  <w:vAlign w:val="center"/>
                </w:tcPr>
                <w:p>
                  <w:pPr>
                    <w:adjustRightInd w:val="0"/>
                    <w:snapToGrid w:val="0"/>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5" w:type="pct"/>
                  <w:vAlign w:val="center"/>
                </w:tcPr>
                <w:p>
                  <w:pPr>
                    <w:adjustRightInd w:val="0"/>
                    <w:snapToGrid w:val="0"/>
                    <w:spacing w:line="340" w:lineRule="exact"/>
                    <w:jc w:val="center"/>
                    <w:rPr>
                      <w:szCs w:val="21"/>
                    </w:rPr>
                  </w:pPr>
                  <w:r>
                    <w:rPr>
                      <w:szCs w:val="21"/>
                    </w:rPr>
                    <w:t>3</w:t>
                  </w:r>
                </w:p>
              </w:tc>
              <w:tc>
                <w:tcPr>
                  <w:tcW w:w="1423" w:type="pct"/>
                  <w:gridSpan w:val="2"/>
                  <w:vAlign w:val="center"/>
                </w:tcPr>
                <w:p>
                  <w:pPr>
                    <w:adjustRightInd w:val="0"/>
                    <w:snapToGrid w:val="0"/>
                    <w:spacing w:line="340" w:lineRule="exact"/>
                    <w:rPr>
                      <w:szCs w:val="21"/>
                    </w:rPr>
                  </w:pPr>
                  <w:r>
                    <w:rPr>
                      <w:szCs w:val="21"/>
                    </w:rPr>
                    <w:t>实验室地面清洁用水</w:t>
                  </w:r>
                </w:p>
              </w:tc>
              <w:tc>
                <w:tcPr>
                  <w:tcW w:w="567" w:type="pct"/>
                  <w:vAlign w:val="center"/>
                </w:tcPr>
                <w:p>
                  <w:pPr>
                    <w:adjustRightInd w:val="0"/>
                    <w:snapToGrid w:val="0"/>
                    <w:spacing w:line="340" w:lineRule="exact"/>
                    <w:jc w:val="center"/>
                    <w:rPr>
                      <w:szCs w:val="21"/>
                    </w:rPr>
                  </w:pPr>
                  <w:r>
                    <w:rPr>
                      <w:szCs w:val="21"/>
                    </w:rPr>
                    <w:t>0.064</w:t>
                  </w:r>
                </w:p>
              </w:tc>
              <w:tc>
                <w:tcPr>
                  <w:tcW w:w="557" w:type="pct"/>
                  <w:vAlign w:val="center"/>
                </w:tcPr>
                <w:p>
                  <w:pPr>
                    <w:adjustRightInd w:val="0"/>
                    <w:snapToGrid w:val="0"/>
                    <w:spacing w:line="340" w:lineRule="exact"/>
                    <w:jc w:val="center"/>
                    <w:rPr>
                      <w:szCs w:val="21"/>
                    </w:rPr>
                  </w:pPr>
                  <w:r>
                    <w:rPr>
                      <w:szCs w:val="21"/>
                    </w:rPr>
                    <w:t>0.013</w:t>
                  </w:r>
                </w:p>
              </w:tc>
              <w:tc>
                <w:tcPr>
                  <w:tcW w:w="657" w:type="pct"/>
                  <w:vAlign w:val="center"/>
                </w:tcPr>
                <w:p>
                  <w:pPr>
                    <w:adjustRightInd w:val="0"/>
                    <w:snapToGrid w:val="0"/>
                    <w:spacing w:line="340" w:lineRule="exact"/>
                    <w:jc w:val="center"/>
                    <w:rPr>
                      <w:szCs w:val="21"/>
                    </w:rPr>
                  </w:pPr>
                  <w:r>
                    <w:rPr>
                      <w:szCs w:val="21"/>
                    </w:rPr>
                    <w:t>0.051</w:t>
                  </w:r>
                </w:p>
              </w:tc>
              <w:tc>
                <w:tcPr>
                  <w:tcW w:w="1371" w:type="pct"/>
                  <w:vMerge w:val="restart"/>
                  <w:vAlign w:val="center"/>
                </w:tcPr>
                <w:p>
                  <w:pPr>
                    <w:adjustRightInd w:val="0"/>
                    <w:snapToGrid w:val="0"/>
                    <w:spacing w:line="340" w:lineRule="exact"/>
                    <w:rPr>
                      <w:szCs w:val="21"/>
                    </w:rPr>
                  </w:pPr>
                  <w:r>
                    <w:rPr>
                      <w:szCs w:val="21"/>
                    </w:rPr>
                    <w:t>依托园区化粪池处理后排入市政管网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5" w:type="pct"/>
                  <w:vAlign w:val="center"/>
                </w:tcPr>
                <w:p>
                  <w:pPr>
                    <w:adjustRightInd w:val="0"/>
                    <w:snapToGrid w:val="0"/>
                    <w:spacing w:line="340" w:lineRule="exact"/>
                    <w:jc w:val="center"/>
                    <w:rPr>
                      <w:szCs w:val="21"/>
                    </w:rPr>
                  </w:pPr>
                  <w:r>
                    <w:rPr>
                      <w:szCs w:val="21"/>
                    </w:rPr>
                    <w:t>4</w:t>
                  </w:r>
                </w:p>
              </w:tc>
              <w:tc>
                <w:tcPr>
                  <w:tcW w:w="1423" w:type="pct"/>
                  <w:gridSpan w:val="2"/>
                  <w:vAlign w:val="center"/>
                </w:tcPr>
                <w:p>
                  <w:pPr>
                    <w:adjustRightInd w:val="0"/>
                    <w:snapToGrid w:val="0"/>
                    <w:spacing w:line="340" w:lineRule="exact"/>
                    <w:jc w:val="center"/>
                    <w:rPr>
                      <w:szCs w:val="21"/>
                    </w:rPr>
                  </w:pPr>
                  <w:r>
                    <w:rPr>
                      <w:szCs w:val="21"/>
                    </w:rPr>
                    <w:t>生活用水</w:t>
                  </w:r>
                </w:p>
              </w:tc>
              <w:tc>
                <w:tcPr>
                  <w:tcW w:w="567" w:type="pct"/>
                  <w:vAlign w:val="center"/>
                </w:tcPr>
                <w:p>
                  <w:pPr>
                    <w:adjustRightInd w:val="0"/>
                    <w:snapToGrid w:val="0"/>
                    <w:spacing w:line="340" w:lineRule="exact"/>
                    <w:jc w:val="center"/>
                    <w:rPr>
                      <w:szCs w:val="21"/>
                    </w:rPr>
                  </w:pPr>
                  <w:r>
                    <w:rPr>
                      <w:szCs w:val="21"/>
                    </w:rPr>
                    <w:t>0.54</w:t>
                  </w:r>
                </w:p>
              </w:tc>
              <w:tc>
                <w:tcPr>
                  <w:tcW w:w="557" w:type="pct"/>
                  <w:vAlign w:val="center"/>
                </w:tcPr>
                <w:p>
                  <w:pPr>
                    <w:adjustRightInd w:val="0"/>
                    <w:snapToGrid w:val="0"/>
                    <w:spacing w:line="340" w:lineRule="exact"/>
                    <w:jc w:val="center"/>
                    <w:rPr>
                      <w:szCs w:val="21"/>
                    </w:rPr>
                  </w:pPr>
                  <w:r>
                    <w:rPr>
                      <w:szCs w:val="21"/>
                    </w:rPr>
                    <w:t>0.11</w:t>
                  </w:r>
                </w:p>
              </w:tc>
              <w:tc>
                <w:tcPr>
                  <w:tcW w:w="657" w:type="pct"/>
                  <w:vAlign w:val="center"/>
                </w:tcPr>
                <w:p>
                  <w:pPr>
                    <w:adjustRightInd w:val="0"/>
                    <w:snapToGrid w:val="0"/>
                    <w:spacing w:line="340" w:lineRule="exact"/>
                    <w:jc w:val="center"/>
                    <w:rPr>
                      <w:szCs w:val="21"/>
                    </w:rPr>
                  </w:pPr>
                  <w:r>
                    <w:rPr>
                      <w:szCs w:val="21"/>
                    </w:rPr>
                    <w:t>0.43</w:t>
                  </w:r>
                </w:p>
              </w:tc>
              <w:tc>
                <w:tcPr>
                  <w:tcW w:w="1371" w:type="pct"/>
                  <w:vMerge w:val="continue"/>
                  <w:vAlign w:val="center"/>
                </w:tcPr>
                <w:p>
                  <w:pPr>
                    <w:adjustRightInd w:val="0"/>
                    <w:snapToGrid w:val="0"/>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48" w:type="pct"/>
                  <w:gridSpan w:val="3"/>
                  <w:vAlign w:val="center"/>
                </w:tcPr>
                <w:p>
                  <w:pPr>
                    <w:adjustRightInd w:val="0"/>
                    <w:snapToGrid w:val="0"/>
                    <w:spacing w:line="340" w:lineRule="exact"/>
                    <w:jc w:val="center"/>
                    <w:rPr>
                      <w:szCs w:val="21"/>
                    </w:rPr>
                  </w:pPr>
                  <w:r>
                    <w:rPr>
                      <w:szCs w:val="21"/>
                    </w:rPr>
                    <w:t>合计</w:t>
                  </w:r>
                </w:p>
              </w:tc>
              <w:tc>
                <w:tcPr>
                  <w:tcW w:w="567" w:type="pct"/>
                  <w:vAlign w:val="center"/>
                </w:tcPr>
                <w:p>
                  <w:pPr>
                    <w:adjustRightInd w:val="0"/>
                    <w:snapToGrid w:val="0"/>
                    <w:spacing w:line="340" w:lineRule="exact"/>
                    <w:jc w:val="center"/>
                    <w:rPr>
                      <w:szCs w:val="21"/>
                    </w:rPr>
                  </w:pPr>
                  <w:r>
                    <w:rPr>
                      <w:szCs w:val="21"/>
                      <w:lang w:bidi="ar"/>
                    </w:rPr>
                    <w:t>0.711</w:t>
                  </w:r>
                </w:p>
              </w:tc>
              <w:tc>
                <w:tcPr>
                  <w:tcW w:w="557" w:type="pct"/>
                  <w:vAlign w:val="center"/>
                </w:tcPr>
                <w:p>
                  <w:pPr>
                    <w:adjustRightInd w:val="0"/>
                    <w:snapToGrid w:val="0"/>
                    <w:spacing w:line="340" w:lineRule="exact"/>
                    <w:jc w:val="center"/>
                    <w:rPr>
                      <w:szCs w:val="21"/>
                    </w:rPr>
                  </w:pPr>
                  <w:r>
                    <w:rPr>
                      <w:szCs w:val="21"/>
                      <w:lang w:bidi="ar"/>
                    </w:rPr>
                    <w:t>0.1562</w:t>
                  </w:r>
                </w:p>
              </w:tc>
              <w:tc>
                <w:tcPr>
                  <w:tcW w:w="657" w:type="pct"/>
                  <w:vAlign w:val="center"/>
                </w:tcPr>
                <w:p>
                  <w:pPr>
                    <w:adjustRightInd w:val="0"/>
                    <w:snapToGrid w:val="0"/>
                    <w:spacing w:line="340" w:lineRule="exact"/>
                    <w:jc w:val="center"/>
                    <w:rPr>
                      <w:szCs w:val="21"/>
                    </w:rPr>
                  </w:pPr>
                  <w:r>
                    <w:rPr>
                      <w:szCs w:val="21"/>
                      <w:lang w:bidi="ar"/>
                    </w:rPr>
                    <w:t>0.5548</w:t>
                  </w:r>
                </w:p>
              </w:tc>
              <w:tc>
                <w:tcPr>
                  <w:tcW w:w="1371" w:type="pct"/>
                  <w:vAlign w:val="center"/>
                </w:tcPr>
                <w:p>
                  <w:pPr>
                    <w:adjustRightInd w:val="0"/>
                    <w:snapToGrid w:val="0"/>
                    <w:spacing w:line="340" w:lineRule="exact"/>
                    <w:jc w:val="center"/>
                    <w:rPr>
                      <w:szCs w:val="21"/>
                    </w:rPr>
                  </w:pPr>
                  <w:r>
                    <w:rPr>
                      <w:szCs w:val="21"/>
                    </w:rPr>
                    <w:t>/</w:t>
                  </w:r>
                </w:p>
              </w:tc>
            </w:tr>
          </w:tbl>
          <w:p>
            <w:pPr>
              <w:adjustRightInd w:val="0"/>
              <w:snapToGrid w:val="0"/>
              <w:spacing w:line="360" w:lineRule="auto"/>
              <w:jc w:val="center"/>
              <w:rPr>
                <w:b/>
                <w:sz w:val="24"/>
              </w:rPr>
            </w:pPr>
            <w:r>
              <w:rPr>
                <w:sz w:val="24"/>
              </w:rPr>
              <mc:AlternateContent>
                <mc:Choice Requires="wpc">
                  <w:drawing>
                    <wp:inline distT="0" distB="0" distL="114300" distR="114300">
                      <wp:extent cx="5045710" cy="4253230"/>
                      <wp:effectExtent l="0" t="0" r="2540" b="0"/>
                      <wp:docPr id="64" name="画布 64"/>
                      <wp:cNvGraphicFramePr/>
                      <a:graphic xmlns:a="http://schemas.openxmlformats.org/drawingml/2006/main">
                        <a:graphicData uri="http://schemas.microsoft.com/office/word/2010/wordprocessingCanvas">
                          <wpc:wpc>
                            <wpc:bg>
                              <a:noFill/>
                            </wpc:bg>
                            <wpc:whole>
                              <a:ln>
                                <a:noFill/>
                              </a:ln>
                            </wpc:whole>
                            <wps:wsp>
                              <wps:cNvPr id="1" name="矩形 1"/>
                              <wps:cNvSpPr/>
                              <wps:spPr>
                                <a:xfrm>
                                  <a:off x="4287171" y="624689"/>
                                  <a:ext cx="642438" cy="594103"/>
                                </a:xfrm>
                                <a:prstGeom prst="rect">
                                  <a:avLst/>
                                </a:prstGeom>
                                <a:solidFill>
                                  <a:srgbClr val="FFFFFF"/>
                                </a:solidFill>
                                <a:ln>
                                  <a:noFill/>
                                </a:ln>
                              </wps:spPr>
                              <wps:txbx>
                                <w:txbxContent>
                                  <w:p>
                                    <w:pPr>
                                      <w:jc w:val="center"/>
                                    </w:pPr>
                                    <w:r>
                                      <w:rPr>
                                        <w:rFonts w:hint="eastAsia"/>
                                        <w:color w:val="000000"/>
                                        <w:szCs w:val="21"/>
                                      </w:rPr>
                                      <w:t>交有资质单位处置</w:t>
                                    </w:r>
                                  </w:p>
                                </w:txbxContent>
                              </wps:txbx>
                              <wps:bodyPr upright="1"/>
                            </wps:wsp>
                            <wps:wsp>
                              <wps:cNvPr id="3" name="矩形 3"/>
                              <wps:cNvSpPr/>
                              <wps:spPr>
                                <a:xfrm>
                                  <a:off x="914455" y="248028"/>
                                  <a:ext cx="1317079" cy="293233"/>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配置、稀释溶液用水</w:t>
                                    </w:r>
                                  </w:p>
                                </w:txbxContent>
                              </wps:txbx>
                              <wps:bodyPr upright="1"/>
                            </wps:wsp>
                            <wps:wsp>
                              <wps:cNvPr id="4" name="矩形 4"/>
                              <wps:cNvSpPr/>
                              <wps:spPr>
                                <a:xfrm>
                                  <a:off x="0" y="1896269"/>
                                  <a:ext cx="644084" cy="263679"/>
                                </a:xfrm>
                                <a:prstGeom prst="rect">
                                  <a:avLst/>
                                </a:prstGeom>
                                <a:noFill/>
                                <a:ln>
                                  <a:noFill/>
                                </a:ln>
                              </wps:spPr>
                              <wps:txbx>
                                <w:txbxContent>
                                  <w:p>
                                    <w:r>
                                      <w:rPr>
                                        <w:rFonts w:hint="eastAsia"/>
                                      </w:rPr>
                                      <w:t>新鲜水</w:t>
                                    </w:r>
                                  </w:p>
                                </w:txbxContent>
                              </wps:txbx>
                              <wps:bodyPr lIns="0" tIns="45720" rIns="0" bIns="45720" upright="1"/>
                            </wps:wsp>
                            <wps:wsp>
                              <wps:cNvPr id="7" name="直接连接符 7"/>
                              <wps:cNvCnPr/>
                              <wps:spPr>
                                <a:xfrm>
                                  <a:off x="444070" y="402630"/>
                                  <a:ext cx="23684" cy="3219819"/>
                                </a:xfrm>
                                <a:prstGeom prst="line">
                                  <a:avLst/>
                                </a:prstGeom>
                                <a:ln w="9525" cap="flat" cmpd="sng">
                                  <a:solidFill>
                                    <a:srgbClr val="000000"/>
                                  </a:solidFill>
                                  <a:prstDash val="solid"/>
                                  <a:headEnd type="none" w="med" len="med"/>
                                  <a:tailEnd type="none" w="med" len="med"/>
                                </a:ln>
                              </wps:spPr>
                              <wps:bodyPr/>
                            </wps:wsp>
                            <wps:wsp>
                              <wps:cNvPr id="8" name="直接连接符 8"/>
                              <wps:cNvCnPr/>
                              <wps:spPr>
                                <a:xfrm>
                                  <a:off x="0" y="1871992"/>
                                  <a:ext cx="440781" cy="639"/>
                                </a:xfrm>
                                <a:prstGeom prst="line">
                                  <a:avLst/>
                                </a:prstGeom>
                                <a:ln w="9525" cap="flat" cmpd="sng">
                                  <a:solidFill>
                                    <a:srgbClr val="000000"/>
                                  </a:solidFill>
                                  <a:prstDash val="solid"/>
                                  <a:headEnd type="none" w="med" len="med"/>
                                  <a:tailEnd type="none" w="med" len="med"/>
                                </a:ln>
                              </wps:spPr>
                              <wps:bodyPr/>
                            </wps:wsp>
                            <wps:wsp>
                              <wps:cNvPr id="9" name="直接连接符 9"/>
                              <wps:cNvCnPr/>
                              <wps:spPr>
                                <a:xfrm>
                                  <a:off x="457228" y="3616060"/>
                                  <a:ext cx="429596" cy="639"/>
                                </a:xfrm>
                                <a:prstGeom prst="line">
                                  <a:avLst/>
                                </a:prstGeom>
                                <a:ln w="9525" cap="flat" cmpd="sng">
                                  <a:solidFill>
                                    <a:srgbClr val="000000"/>
                                  </a:solidFill>
                                  <a:prstDash val="solid"/>
                                  <a:headEnd type="none" w="med" len="med"/>
                                  <a:tailEnd type="triangle" w="med" len="med"/>
                                </a:ln>
                              </wps:spPr>
                              <wps:bodyPr/>
                            </wps:wsp>
                            <wps:wsp>
                              <wps:cNvPr id="10" name="矩形 10"/>
                              <wps:cNvSpPr/>
                              <wps:spPr>
                                <a:xfrm>
                                  <a:off x="901298" y="3472957"/>
                                  <a:ext cx="785510" cy="293234"/>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生活用水</w:t>
                                    </w:r>
                                  </w:p>
                                </w:txbxContent>
                              </wps:txbx>
                              <wps:bodyPr upright="1"/>
                            </wps:wsp>
                            <wps:wsp>
                              <wps:cNvPr id="11" name="矩形 11"/>
                              <wps:cNvSpPr/>
                              <wps:spPr>
                                <a:xfrm>
                                  <a:off x="470385" y="1487440"/>
                                  <a:ext cx="542095" cy="427845"/>
                                </a:xfrm>
                                <a:prstGeom prst="rect">
                                  <a:avLst/>
                                </a:prstGeom>
                                <a:noFill/>
                                <a:ln>
                                  <a:noFill/>
                                </a:ln>
                              </wps:spPr>
                              <wps:txbx>
                                <w:txbxContent>
                                  <w:p>
                                    <w:r>
                                      <w:t>0.</w:t>
                                    </w:r>
                                    <w:r>
                                      <w:rPr>
                                        <w:rFonts w:hint="eastAsia"/>
                                      </w:rPr>
                                      <w:t>102</w:t>
                                    </w:r>
                                  </w:p>
                                </w:txbxContent>
                              </wps:txbx>
                              <wps:bodyPr upright="1"/>
                            </wps:wsp>
                            <wps:wsp>
                              <wps:cNvPr id="12" name="矩形 12"/>
                              <wps:cNvSpPr/>
                              <wps:spPr>
                                <a:xfrm>
                                  <a:off x="430912" y="171366"/>
                                  <a:ext cx="517095" cy="242125"/>
                                </a:xfrm>
                                <a:prstGeom prst="rect">
                                  <a:avLst/>
                                </a:prstGeom>
                                <a:noFill/>
                                <a:ln>
                                  <a:noFill/>
                                </a:ln>
                              </wps:spPr>
                              <wps:txbx>
                                <w:txbxContent>
                                  <w:p>
                                    <w:r>
                                      <w:rPr>
                                        <w:rFonts w:hint="eastAsia"/>
                                      </w:rPr>
                                      <w:t>0.005</w:t>
                                    </w:r>
                                  </w:p>
                                </w:txbxContent>
                              </wps:txbx>
                              <wps:bodyPr upright="1"/>
                            </wps:wsp>
                            <wps:wsp>
                              <wps:cNvPr id="13" name="矩形 13"/>
                              <wps:cNvSpPr/>
                              <wps:spPr>
                                <a:xfrm>
                                  <a:off x="927613" y="1446516"/>
                                  <a:ext cx="1045373" cy="465724"/>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实验器具清洗用水</w:t>
                                    </w:r>
                                  </w:p>
                                </w:txbxContent>
                              </wps:txbx>
                              <wps:bodyPr upright="1"/>
                            </wps:wsp>
                            <wps:wsp>
                              <wps:cNvPr id="14" name="直接连接符 14"/>
                              <wps:cNvCnPr/>
                              <wps:spPr>
                                <a:xfrm>
                                  <a:off x="457228" y="1716112"/>
                                  <a:ext cx="492753" cy="7027"/>
                                </a:xfrm>
                                <a:prstGeom prst="line">
                                  <a:avLst/>
                                </a:prstGeom>
                                <a:ln w="9525" cap="flat" cmpd="sng">
                                  <a:solidFill>
                                    <a:srgbClr val="000000"/>
                                  </a:solidFill>
                                  <a:prstDash val="solid"/>
                                  <a:headEnd type="none" w="med" len="med"/>
                                  <a:tailEnd type="triangle" w="med" len="med"/>
                                </a:ln>
                              </wps:spPr>
                              <wps:bodyPr/>
                            </wps:wsp>
                            <wps:wsp>
                              <wps:cNvPr id="15" name="矩形 15"/>
                              <wps:cNvSpPr/>
                              <wps:spPr>
                                <a:xfrm>
                                  <a:off x="483543" y="3371225"/>
                                  <a:ext cx="505253" cy="472848"/>
                                </a:xfrm>
                                <a:prstGeom prst="rect">
                                  <a:avLst/>
                                </a:prstGeom>
                                <a:noFill/>
                                <a:ln>
                                  <a:noFill/>
                                </a:ln>
                              </wps:spPr>
                              <wps:txbx>
                                <w:txbxContent>
                                  <w:p>
                                    <w:r>
                                      <w:t>0.</w:t>
                                    </w:r>
                                    <w:r>
                                      <w:rPr>
                                        <w:rFonts w:hint="eastAsia"/>
                                      </w:rPr>
                                      <w:t>54</w:t>
                                    </w:r>
                                  </w:p>
                                </w:txbxContent>
                              </wps:txbx>
                              <wps:bodyPr upright="1"/>
                            </wps:wsp>
                            <wps:wsp>
                              <wps:cNvPr id="16" name="矩形 16"/>
                              <wps:cNvSpPr/>
                              <wps:spPr>
                                <a:xfrm>
                                  <a:off x="2730208" y="2717833"/>
                                  <a:ext cx="651960" cy="241486"/>
                                </a:xfrm>
                                <a:prstGeom prst="rect">
                                  <a:avLst/>
                                </a:prstGeom>
                                <a:noFill/>
                                <a:ln>
                                  <a:noFill/>
                                </a:ln>
                              </wps:spPr>
                              <wps:txbx>
                                <w:txbxContent>
                                  <w:p>
                                    <w:r>
                                      <w:rPr>
                                        <w:rFonts w:hint="eastAsia"/>
                                      </w:rPr>
                                      <w:t>0.051</w:t>
                                    </w:r>
                                  </w:p>
                                </w:txbxContent>
                              </wps:txbx>
                              <wps:bodyPr upright="1"/>
                            </wps:wsp>
                            <wps:wsp>
                              <wps:cNvPr id="17" name="直接箭头连接符 17"/>
                              <wps:cNvCnPr/>
                              <wps:spPr>
                                <a:xfrm flipV="1">
                                  <a:off x="1123662" y="3299189"/>
                                  <a:ext cx="208548" cy="176962"/>
                                </a:xfrm>
                                <a:prstGeom prst="straightConnector1">
                                  <a:avLst/>
                                </a:prstGeom>
                                <a:ln w="9525" cap="sq" cmpd="sng">
                                  <a:solidFill>
                                    <a:srgbClr val="000000"/>
                                  </a:solidFill>
                                  <a:prstDash val="sysDot"/>
                                  <a:headEnd type="none" w="med" len="med"/>
                                  <a:tailEnd type="arrow" w="med" len="med"/>
                                </a:ln>
                              </wps:spPr>
                              <wps:bodyPr/>
                            </wps:wsp>
                            <wps:wsp>
                              <wps:cNvPr id="18" name="矩形 18"/>
                              <wps:cNvSpPr/>
                              <wps:spPr>
                                <a:xfrm>
                                  <a:off x="1306553" y="3157619"/>
                                  <a:ext cx="672354" cy="242129"/>
                                </a:xfrm>
                                <a:prstGeom prst="rect">
                                  <a:avLst/>
                                </a:prstGeom>
                                <a:noFill/>
                                <a:ln>
                                  <a:noFill/>
                                </a:ln>
                              </wps:spPr>
                              <wps:txbx>
                                <w:txbxContent>
                                  <w:p>
                                    <w:r>
                                      <w:rPr>
                                        <w:rFonts w:hint="eastAsia"/>
                                      </w:rPr>
                                      <w:t>0.11</w:t>
                                    </w:r>
                                  </w:p>
                                </w:txbxContent>
                              </wps:txbx>
                              <wps:bodyPr upright="1"/>
                            </wps:wsp>
                            <wps:wsp>
                              <wps:cNvPr id="19" name="直接连接符 19"/>
                              <wps:cNvCnPr/>
                              <wps:spPr>
                                <a:xfrm flipV="1">
                                  <a:off x="1685492" y="3559841"/>
                                  <a:ext cx="2637447" cy="16610"/>
                                </a:xfrm>
                                <a:prstGeom prst="line">
                                  <a:avLst/>
                                </a:prstGeom>
                                <a:ln w="9525" cap="flat" cmpd="sng">
                                  <a:solidFill>
                                    <a:srgbClr val="000000"/>
                                  </a:solidFill>
                                  <a:prstDash val="solid"/>
                                  <a:headEnd type="none" w="med" len="med"/>
                                  <a:tailEnd type="triangle" w="med" len="med"/>
                                </a:ln>
                              </wps:spPr>
                              <wps:bodyPr/>
                            </wps:wsp>
                            <wps:wsp>
                              <wps:cNvPr id="20" name="矩形 20"/>
                              <wps:cNvSpPr/>
                              <wps:spPr>
                                <a:xfrm>
                                  <a:off x="4081962" y="3820599"/>
                                  <a:ext cx="923925" cy="419232"/>
                                </a:xfrm>
                                <a:prstGeom prst="rect">
                                  <a:avLst/>
                                </a:prstGeom>
                                <a:solidFill>
                                  <a:srgbClr val="FFFFFF"/>
                                </a:solidFill>
                                <a:ln>
                                  <a:noFill/>
                                </a:ln>
                              </wps:spPr>
                              <wps:txbx>
                                <w:txbxContent>
                                  <w:p>
                                    <w:r>
                                      <w:rPr>
                                        <w:rFonts w:hint="eastAsia"/>
                                        <w:color w:val="000000"/>
                                        <w:szCs w:val="21"/>
                                      </w:rPr>
                                      <w:t>西安市第九污水处理厂</w:t>
                                    </w:r>
                                  </w:p>
                                </w:txbxContent>
                              </wps:txbx>
                              <wps:bodyPr upright="1"/>
                            </wps:wsp>
                            <wps:wsp>
                              <wps:cNvPr id="21" name="矩形 21"/>
                              <wps:cNvSpPr/>
                              <wps:spPr>
                                <a:xfrm>
                                  <a:off x="2756523" y="3335096"/>
                                  <a:ext cx="623014" cy="348614"/>
                                </a:xfrm>
                                <a:prstGeom prst="rect">
                                  <a:avLst/>
                                </a:prstGeom>
                                <a:noFill/>
                                <a:ln>
                                  <a:noFill/>
                                </a:ln>
                              </wps:spPr>
                              <wps:txbx>
                                <w:txbxContent>
                                  <w:p>
                                    <w:r>
                                      <w:rPr>
                                        <w:rFonts w:hint="eastAsia"/>
                                      </w:rPr>
                                      <w:t>0.43</w:t>
                                    </w:r>
                                  </w:p>
                                </w:txbxContent>
                              </wps:txbx>
                              <wps:bodyPr upright="1"/>
                            </wps:wsp>
                            <wps:wsp>
                              <wps:cNvPr id="22" name="直接连接符 22"/>
                              <wps:cNvCnPr/>
                              <wps:spPr>
                                <a:xfrm flipV="1">
                                  <a:off x="1972329" y="1704612"/>
                                  <a:ext cx="417754" cy="639"/>
                                </a:xfrm>
                                <a:prstGeom prst="line">
                                  <a:avLst/>
                                </a:prstGeom>
                                <a:ln w="9525" cap="flat" cmpd="sng">
                                  <a:solidFill>
                                    <a:srgbClr val="000000"/>
                                  </a:solidFill>
                                  <a:prstDash val="solid"/>
                                  <a:headEnd type="none" w="med" len="med"/>
                                  <a:tailEnd type="triangle" w="med" len="med"/>
                                </a:ln>
                              </wps:spPr>
                              <wps:bodyPr/>
                            </wps:wsp>
                            <wps:wsp>
                              <wps:cNvPr id="23" name="直接连接符 23"/>
                              <wps:cNvCnPr/>
                              <wps:spPr>
                                <a:xfrm flipH="1">
                                  <a:off x="2417056" y="925212"/>
                                  <a:ext cx="1316" cy="1581161"/>
                                </a:xfrm>
                                <a:prstGeom prst="line">
                                  <a:avLst/>
                                </a:prstGeom>
                                <a:ln w="9525" cap="flat" cmpd="sng">
                                  <a:solidFill>
                                    <a:srgbClr val="000000"/>
                                  </a:solidFill>
                                  <a:prstDash val="solid"/>
                                  <a:headEnd type="none" w="med" len="med"/>
                                  <a:tailEnd type="none" w="med" len="med"/>
                                </a:ln>
                              </wps:spPr>
                              <wps:bodyPr/>
                            </wps:wsp>
                            <wps:wsp>
                              <wps:cNvPr id="24" name="直接连接符 24"/>
                              <wps:cNvCnPr/>
                              <wps:spPr>
                                <a:xfrm flipV="1">
                                  <a:off x="2429556" y="923295"/>
                                  <a:ext cx="342756" cy="0"/>
                                </a:xfrm>
                                <a:prstGeom prst="line">
                                  <a:avLst/>
                                </a:prstGeom>
                                <a:ln w="9525" cap="flat" cmpd="sng">
                                  <a:solidFill>
                                    <a:srgbClr val="000000"/>
                                  </a:solidFill>
                                  <a:prstDash val="solid"/>
                                  <a:headEnd type="none" w="med" len="med"/>
                                  <a:tailEnd type="triangle" w="med" len="med"/>
                                </a:ln>
                              </wps:spPr>
                              <wps:bodyPr/>
                            </wps:wsp>
                            <wps:wsp>
                              <wps:cNvPr id="25" name="直接连接符 25"/>
                              <wps:cNvCnPr/>
                              <wps:spPr>
                                <a:xfrm flipV="1">
                                  <a:off x="2429556" y="1486125"/>
                                  <a:ext cx="342756" cy="0"/>
                                </a:xfrm>
                                <a:prstGeom prst="line">
                                  <a:avLst/>
                                </a:prstGeom>
                                <a:ln w="9525" cap="flat" cmpd="sng">
                                  <a:solidFill>
                                    <a:srgbClr val="000000"/>
                                  </a:solidFill>
                                  <a:prstDash val="solid"/>
                                  <a:headEnd type="none" w="med" len="med"/>
                                  <a:tailEnd type="triangle" w="med" len="med"/>
                                </a:ln>
                              </wps:spPr>
                              <wps:bodyPr/>
                            </wps:wsp>
                            <wps:wsp>
                              <wps:cNvPr id="26" name="矩形 26"/>
                              <wps:cNvSpPr/>
                              <wps:spPr>
                                <a:xfrm>
                                  <a:off x="2743367" y="1323856"/>
                                  <a:ext cx="1043400" cy="291956"/>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pacing w:val="-20"/>
                                      </w:rPr>
                                      <w:t>第2次清洗用水</w:t>
                                    </w:r>
                                  </w:p>
                                </w:txbxContent>
                              </wps:txbx>
                              <wps:bodyPr upright="1"/>
                            </wps:wsp>
                            <wps:wsp>
                              <wps:cNvPr id="27" name="矩形 27"/>
                              <wps:cNvSpPr/>
                              <wps:spPr>
                                <a:xfrm>
                                  <a:off x="2756523" y="1827272"/>
                                  <a:ext cx="1042084" cy="292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pacing w:val="-20"/>
                                      </w:rPr>
                                    </w:pPr>
                                    <w:r>
                                      <w:rPr>
                                        <w:rFonts w:hint="eastAsia"/>
                                        <w:spacing w:val="-20"/>
                                      </w:rPr>
                                      <w:t>第3次清洗用水</w:t>
                                    </w:r>
                                  </w:p>
                                  <w:p>
                                    <w:pPr>
                                      <w:jc w:val="center"/>
                                      <w:rPr>
                                        <w:spacing w:val="-20"/>
                                      </w:rPr>
                                    </w:pPr>
                                  </w:p>
                                  <w:p>
                                    <w:pPr>
                                      <w:rPr>
                                        <w:spacing w:val="-20"/>
                                      </w:rPr>
                                    </w:pPr>
                                  </w:p>
                                </w:txbxContent>
                              </wps:txbx>
                              <wps:bodyPr upright="1"/>
                            </wps:wsp>
                            <wps:wsp>
                              <wps:cNvPr id="28" name="直接箭头连接符 28"/>
                              <wps:cNvCnPr/>
                              <wps:spPr>
                                <a:xfrm>
                                  <a:off x="4553197" y="3586890"/>
                                  <a:ext cx="0" cy="261054"/>
                                </a:xfrm>
                                <a:prstGeom prst="straightConnector1">
                                  <a:avLst/>
                                </a:prstGeom>
                                <a:ln w="9525" cap="flat" cmpd="sng">
                                  <a:solidFill>
                                    <a:srgbClr val="000000"/>
                                  </a:solidFill>
                                  <a:prstDash val="solid"/>
                                  <a:headEnd type="none" w="med" len="med"/>
                                  <a:tailEnd type="triangle" w="med" len="med"/>
                                </a:ln>
                              </wps:spPr>
                              <wps:bodyPr/>
                            </wps:wsp>
                            <wps:wsp>
                              <wps:cNvPr id="29" name="矩形 29"/>
                              <wps:cNvSpPr/>
                              <wps:spPr>
                                <a:xfrm>
                                  <a:off x="2743365" y="819801"/>
                                  <a:ext cx="1055241" cy="2932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pacing w:val="-20"/>
                                      </w:rPr>
                                    </w:pPr>
                                    <w:r>
                                      <w:rPr>
                                        <w:rFonts w:hint="eastAsia"/>
                                        <w:spacing w:val="-20"/>
                                      </w:rPr>
                                      <w:t>第1次清洗用水</w:t>
                                    </w:r>
                                  </w:p>
                                </w:txbxContent>
                              </wps:txbx>
                              <wps:bodyPr upright="1"/>
                            </wps:wsp>
                            <wps:wsp>
                              <wps:cNvPr id="31" name="直接箭头连接符 31"/>
                              <wps:cNvCnPr/>
                              <wps:spPr>
                                <a:xfrm flipV="1">
                                  <a:off x="3161120" y="1689280"/>
                                  <a:ext cx="147366" cy="127132"/>
                                </a:xfrm>
                                <a:prstGeom prst="straightConnector1">
                                  <a:avLst/>
                                </a:prstGeom>
                                <a:ln w="9525" cap="sq" cmpd="sng">
                                  <a:solidFill>
                                    <a:srgbClr val="000000"/>
                                  </a:solidFill>
                                  <a:prstDash val="sysDot"/>
                                  <a:headEnd type="none" w="med" len="med"/>
                                  <a:tailEnd type="arrow" w="med" len="med"/>
                                </a:ln>
                              </wps:spPr>
                              <wps:bodyPr/>
                            </wps:wsp>
                            <wps:wsp>
                              <wps:cNvPr id="32" name="直接箭头连接符 32"/>
                              <wps:cNvCnPr>
                                <a:stCxn id="26" idx="3"/>
                              </wps:cNvCnPr>
                              <wps:spPr>
                                <a:xfrm flipV="1">
                                  <a:off x="3786767" y="1463765"/>
                                  <a:ext cx="503278" cy="6069"/>
                                </a:xfrm>
                                <a:prstGeom prst="straightConnector1">
                                  <a:avLst/>
                                </a:prstGeom>
                                <a:ln w="9525" cap="flat" cmpd="sng">
                                  <a:solidFill>
                                    <a:srgbClr val="000000"/>
                                  </a:solidFill>
                                  <a:prstDash val="solid"/>
                                  <a:headEnd type="none" w="med" len="med"/>
                                  <a:tailEnd type="triangle" w="med" len="med"/>
                                </a:ln>
                              </wps:spPr>
                              <wps:bodyPr/>
                            </wps:wsp>
                            <wps:wsp>
                              <wps:cNvPr id="33" name="直接连接符 33"/>
                              <wps:cNvCnPr/>
                              <wps:spPr>
                                <a:xfrm flipV="1">
                                  <a:off x="2429556" y="2010623"/>
                                  <a:ext cx="342756" cy="0"/>
                                </a:xfrm>
                                <a:prstGeom prst="line">
                                  <a:avLst/>
                                </a:prstGeom>
                                <a:ln w="9525" cap="flat" cmpd="sng">
                                  <a:solidFill>
                                    <a:srgbClr val="000000"/>
                                  </a:solidFill>
                                  <a:prstDash val="solid"/>
                                  <a:headEnd type="none" w="med" len="med"/>
                                  <a:tailEnd type="triangle" w="med" len="med"/>
                                </a:ln>
                              </wps:spPr>
                              <wps:bodyPr/>
                            </wps:wsp>
                            <wps:wsp>
                              <wps:cNvPr id="34" name="矩形 34"/>
                              <wps:cNvSpPr/>
                              <wps:spPr>
                                <a:xfrm>
                                  <a:off x="4375785" y="1361032"/>
                                  <a:ext cx="435632" cy="11852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r>
                                      <w:rPr>
                                        <w:rFonts w:hint="eastAsia"/>
                                      </w:rPr>
                                      <w:t>中</w:t>
                                    </w:r>
                                  </w:p>
                                  <w:p>
                                    <w:pPr>
                                      <w:jc w:val="center"/>
                                    </w:pPr>
                                    <w:r>
                                      <w:rPr>
                                        <w:rFonts w:hint="eastAsia"/>
                                      </w:rPr>
                                      <w:t>和</w:t>
                                    </w:r>
                                  </w:p>
                                  <w:p>
                                    <w:pPr>
                                      <w:jc w:val="center"/>
                                    </w:pPr>
                                    <w:r>
                                      <w:rPr>
                                        <w:rFonts w:hint="eastAsia"/>
                                      </w:rPr>
                                      <w:t>池</w:t>
                                    </w:r>
                                  </w:p>
                                </w:txbxContent>
                              </wps:txbx>
                              <wps:bodyPr upright="1"/>
                            </wps:wsp>
                            <wps:wsp>
                              <wps:cNvPr id="35" name="直接连接符 35"/>
                              <wps:cNvCnPr/>
                              <wps:spPr>
                                <a:xfrm flipV="1">
                                  <a:off x="457228" y="2949098"/>
                                  <a:ext cx="451306" cy="639"/>
                                </a:xfrm>
                                <a:prstGeom prst="line">
                                  <a:avLst/>
                                </a:prstGeom>
                                <a:ln w="9525" cap="flat" cmpd="sng">
                                  <a:solidFill>
                                    <a:srgbClr val="000000"/>
                                  </a:solidFill>
                                  <a:prstDash val="solid"/>
                                  <a:headEnd type="none" w="med" len="med"/>
                                  <a:tailEnd type="triangle" w="med" len="med"/>
                                </a:ln>
                              </wps:spPr>
                              <wps:bodyPr/>
                            </wps:wsp>
                            <wps:wsp>
                              <wps:cNvPr id="36" name="矩形 36"/>
                              <wps:cNvSpPr/>
                              <wps:spPr>
                                <a:xfrm>
                                  <a:off x="901298" y="2803439"/>
                                  <a:ext cx="1096030" cy="29195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地面清洁用水</w:t>
                                    </w:r>
                                  </w:p>
                                </w:txbxContent>
                              </wps:txbx>
                              <wps:bodyPr upright="1"/>
                            </wps:wsp>
                            <wps:wsp>
                              <wps:cNvPr id="37" name="直接连接符 37"/>
                              <wps:cNvCnPr/>
                              <wps:spPr>
                                <a:xfrm flipV="1">
                                  <a:off x="1985486" y="2926738"/>
                                  <a:ext cx="2311138" cy="10222"/>
                                </a:xfrm>
                                <a:prstGeom prst="line">
                                  <a:avLst/>
                                </a:prstGeom>
                                <a:ln w="9525" cap="flat" cmpd="sng">
                                  <a:solidFill>
                                    <a:srgbClr val="000000"/>
                                  </a:solidFill>
                                  <a:prstDash val="solid"/>
                                  <a:headEnd type="none" w="med" len="med"/>
                                  <a:tailEnd type="triangle" w="med" len="med"/>
                                </a:ln>
                              </wps:spPr>
                              <wps:bodyPr/>
                            </wps:wsp>
                            <wps:wsp>
                              <wps:cNvPr id="38" name="矩形 38"/>
                              <wps:cNvSpPr/>
                              <wps:spPr>
                                <a:xfrm>
                                  <a:off x="1946910" y="1488032"/>
                                  <a:ext cx="579120" cy="305435"/>
                                </a:xfrm>
                                <a:prstGeom prst="rect">
                                  <a:avLst/>
                                </a:prstGeom>
                                <a:noFill/>
                                <a:ln>
                                  <a:noFill/>
                                </a:ln>
                              </wps:spPr>
                              <wps:txbx>
                                <w:txbxContent>
                                  <w:p>
                                    <w:r>
                                      <w:t>0.</w:t>
                                    </w:r>
                                    <w:r>
                                      <w:rPr>
                                        <w:rFonts w:hint="eastAsia"/>
                                      </w:rPr>
                                      <w:t>102</w:t>
                                    </w:r>
                                  </w:p>
                                </w:txbxContent>
                              </wps:txbx>
                              <wps:bodyPr upright="1"/>
                            </wps:wsp>
                            <wps:wsp>
                              <wps:cNvPr id="39" name="矩形 39"/>
                              <wps:cNvSpPr/>
                              <wps:spPr>
                                <a:xfrm>
                                  <a:off x="2377584" y="708641"/>
                                  <a:ext cx="475648" cy="306010"/>
                                </a:xfrm>
                                <a:prstGeom prst="rect">
                                  <a:avLst/>
                                </a:prstGeom>
                                <a:noFill/>
                                <a:ln>
                                  <a:noFill/>
                                </a:ln>
                              </wps:spPr>
                              <wps:txbx>
                                <w:txbxContent>
                                  <w:p>
                                    <w:r>
                                      <w:t>0.</w:t>
                                    </w:r>
                                    <w:r>
                                      <w:rPr>
                                        <w:rFonts w:hint="eastAsia"/>
                                      </w:rPr>
                                      <w:t>02</w:t>
                                    </w:r>
                                  </w:p>
                                </w:txbxContent>
                              </wps:txbx>
                              <wps:bodyPr upright="1"/>
                            </wps:wsp>
                            <wps:wsp>
                              <wps:cNvPr id="40" name="矩形 40"/>
                              <wps:cNvSpPr/>
                              <wps:spPr>
                                <a:xfrm>
                                  <a:off x="3768521" y="720704"/>
                                  <a:ext cx="515121" cy="305372"/>
                                </a:xfrm>
                                <a:prstGeom prst="rect">
                                  <a:avLst/>
                                </a:prstGeom>
                                <a:noFill/>
                                <a:ln>
                                  <a:noFill/>
                                </a:ln>
                              </wps:spPr>
                              <wps:txbx>
                                <w:txbxContent>
                                  <w:p>
                                    <w:r>
                                      <w:t>0.</w:t>
                                    </w:r>
                                    <w:r>
                                      <w:rPr>
                                        <w:rFonts w:hint="eastAsia"/>
                                      </w:rPr>
                                      <w:t>02</w:t>
                                    </w:r>
                                  </w:p>
                                </w:txbxContent>
                              </wps:txbx>
                              <wps:bodyPr upright="1"/>
                            </wps:wsp>
                            <wps:wsp>
                              <wps:cNvPr id="42" name="矩形 42"/>
                              <wps:cNvSpPr/>
                              <wps:spPr>
                                <a:xfrm>
                                  <a:off x="2364426" y="1251666"/>
                                  <a:ext cx="506569" cy="306010"/>
                                </a:xfrm>
                                <a:prstGeom prst="rect">
                                  <a:avLst/>
                                </a:prstGeom>
                                <a:noFill/>
                                <a:ln>
                                  <a:noFill/>
                                </a:ln>
                              </wps:spPr>
                              <wps:txbx>
                                <w:txbxContent>
                                  <w:p>
                                    <w:r>
                                      <w:t>0.</w:t>
                                    </w:r>
                                    <w:r>
                                      <w:rPr>
                                        <w:rFonts w:hint="eastAsia"/>
                                      </w:rPr>
                                      <w:t>08</w:t>
                                    </w:r>
                                  </w:p>
                                </w:txbxContent>
                              </wps:txbx>
                              <wps:bodyPr upright="1"/>
                            </wps:wsp>
                            <wps:wsp>
                              <wps:cNvPr id="44" name="矩形 44"/>
                              <wps:cNvSpPr/>
                              <wps:spPr>
                                <a:xfrm>
                                  <a:off x="3768521" y="1226532"/>
                                  <a:ext cx="584835" cy="237233"/>
                                </a:xfrm>
                                <a:prstGeom prst="rect">
                                  <a:avLst/>
                                </a:prstGeom>
                                <a:noFill/>
                                <a:ln>
                                  <a:noFill/>
                                </a:ln>
                              </wps:spPr>
                              <wps:txbx>
                                <w:txbxContent>
                                  <w:p>
                                    <w:r>
                                      <w:t>0.</w:t>
                                    </w:r>
                                    <w:r>
                                      <w:rPr>
                                        <w:rFonts w:hint="eastAsia"/>
                                      </w:rPr>
                                      <w:t>0</w:t>
                                    </w:r>
                                    <w:r>
                                      <w:t>72</w:t>
                                    </w:r>
                                  </w:p>
                                </w:txbxContent>
                              </wps:txbx>
                              <wps:bodyPr upright="1"/>
                            </wps:wsp>
                            <wps:wsp>
                              <wps:cNvPr id="45" name="矩形 45"/>
                              <wps:cNvSpPr/>
                              <wps:spPr>
                                <a:xfrm>
                                  <a:off x="3292039" y="1601868"/>
                                  <a:ext cx="561173" cy="238819"/>
                                </a:xfrm>
                                <a:prstGeom prst="rect">
                                  <a:avLst/>
                                </a:prstGeom>
                                <a:noFill/>
                                <a:ln>
                                  <a:noFill/>
                                </a:ln>
                              </wps:spPr>
                              <wps:txbx>
                                <w:txbxContent>
                                  <w:p>
                                    <w:r>
                                      <w:t>0.</w:t>
                                    </w:r>
                                    <w:r>
                                      <w:rPr>
                                        <w:rFonts w:hint="eastAsia"/>
                                      </w:rPr>
                                      <w:t>0001</w:t>
                                    </w:r>
                                  </w:p>
                                </w:txbxContent>
                              </wps:txbx>
                              <wps:bodyPr upright="1"/>
                            </wps:wsp>
                            <wps:wsp>
                              <wps:cNvPr id="46" name="矩形 46"/>
                              <wps:cNvSpPr/>
                              <wps:spPr>
                                <a:xfrm>
                                  <a:off x="3749266" y="1757636"/>
                                  <a:ext cx="569726" cy="278981"/>
                                </a:xfrm>
                                <a:prstGeom prst="rect">
                                  <a:avLst/>
                                </a:prstGeom>
                                <a:noFill/>
                                <a:ln>
                                  <a:noFill/>
                                </a:ln>
                              </wps:spPr>
                              <wps:txbx>
                                <w:txbxContent>
                                  <w:p>
                                    <w:r>
                                      <w:t>0.</w:t>
                                    </w:r>
                                    <w:r>
                                      <w:rPr>
                                        <w:rFonts w:hint="eastAsia"/>
                                      </w:rPr>
                                      <w:t>0009</w:t>
                                    </w:r>
                                  </w:p>
                                </w:txbxContent>
                              </wps:txbx>
                              <wps:bodyPr upright="1"/>
                            </wps:wsp>
                            <wps:wsp>
                              <wps:cNvPr id="47" name="矩形 47"/>
                              <wps:cNvSpPr/>
                              <wps:spPr>
                                <a:xfrm>
                                  <a:off x="2364426" y="1790858"/>
                                  <a:ext cx="503279" cy="305371"/>
                                </a:xfrm>
                                <a:prstGeom prst="rect">
                                  <a:avLst/>
                                </a:prstGeom>
                                <a:noFill/>
                                <a:ln>
                                  <a:noFill/>
                                </a:ln>
                              </wps:spPr>
                              <wps:txbx>
                                <w:txbxContent>
                                  <w:p>
                                    <w:r>
                                      <w:t>0.</w:t>
                                    </w:r>
                                    <w:r>
                                      <w:rPr>
                                        <w:rFonts w:hint="eastAsia"/>
                                      </w:rPr>
                                      <w:t>001</w:t>
                                    </w:r>
                                  </w:p>
                                </w:txbxContent>
                              </wps:txbx>
                              <wps:bodyPr upright="1"/>
                            </wps:wsp>
                            <wps:wsp>
                              <wps:cNvPr id="48" name="直接箭头连接符 48"/>
                              <wps:cNvCnPr/>
                              <wps:spPr>
                                <a:xfrm flipV="1">
                                  <a:off x="1384840" y="2616255"/>
                                  <a:ext cx="184865" cy="171213"/>
                                </a:xfrm>
                                <a:prstGeom prst="straightConnector1">
                                  <a:avLst/>
                                </a:prstGeom>
                                <a:ln w="9525" cap="sq" cmpd="sng">
                                  <a:solidFill>
                                    <a:srgbClr val="000000"/>
                                  </a:solidFill>
                                  <a:prstDash val="sysDot"/>
                                  <a:headEnd type="none" w="med" len="med"/>
                                  <a:tailEnd type="arrow" w="med" len="med"/>
                                </a:ln>
                              </wps:spPr>
                              <wps:bodyPr/>
                            </wps:wsp>
                            <wps:wsp>
                              <wps:cNvPr id="49" name="矩形 49"/>
                              <wps:cNvSpPr/>
                              <wps:spPr>
                                <a:xfrm>
                                  <a:off x="1541416" y="2440571"/>
                                  <a:ext cx="606567" cy="305372"/>
                                </a:xfrm>
                                <a:prstGeom prst="rect">
                                  <a:avLst/>
                                </a:prstGeom>
                                <a:noFill/>
                                <a:ln>
                                  <a:noFill/>
                                </a:ln>
                              </wps:spPr>
                              <wps:txbx>
                                <w:txbxContent>
                                  <w:p>
                                    <w:r>
                                      <w:t>0.</w:t>
                                    </w:r>
                                    <w:r>
                                      <w:rPr>
                                        <w:rFonts w:hint="eastAsia"/>
                                      </w:rPr>
                                      <w:t>013</w:t>
                                    </w:r>
                                  </w:p>
                                </w:txbxContent>
                              </wps:txbx>
                              <wps:bodyPr upright="1"/>
                            </wps:wsp>
                            <wps:wsp>
                              <wps:cNvPr id="50" name="矩形 50"/>
                              <wps:cNvSpPr/>
                              <wps:spPr>
                                <a:xfrm>
                                  <a:off x="444070" y="2712722"/>
                                  <a:ext cx="642092" cy="305372"/>
                                </a:xfrm>
                                <a:prstGeom prst="rect">
                                  <a:avLst/>
                                </a:prstGeom>
                                <a:noFill/>
                                <a:ln>
                                  <a:noFill/>
                                </a:ln>
                              </wps:spPr>
                              <wps:txbx>
                                <w:txbxContent>
                                  <w:p>
                                    <w:r>
                                      <w:t>0.</w:t>
                                    </w:r>
                                    <w:r>
                                      <w:rPr>
                                        <w:rFonts w:hint="eastAsia"/>
                                      </w:rPr>
                                      <w:t>064</w:t>
                                    </w:r>
                                  </w:p>
                                </w:txbxContent>
                              </wps:txbx>
                              <wps:bodyPr upright="1"/>
                            </wps:wsp>
                            <wps:wsp>
                              <wps:cNvPr id="52" name="矩形 52"/>
                              <wps:cNvSpPr/>
                              <wps:spPr>
                                <a:xfrm>
                                  <a:off x="430912" y="393048"/>
                                  <a:ext cx="601304" cy="254902"/>
                                </a:xfrm>
                                <a:prstGeom prst="rect">
                                  <a:avLst/>
                                </a:prstGeom>
                                <a:noFill/>
                                <a:ln>
                                  <a:noFill/>
                                </a:ln>
                              </wps:spPr>
                              <wps:txbx>
                                <w:txbxContent>
                                  <w:p>
                                    <w:r>
                                      <w:rPr>
                                        <w:rFonts w:hint="eastAsia"/>
                                      </w:rPr>
                                      <w:t>纯水</w:t>
                                    </w:r>
                                  </w:p>
                                </w:txbxContent>
                              </wps:txbx>
                              <wps:bodyPr upright="1"/>
                            </wps:wsp>
                            <wps:wsp>
                              <wps:cNvPr id="53" name="直接连接符 53"/>
                              <wps:cNvCnPr/>
                              <wps:spPr>
                                <a:xfrm flipV="1">
                                  <a:off x="444070" y="400714"/>
                                  <a:ext cx="474990" cy="639"/>
                                </a:xfrm>
                                <a:prstGeom prst="line">
                                  <a:avLst/>
                                </a:prstGeom>
                                <a:ln w="9525" cap="flat" cmpd="sng">
                                  <a:solidFill>
                                    <a:srgbClr val="000000"/>
                                  </a:solidFill>
                                  <a:prstDash val="solid"/>
                                  <a:headEnd type="none" w="med" len="med"/>
                                  <a:tailEnd type="triangle" w="med" len="med"/>
                                </a:ln>
                              </wps:spPr>
                              <wps:bodyPr/>
                            </wps:wsp>
                            <wps:wsp>
                              <wps:cNvPr id="54" name="矩形 54"/>
                              <wps:cNvSpPr/>
                              <wps:spPr>
                                <a:xfrm>
                                  <a:off x="2756523" y="2354326"/>
                                  <a:ext cx="1030243" cy="2932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pacing w:val="-20"/>
                                      </w:rPr>
                                      <w:t>润洗用水</w:t>
                                    </w:r>
                                  </w:p>
                                </w:txbxContent>
                              </wps:txbx>
                              <wps:bodyPr upright="1"/>
                            </wps:wsp>
                            <wps:wsp>
                              <wps:cNvPr id="55" name="直接箭头连接符 55"/>
                              <wps:cNvCnPr/>
                              <wps:spPr>
                                <a:xfrm flipV="1">
                                  <a:off x="3161120" y="2232944"/>
                                  <a:ext cx="147366" cy="114354"/>
                                </a:xfrm>
                                <a:prstGeom prst="straightConnector1">
                                  <a:avLst/>
                                </a:prstGeom>
                                <a:ln w="9525" cap="sq" cmpd="sng">
                                  <a:solidFill>
                                    <a:srgbClr val="000000"/>
                                  </a:solidFill>
                                  <a:prstDash val="sysDot"/>
                                  <a:headEnd type="none" w="med" len="med"/>
                                  <a:tailEnd type="arrow" w="med" len="med"/>
                                </a:ln>
                              </wps:spPr>
                              <wps:bodyPr/>
                            </wps:wsp>
                            <wps:wsp>
                              <wps:cNvPr id="56" name="矩形 56"/>
                              <wps:cNvSpPr/>
                              <wps:spPr>
                                <a:xfrm>
                                  <a:off x="3265723" y="2101979"/>
                                  <a:ext cx="586173" cy="293233"/>
                                </a:xfrm>
                                <a:prstGeom prst="rect">
                                  <a:avLst/>
                                </a:prstGeom>
                                <a:noFill/>
                                <a:ln>
                                  <a:noFill/>
                                </a:ln>
                              </wps:spPr>
                              <wps:txbx>
                                <w:txbxContent>
                                  <w:p>
                                    <w:r>
                                      <w:t>0.</w:t>
                                    </w:r>
                                    <w:r>
                                      <w:rPr>
                                        <w:rFonts w:hint="eastAsia"/>
                                      </w:rPr>
                                      <w:t>0001</w:t>
                                    </w:r>
                                  </w:p>
                                </w:txbxContent>
                              </wps:txbx>
                              <wps:bodyPr upright="1"/>
                            </wps:wsp>
                            <wps:wsp>
                              <wps:cNvPr id="57" name="直接连接符 57"/>
                              <wps:cNvCnPr/>
                              <wps:spPr>
                                <a:xfrm flipV="1">
                                  <a:off x="2429556" y="2508928"/>
                                  <a:ext cx="342756" cy="0"/>
                                </a:xfrm>
                                <a:prstGeom prst="line">
                                  <a:avLst/>
                                </a:prstGeom>
                                <a:ln w="9525" cap="flat" cmpd="sng">
                                  <a:solidFill>
                                    <a:srgbClr val="000000"/>
                                  </a:solidFill>
                                  <a:prstDash val="solid"/>
                                  <a:headEnd type="none" w="med" len="med"/>
                                  <a:tailEnd type="triangle" w="med" len="med"/>
                                </a:ln>
                              </wps:spPr>
                              <wps:bodyPr/>
                            </wps:wsp>
                            <wps:wsp>
                              <wps:cNvPr id="58" name="矩形 58"/>
                              <wps:cNvSpPr/>
                              <wps:spPr>
                                <a:xfrm>
                                  <a:off x="2347979" y="2265167"/>
                                  <a:ext cx="559857" cy="306146"/>
                                </a:xfrm>
                                <a:prstGeom prst="rect">
                                  <a:avLst/>
                                </a:prstGeom>
                                <a:noFill/>
                                <a:ln>
                                  <a:noFill/>
                                </a:ln>
                              </wps:spPr>
                              <wps:txbx>
                                <w:txbxContent>
                                  <w:p>
                                    <w:r>
                                      <w:t>0.</w:t>
                                    </w:r>
                                    <w:r>
                                      <w:rPr>
                                        <w:rFonts w:hint="eastAsia"/>
                                      </w:rPr>
                                      <w:t>001</w:t>
                                    </w:r>
                                  </w:p>
                                </w:txbxContent>
                              </wps:txbx>
                              <wps:bodyPr upright="1"/>
                            </wps:wsp>
                            <wps:wsp>
                              <wps:cNvPr id="59" name="矩形 59"/>
                              <wps:cNvSpPr/>
                              <wps:spPr>
                                <a:xfrm>
                                  <a:off x="3749266" y="2284182"/>
                                  <a:ext cx="682223" cy="305513"/>
                                </a:xfrm>
                                <a:prstGeom prst="rect">
                                  <a:avLst/>
                                </a:prstGeom>
                                <a:noFill/>
                                <a:ln>
                                  <a:noFill/>
                                </a:ln>
                              </wps:spPr>
                              <wps:txbx>
                                <w:txbxContent>
                                  <w:p>
                                    <w:r>
                                      <w:t>0.</w:t>
                                    </w:r>
                                    <w:r>
                                      <w:rPr>
                                        <w:rFonts w:hint="eastAsia"/>
                                      </w:rPr>
                                      <w:t>0009</w:t>
                                    </w:r>
                                  </w:p>
                                </w:txbxContent>
                              </wps:txbx>
                              <wps:bodyPr upright="1"/>
                            </wps:wsp>
                            <wps:wsp>
                              <wps:cNvPr id="60" name="直接箭头连接符 60"/>
                              <wps:cNvCnPr/>
                              <wps:spPr>
                                <a:xfrm flipV="1">
                                  <a:off x="3788739" y="2496790"/>
                                  <a:ext cx="496701" cy="2555"/>
                                </a:xfrm>
                                <a:prstGeom prst="straightConnector1">
                                  <a:avLst/>
                                </a:prstGeom>
                                <a:ln w="9525" cap="flat" cmpd="sng">
                                  <a:solidFill>
                                    <a:srgbClr val="000000"/>
                                  </a:solidFill>
                                  <a:prstDash val="solid"/>
                                  <a:headEnd type="none" w="med" len="med"/>
                                  <a:tailEnd type="triangle" w="med" len="med"/>
                                </a:ln>
                              </wps:spPr>
                              <wps:bodyPr/>
                            </wps:wsp>
                            <wps:wsp>
                              <wps:cNvPr id="61" name="直接箭头连接符 61"/>
                              <wps:cNvCnPr/>
                              <wps:spPr>
                                <a:xfrm flipV="1">
                                  <a:off x="3788739" y="1967820"/>
                                  <a:ext cx="494069" cy="4472"/>
                                </a:xfrm>
                                <a:prstGeom prst="straightConnector1">
                                  <a:avLst/>
                                </a:prstGeom>
                                <a:ln w="9525" cap="flat" cmpd="sng">
                                  <a:solidFill>
                                    <a:srgbClr val="000000"/>
                                  </a:solidFill>
                                  <a:prstDash val="solid"/>
                                  <a:headEnd type="none" w="med" len="med"/>
                                  <a:tailEnd type="triangle" w="med" len="med"/>
                                </a:ln>
                              </wps:spPr>
                              <wps:bodyPr/>
                            </wps:wsp>
                            <wps:wsp>
                              <wps:cNvPr id="62" name="矩形 62"/>
                              <wps:cNvSpPr/>
                              <wps:spPr>
                                <a:xfrm>
                                  <a:off x="2377584" y="2484013"/>
                                  <a:ext cx="599987" cy="265763"/>
                                </a:xfrm>
                                <a:prstGeom prst="rect">
                                  <a:avLst/>
                                </a:prstGeom>
                                <a:noFill/>
                                <a:ln>
                                  <a:noFill/>
                                </a:ln>
                              </wps:spPr>
                              <wps:txbx>
                                <w:txbxContent>
                                  <w:p>
                                    <w:r>
                                      <w:rPr>
                                        <w:rFonts w:hint="eastAsia"/>
                                      </w:rPr>
                                      <w:t>纯水</w:t>
                                    </w:r>
                                  </w:p>
                                </w:txbxContent>
                              </wps:txbx>
                              <wps:bodyPr upright="1"/>
                            </wps:wsp>
                            <wps:wsp>
                              <wps:cNvPr id="63" name="矩形 63"/>
                              <wps:cNvSpPr/>
                              <wps:spPr>
                                <a:xfrm>
                                  <a:off x="0" y="1633700"/>
                                  <a:ext cx="557883" cy="318148"/>
                                </a:xfrm>
                                <a:prstGeom prst="rect">
                                  <a:avLst/>
                                </a:prstGeom>
                                <a:noFill/>
                                <a:ln>
                                  <a:noFill/>
                                </a:ln>
                              </wps:spPr>
                              <wps:txbx>
                                <w:txbxContent>
                                  <w:p>
                                    <w:r>
                                      <w:t>0.</w:t>
                                    </w:r>
                                    <w:r>
                                      <w:rPr>
                                        <w:rFonts w:hint="eastAsia"/>
                                      </w:rPr>
                                      <w:t>711</w:t>
                                    </w:r>
                                  </w:p>
                                </w:txbxContent>
                              </wps:txbx>
                              <wps:bodyPr upright="1"/>
                            </wps:wsp>
                            <wps:wsp>
                              <wps:cNvPr id="65" name="直接箭头连接符 65"/>
                              <wps:cNvCnPr/>
                              <wps:spPr>
                                <a:xfrm flipV="1">
                                  <a:off x="3801695" y="962077"/>
                                  <a:ext cx="494030" cy="4445"/>
                                </a:xfrm>
                                <a:prstGeom prst="straightConnector1">
                                  <a:avLst/>
                                </a:prstGeom>
                                <a:ln w="9525" cap="flat" cmpd="sng">
                                  <a:solidFill>
                                    <a:srgbClr val="000000"/>
                                  </a:solidFill>
                                  <a:prstDash val="solid"/>
                                  <a:headEnd type="none" w="med" len="med"/>
                                  <a:tailEnd type="triangle" w="med" len="med"/>
                                </a:ln>
                              </wps:spPr>
                              <wps:bodyPr/>
                            </wps:wsp>
                            <wps:wsp>
                              <wps:cNvPr id="69" name="文本框 69"/>
                              <wps:cNvSpPr txBox="1"/>
                              <wps:spPr>
                                <a:xfrm>
                                  <a:off x="4375785" y="2803439"/>
                                  <a:ext cx="450850" cy="84168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pPr>
                                    <w:r>
                                      <w:rPr>
                                        <w:rFonts w:hint="eastAsia"/>
                                      </w:rPr>
                                      <w:t>园</w:t>
                                    </w:r>
                                  </w:p>
                                  <w:p>
                                    <w:pPr>
                                      <w:spacing w:line="240" w:lineRule="exact"/>
                                      <w:jc w:val="center"/>
                                    </w:pPr>
                                    <w:r>
                                      <w:rPr>
                                        <w:rFonts w:hint="eastAsia"/>
                                      </w:rPr>
                                      <w:t>区</w:t>
                                    </w:r>
                                  </w:p>
                                  <w:p>
                                    <w:pPr>
                                      <w:spacing w:line="240" w:lineRule="exact"/>
                                      <w:jc w:val="center"/>
                                    </w:pPr>
                                    <w:r>
                                      <w:rPr>
                                        <w:rFonts w:hint="eastAsia"/>
                                      </w:rPr>
                                      <w:t>化</w:t>
                                    </w:r>
                                  </w:p>
                                  <w:p>
                                    <w:pPr>
                                      <w:spacing w:line="240" w:lineRule="exact"/>
                                      <w:jc w:val="center"/>
                                    </w:pPr>
                                    <w:r>
                                      <w:rPr>
                                        <w:rFonts w:hint="eastAsia"/>
                                      </w:rPr>
                                      <w:t>粪</w:t>
                                    </w:r>
                                  </w:p>
                                  <w:p>
                                    <w:pPr>
                                      <w:spacing w:line="240" w:lineRule="exact"/>
                                      <w:jc w:val="center"/>
                                    </w:pPr>
                                    <w:r>
                                      <w:rPr>
                                        <w:rFonts w:hint="eastAsia"/>
                                      </w:rPr>
                                      <w:t>池</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直接连接符 71"/>
                              <wps:cNvCnPr/>
                              <wps:spPr>
                                <a:xfrm>
                                  <a:off x="4600275" y="2557210"/>
                                  <a:ext cx="0" cy="250979"/>
                                </a:xfrm>
                                <a:prstGeom prst="line">
                                  <a:avLst/>
                                </a:prstGeom>
                                <a:ln w="9525" cap="flat" cmpd="sng">
                                  <a:solidFill>
                                    <a:srgbClr val="000000"/>
                                  </a:solidFill>
                                  <a:prstDash val="solid"/>
                                  <a:headEnd type="none" w="med" len="med"/>
                                  <a:tailEnd type="triangle" w="med" len="med"/>
                                </a:ln>
                              </wps:spPr>
                              <wps:bodyPr/>
                            </wps:wsp>
                            <wps:wsp>
                              <wps:cNvPr id="771335666" name="直接箭头连接符 771335666"/>
                              <wps:cNvCnPr/>
                              <wps:spPr>
                                <a:xfrm flipV="1">
                                  <a:off x="3181440" y="1181962"/>
                                  <a:ext cx="147366" cy="127132"/>
                                </a:xfrm>
                                <a:prstGeom prst="straightConnector1">
                                  <a:avLst/>
                                </a:prstGeom>
                                <a:ln w="9525" cap="sq" cmpd="sng">
                                  <a:solidFill>
                                    <a:srgbClr val="000000"/>
                                  </a:solidFill>
                                  <a:prstDash val="sysDot"/>
                                  <a:headEnd type="none" w="med" len="med"/>
                                  <a:tailEnd type="arrow" w="med" len="med"/>
                                </a:ln>
                              </wps:spPr>
                              <wps:bodyPr/>
                            </wps:wsp>
                            <wps:wsp>
                              <wps:cNvPr id="1759356999" name="矩形 1759356999"/>
                              <wps:cNvSpPr/>
                              <wps:spPr>
                                <a:xfrm>
                                  <a:off x="3312359" y="1094550"/>
                                  <a:ext cx="561173" cy="238819"/>
                                </a:xfrm>
                                <a:prstGeom prst="rect">
                                  <a:avLst/>
                                </a:prstGeom>
                                <a:noFill/>
                                <a:ln>
                                  <a:noFill/>
                                </a:ln>
                              </wps:spPr>
                              <wps:txbx>
                                <w:txbxContent>
                                  <w:p>
                                    <w:r>
                                      <w:t>0.</w:t>
                                    </w:r>
                                    <w:r>
                                      <w:rPr>
                                        <w:rFonts w:hint="eastAsia"/>
                                      </w:rPr>
                                      <w:t>00</w:t>
                                    </w:r>
                                    <w:r>
                                      <w:t>8</w:t>
                                    </w:r>
                                  </w:p>
                                </w:txbxContent>
                              </wps:txbx>
                              <wps:bodyPr upright="1"/>
                            </wps:wsp>
                            <wps:wsp>
                              <wps:cNvPr id="168345953" name="直接箭头连接符 168345953"/>
                              <wps:cNvCnPr/>
                              <wps:spPr>
                                <a:xfrm flipV="1">
                                  <a:off x="1519943" y="108912"/>
                                  <a:ext cx="147366" cy="127132"/>
                                </a:xfrm>
                                <a:prstGeom prst="straightConnector1">
                                  <a:avLst/>
                                </a:prstGeom>
                                <a:ln w="9525" cap="sq" cmpd="sng">
                                  <a:solidFill>
                                    <a:srgbClr val="000000"/>
                                  </a:solidFill>
                                  <a:prstDash val="sysDot"/>
                                  <a:headEnd type="none" w="med" len="med"/>
                                  <a:tailEnd type="arrow" w="med" len="med"/>
                                </a:ln>
                              </wps:spPr>
                              <wps:bodyPr/>
                            </wps:wsp>
                            <wps:wsp>
                              <wps:cNvPr id="1843842925" name="矩形 1843842925"/>
                              <wps:cNvSpPr/>
                              <wps:spPr>
                                <a:xfrm>
                                  <a:off x="1650862" y="21500"/>
                                  <a:ext cx="561173" cy="238819"/>
                                </a:xfrm>
                                <a:prstGeom prst="rect">
                                  <a:avLst/>
                                </a:prstGeom>
                                <a:noFill/>
                                <a:ln>
                                  <a:noFill/>
                                </a:ln>
                              </wps:spPr>
                              <wps:txbx>
                                <w:txbxContent>
                                  <w:p>
                                    <w:r>
                                      <w:t>0.</w:t>
                                    </w:r>
                                    <w:r>
                                      <w:rPr>
                                        <w:rFonts w:hint="eastAsia"/>
                                      </w:rPr>
                                      <w:t>00</w:t>
                                    </w:r>
                                    <w:r>
                                      <w:t>5</w:t>
                                    </w:r>
                                  </w:p>
                                </w:txbxContent>
                              </wps:txbx>
                              <wps:bodyPr upright="1"/>
                            </wps:wsp>
                          </wpc:wpc>
                        </a:graphicData>
                      </a:graphic>
                    </wp:inline>
                  </w:drawing>
                </mc:Choice>
                <mc:Fallback>
                  <w:pict>
                    <v:group id="_x0000_s1026" o:spid="_x0000_s1026" o:spt="203" style="height:334.9pt;width:397.3pt;" coordsize="5045710,4253230" editas="canvas"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">
                      <o:lock v:ext="edit" aspectratio="f"/>
                      <v:shape id="_x0000_s1026" o:spid="_x0000_s1026" style="position:absolute;left:0;top:0;height:4253230;width:5045710;"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">
                        <v:fill on="f" focussize="0,0"/>
                        <v:stroke on="f"/>
                        <v:imagedata o:title=""/>
                        <o:lock v:ext="edit" aspectratio="f"/>
                      </v:shape>
                      <v:rect id="_x0000_s1026" o:spid="_x0000_s1026" o:spt="1" style="position:absolute;left:4287171;top:624689;height:594103;width:642438;" fillcolor="#FFFFFF" filled="t" stroked="f" coordsize="21600,21600" o:gfxdata="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E56SZ1AAAAAUBAAAPAAAAAAAAAAEAIAAAACIAAABkcnMvZG93bnJldi54bWxQ&#10;SwECFAAUAAAACACHTuJAP3GA5sIBAAB0AwAADgAAAAAAAAABACAAAAAjAQAAZHJzL2Uyb0RvYy54&#10;bWxQSwUGAAAAAAYABgBZAQAAVwUAAAAA&#10;">
                        <v:fill on="t" focussize="0,0"/>
                        <v:stroke on="f"/>
                        <v:imagedata o:title=""/>
                        <o:lock v:ext="edit" aspectratio="f"/>
                        <v:textbox>
                          <w:txbxContent>
                            <w:p>
                              <w:pPr>
                                <w:jc w:val="center"/>
                              </w:pPr>
                              <w:r>
                                <w:rPr>
                                  <w:rFonts w:hint="eastAsia"/>
                                  <w:color w:val="000000"/>
                                  <w:szCs w:val="21"/>
                                </w:rPr>
                                <w:t>交有资质单位处置</w:t>
                              </w:r>
                            </w:p>
                          </w:txbxContent>
                        </v:textbox>
                      </v:rect>
                      <v:rect id="_x0000_s1026" o:spid="_x0000_s1026" o:spt="1" style="position:absolute;left:914455;top:248028;height:293233;width:1317079;" fillcolor="#FFFFFF" filled="t" stroked="t" coordsize="21600,21600" o:gfxdata="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4ea8fVAAAABQEAAA8AAAAAAAAAAQAgAAAA&#10;IgAAAGRycy9kb3ducmV2LnhtbFBLAQIUABQAAAAIAIdO4kCsG+ZnDgIAADMEAAAOAAAAAAAAAAEA&#10;IAAAACQBAABkcnMvZTJvRG9jLnhtbFBLBQYAAAAABgAGAFkBAACkBQAAAAA=&#10;">
                        <v:fill on="t" focussize="0,0"/>
                        <v:stroke color="#000000" joinstyle="miter"/>
                        <v:imagedata o:title=""/>
                        <o:lock v:ext="edit" aspectratio="f"/>
                        <v:textbox>
                          <w:txbxContent>
                            <w:p>
                              <w:r>
                                <w:rPr>
                                  <w:rFonts w:hint="eastAsia"/>
                                </w:rPr>
                                <w:t>配置、稀释溶液用水</w:t>
                              </w:r>
                            </w:p>
                          </w:txbxContent>
                        </v:textbox>
                      </v:rect>
                      <v:rect id="_x0000_s1026" o:spid="_x0000_s1026" o:spt="1" style="position:absolute;left:0;top:1896269;height:263679;width:644084;" filled="f" stroked="f" coordsize="21600,21600" o:gfxdata="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K8gjXWAAAABQEAAA8AAAAAAAAAAQAgAAAAIgAAAGRycy9kb3ducmV2LnhtbFBLAQIU&#10;ABQAAAAIAIdO4kDtL2mDvAEAAHIDAAAOAAAAAAAAAAEAIAAAACUBAABkcnMvZTJvRG9jLnhtbFBL&#10;BQYAAAAABgAGAFkBAABTBQAAAAA=&#10;">
                        <v:fill on="f" focussize="0,0"/>
                        <v:stroke on="f"/>
                        <v:imagedata o:title=""/>
                        <o:lock v:ext="edit" aspectratio="f"/>
                        <v:textbox inset="0mm,1.27mm,0mm,1.27mm">
                          <w:txbxContent>
                            <w:p>
                              <w:r>
                                <w:rPr>
                                  <w:rFonts w:hint="eastAsia"/>
                                </w:rPr>
                                <w:t>新鲜水</w:t>
                              </w:r>
                            </w:p>
                          </w:txbxContent>
                        </v:textbox>
                      </v:rect>
                      <v:line id="_x0000_s1026" o:spid="_x0000_s1026" o:spt="20" style="position:absolute;left:444070;top:402630;height:3219819;width:23684;" filled="f" stroked="t" coordsize="21600,21600" o:gfxdata="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XpPbdUAAAAFAQAADwAAAAAAAAABACAAAAAiAAAAZHJzL2Rvd25yZXYueG1s&#10;UEsBAhQAFAAAAAgAh07iQDkDYPX7AQAA5gMAAA4AAAAAAAAAAQAgAAAAJAEAAGRycy9lMm9Eb2Mu&#10;eG1sUEsFBgAAAAAGAAYAWQEAAJEFAAAAAA==&#10;">
                        <v:fill on="f" focussize="0,0"/>
                        <v:stroke color="#000000" joinstyle="round"/>
                        <v:imagedata o:title=""/>
                        <o:lock v:ext="edit" aspectratio="f"/>
                      </v:line>
                      <v:line id="_x0000_s1026" o:spid="_x0000_s1026" o:spt="20" style="position:absolute;left:0;top:1871992;height:639;width:440781;" filled="f" stroked="t" coordsize="21600,21600" o:gfxdata="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1ek9t1QAAAAUBAAAPAAAAAAAAAAEAIAAAACIAAABkcnMvZG93bnJldi54bWxQSwECFAAU&#10;AAAACACHTuJAdhDGm/QBAADfAwAADgAAAAAAAAABACAAAAAkAQAAZHJzL2Uyb0RvYy54bWxQSwUG&#10;AAAAAAYABgBZAQAAigUAAAAA&#10;">
                        <v:fill on="f" focussize="0,0"/>
                        <v:stroke color="#000000" joinstyle="round"/>
                        <v:imagedata o:title=""/>
                        <o:lock v:ext="edit" aspectratio="f"/>
                      </v:line>
                      <v:line id="_x0000_s1026" o:spid="_x0000_s1026" o:spt="20" style="position:absolute;left:457228;top:3616060;height:639;width:429596;" filled="f" stroked="t" coordsize="21600,21600" o:gfxdata="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g7sDdcAAAAFAQAADwAAAAAAAAABACAAAAAiAAAAZHJzL2Rv&#10;d25yZXYueG1sUEsBAhQAFAAAAAgAh07iQK67iOoCAgAA6AMAAA4AAAAAAAAAAQAgAAAAJgEAAGRy&#10;cy9lMm9Eb2MueG1sUEsFBgAAAAAGAAYAWQEAAJoFAAAAAA==&#10;">
                        <v:fill on="f" focussize="0,0"/>
                        <v:stroke color="#000000" joinstyle="round" endarrow="block"/>
                        <v:imagedata o:title=""/>
                        <o:lock v:ext="edit" aspectratio="f"/>
                      </v:line>
                      <v:rect id="_x0000_s1026" o:spid="_x0000_s1026" o:spt="1" style="position:absolute;left:901298;top:3472957;height:293234;width:785510;" fillcolor="#FFFFFF" filled="t" stroked="t" coordsize="21600,21600" o:gfxdata="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h5rx9UAAAAFAQAADwAAAAAAAAABACAAAAAi&#10;AAAAZHJzL2Rvd25yZXYueG1sUEsBAhQAFAAAAAgAh07iQH59M8cNAgAANQQAAA4AAAAAAAAAAQAg&#10;AAAAJAEAAGRycy9lMm9Eb2MueG1sUEsFBgAAAAAGAAYAWQEAAKMFAAAAAA==&#10;">
                        <v:fill on="t" focussize="0,0"/>
                        <v:stroke color="#000000" joinstyle="miter"/>
                        <v:imagedata o:title=""/>
                        <o:lock v:ext="edit" aspectratio="f"/>
                        <v:textbox>
                          <w:txbxContent>
                            <w:p>
                              <w:r>
                                <w:rPr>
                                  <w:rFonts w:hint="eastAsia"/>
                                </w:rPr>
                                <w:t>生活用水</w:t>
                              </w:r>
                            </w:p>
                          </w:txbxContent>
                        </v:textbox>
                      </v:rect>
                      <v:rect id="_x0000_s1026" o:spid="_x0000_s1026" o:spt="1" style="position:absolute;left:470385;top:1487440;height:427845;width:542095;"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t+cRLXAAAA&#10;BQEAAA8AAAAAAAAAAQAgAAAAIgAAAGRycy9kb3ducmV2LnhtbFBLAQIUABQAAAAIAIdO4kAzbCp/&#10;rAEAAE0DAAAOAAAAAAAAAAEAIAAAACYBAABkcnMvZTJvRG9jLnhtbFBLBQYAAAAABgAGAFkBAABE&#10;BQAAAAA=&#10;">
                        <v:fill on="f" focussize="0,0"/>
                        <v:stroke on="f"/>
                        <v:imagedata o:title=""/>
                        <o:lock v:ext="edit" aspectratio="f"/>
                        <v:textbox>
                          <w:txbxContent>
                            <w:p>
                              <w:r>
                                <w:t>0.</w:t>
                              </w:r>
                              <w:r>
                                <w:rPr>
                                  <w:rFonts w:hint="eastAsia"/>
                                </w:rPr>
                                <w:t>102</w:t>
                              </w:r>
                            </w:p>
                          </w:txbxContent>
                        </v:textbox>
                      </v:rect>
                      <v:rect id="_x0000_s1026" o:spid="_x0000_s1026" o:spt="1" style="position:absolute;left:430912;top:171366;height:242125;width:517095;"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LfnES1wAA&#10;AAUBAAAPAAAAAAAAAAEAIAAAACIAAABkcnMvZG93bnJldi54bWxQSwECFAAUAAAACACHTuJAGK6M&#10;Fa0BAABMAwAADgAAAAAAAAABACAAAAAmAQAAZHJzL2Uyb0RvYy54bWxQSwUGAAAAAAYABgBZAQAA&#10;RQUAAAAA&#10;">
                        <v:fill on="f" focussize="0,0"/>
                        <v:stroke on="f"/>
                        <v:imagedata o:title=""/>
                        <o:lock v:ext="edit" aspectratio="f"/>
                        <v:textbox>
                          <w:txbxContent>
                            <w:p>
                              <w:r>
                                <w:rPr>
                                  <w:rFonts w:hint="eastAsia"/>
                                </w:rPr>
                                <w:t>0.005</w:t>
                              </w:r>
                            </w:p>
                          </w:txbxContent>
                        </v:textbox>
                      </v:rect>
                      <v:rect id="_x0000_s1026" o:spid="_x0000_s1026" o:spt="1" style="position:absolute;left:927613;top:1446516;height:465724;width:1045373;" fillcolor="#FFFFFF" filled="t" stroked="t" coordsize="21600,21600" o:gfxdata="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4ea8fVAAAABQEAAA8AAAAAAAAAAQAgAAAAIgAA&#10;AGRycy9kb3ducmV2LnhtbFBLAQIUABQAAAAIAIdO4kCLYSkrCwIAADYEAAAOAAAAAAAAAAEAIAAA&#10;ACQBAABkcnMvZTJvRG9jLnhtbFBLBQYAAAAABgAGAFkBAAChBQAAAAA=&#10;">
                        <v:fill on="t" focussize="0,0"/>
                        <v:stroke color="#000000" joinstyle="miter"/>
                        <v:imagedata o:title=""/>
                        <o:lock v:ext="edit" aspectratio="f"/>
                        <v:textbox>
                          <w:txbxContent>
                            <w:p>
                              <w:r>
                                <w:rPr>
                                  <w:rFonts w:hint="eastAsia"/>
                                </w:rPr>
                                <w:t>实验器具清洗用水</w:t>
                              </w:r>
                            </w:p>
                          </w:txbxContent>
                        </v:textbox>
                      </v:rect>
                      <v:line id="_x0000_s1026" o:spid="_x0000_s1026" o:spt="20" style="position:absolute;left:457228;top:1716112;height:7027;width:492753;" filled="f" stroked="t" coordsize="21600,21600" o:gfxdata="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g7sDdcAAAAFAQAADwAAAAAAAAABACAAAAAiAAAAZHJzL2Rv&#10;d25yZXYueG1sUEsBAhQAFAAAAAgAh07iQIR6ZnECAgAA6wMAAA4AAAAAAAAAAQAgAAAAJgEAAGRy&#10;cy9lMm9Eb2MueG1sUEsFBgAAAAAGAAYAWQEAAJoFAAAAAA==&#10;">
                        <v:fill on="f" focussize="0,0"/>
                        <v:stroke color="#000000" joinstyle="round" endarrow="block"/>
                        <v:imagedata o:title=""/>
                        <o:lock v:ext="edit" aspectratio="f"/>
                      </v:line>
                      <v:rect id="_x0000_s1026" o:spid="_x0000_s1026" o:spt="1" style="position:absolute;left:483543;top:3371225;height:472848;width:505253;"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35x&#10;EtcAAAAFAQAADwAAAAAAAAABACAAAAAiAAAAZHJzL2Rvd25yZXYueG1sUEsBAhQAFAAAAAgAh07i&#10;QH5PNMuxAQAATQMAAA4AAAAAAAAAAQAgAAAAJgEAAGRycy9lMm9Eb2MueG1sUEsFBgAAAAAGAAYA&#10;WQEAAEkFAAAAAA==&#10;">
                        <v:fill on="f" focussize="0,0"/>
                        <v:stroke on="f"/>
                        <v:imagedata o:title=""/>
                        <o:lock v:ext="edit" aspectratio="f"/>
                        <v:textbox>
                          <w:txbxContent>
                            <w:p>
                              <w:r>
                                <w:t>0.</w:t>
                              </w:r>
                              <w:r>
                                <w:rPr>
                                  <w:rFonts w:hint="eastAsia"/>
                                </w:rPr>
                                <w:t>54</w:t>
                              </w:r>
                            </w:p>
                          </w:txbxContent>
                        </v:textbox>
                      </v:rect>
                      <v:rect id="_x0000_s1026" o:spid="_x0000_s1026" o:spt="1" style="position:absolute;left:2730208;top:2717833;height:241486;width:651960;"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t+cRLX&#10;AAAABQEAAA8AAAAAAAAAAQAgAAAAIgAAAGRycy9kb3ducmV2LnhtbFBLAQIUABQAAAAIAIdO4kBg&#10;V25zrwEAAE4DAAAOAAAAAAAAAAEAIAAAACYBAABkcnMvZTJvRG9jLnhtbFBLBQYAAAAABgAGAFkB&#10;AABHBQAAAAA=&#10;">
                        <v:fill on="f" focussize="0,0"/>
                        <v:stroke on="f"/>
                        <v:imagedata o:title=""/>
                        <o:lock v:ext="edit" aspectratio="f"/>
                        <v:textbox>
                          <w:txbxContent>
                            <w:p>
                              <w:r>
                                <w:rPr>
                                  <w:rFonts w:hint="eastAsia"/>
                                </w:rPr>
                                <w:t>0.051</w:t>
                              </w:r>
                            </w:p>
                          </w:txbxContent>
                        </v:textbox>
                      </v:rect>
                      <v:shape id="_x0000_s1026" o:spid="_x0000_s1026" o:spt="32" type="#_x0000_t32" style="position:absolute;left:1123662;top:3299189;flip:y;height:176962;width:208548;" filled="f" stroked="t" coordsize="21600,21600" o:gfxdata="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3g0SvUAAAABQEA&#10;AA8AAAAAAAAAAQAgAAAAIgAAAGRycy9kb3ducmV2LnhtbFBLAQIUABQAAAAIAIdO4kAIpGUAHgIA&#10;AAgEAAAOAAAAAAAAAAEAIAAAACMBAABkcnMvZTJvRG9jLnhtbFBLBQYAAAAABgAGAFkBAACzBQAA&#10;AAA=&#10;">
                        <v:fill on="f" focussize="0,0"/>
                        <v:stroke color="#000000" joinstyle="round" dashstyle="1 1" endcap="square" endarrow="open"/>
                        <v:imagedata o:title=""/>
                        <o:lock v:ext="edit" aspectratio="f"/>
                      </v:shape>
                      <v:rect id="_x0000_s1026" o:spid="_x0000_s1026" o:spt="1" style="position:absolute;left:1306553;top:3157619;height:242129;width:672354;"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t+&#10;cRLXAAAABQEAAA8AAAAAAAAAAQAgAAAAIgAAAGRycy9kb3ducmV2LnhtbFBLAQIUABQAAAAIAIdO&#10;4kBG4ylzsgEAAE4DAAAOAAAAAAAAAAEAIAAAACYBAABkcnMvZTJvRG9jLnhtbFBLBQYAAAAABgAG&#10;AFkBAABKBQAAAAA=&#10;">
                        <v:fill on="f" focussize="0,0"/>
                        <v:stroke on="f"/>
                        <v:imagedata o:title=""/>
                        <o:lock v:ext="edit" aspectratio="f"/>
                        <v:textbox>
                          <w:txbxContent>
                            <w:p>
                              <w:r>
                                <w:rPr>
                                  <w:rFonts w:hint="eastAsia"/>
                                </w:rPr>
                                <w:t>0.11</w:t>
                              </w:r>
                            </w:p>
                          </w:txbxContent>
                        </v:textbox>
                      </v:rect>
                      <v:line id="_x0000_s1026" o:spid="_x0000_s1026" o:spt="20" style="position:absolute;left:1685492;top:3559841;flip:y;height:16610;width:2637447;" filled="f" stroked="t" coordsize="21600,21600" o:gfxdata="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mZ5XtcAAAAFAQAADwAAAAAAAAAB&#10;ACAAAAAiAAAAZHJzL2Rvd25yZXYueG1sUEsBAhQAFAAAAAgAh07iQA9H+BMRAgAA+AMAAA4AAAAA&#10;AAAAAQAgAAAAJgEAAGRycy9lMm9Eb2MueG1sUEsFBgAAAAAGAAYAWQEAAKkFAAAAAA==&#10;">
                        <v:fill on="f" focussize="0,0"/>
                        <v:stroke color="#000000" joinstyle="round" endarrow="block"/>
                        <v:imagedata o:title=""/>
                        <o:lock v:ext="edit" aspectratio="f"/>
                      </v:line>
                      <v:rect id="_x0000_s1026" o:spid="_x0000_s1026" o:spt="1" style="position:absolute;left:4081962;top:3820599;height:419232;width:923925;" fillcolor="#FFFFFF" filled="t" stroked="f" coordsize="21600,21600" o:gfxdata="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OekmdQAAAAFAQAADwAAAAAAAAABACAAAAAiAAAAZHJzL2Rvd25yZXYueG1s&#10;UEsBAhQAFAAAAAgAh07iQJoYfq3DAQAAdwMAAA4AAAAAAAAAAQAgAAAAIwEAAGRycy9lMm9Eb2Mu&#10;eG1sUEsFBgAAAAAGAAYAWQEAAFgFAAAAAA==&#10;">
                        <v:fill on="t" focussize="0,0"/>
                        <v:stroke on="f"/>
                        <v:imagedata o:title=""/>
                        <o:lock v:ext="edit" aspectratio="f"/>
                        <v:textbox>
                          <w:txbxContent>
                            <w:p>
                              <w:r>
                                <w:rPr>
                                  <w:rFonts w:hint="eastAsia"/>
                                  <w:color w:val="000000"/>
                                  <w:szCs w:val="21"/>
                                </w:rPr>
                                <w:t>西安市第九污水处理厂</w:t>
                              </w:r>
                            </w:p>
                          </w:txbxContent>
                        </v:textbox>
                      </v:rect>
                      <v:rect id="_x0000_s1026" o:spid="_x0000_s1026" o:spt="1" style="position:absolute;left:2756523;top:3335096;height:348614;width:623014;"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LfnES&#10;1wAAAAUBAAAPAAAAAAAAAAEAIAAAACIAAABkcnMvZG93bnJldi54bWxQSwECFAAUAAAACACHTuJA&#10;oTrHWLABAABOAwAADgAAAAAAAAABACAAAAAmAQAAZHJzL2Uyb0RvYy54bWxQSwUGAAAAAAYABgBZ&#10;AQAASAUAAAAA&#10;">
                        <v:fill on="f" focussize="0,0"/>
                        <v:stroke on="f"/>
                        <v:imagedata o:title=""/>
                        <o:lock v:ext="edit" aspectratio="f"/>
                        <v:textbox>
                          <w:txbxContent>
                            <w:p>
                              <w:r>
                                <w:rPr>
                                  <w:rFonts w:hint="eastAsia"/>
                                </w:rPr>
                                <w:t>0.43</w:t>
                              </w:r>
                            </w:p>
                          </w:txbxContent>
                        </v:textbox>
                      </v:rect>
                      <v:line id="_x0000_s1026" o:spid="_x0000_s1026" o:spt="20" style="position:absolute;left:1972329;top:1704612;flip:y;height:639;width:417754;" filled="f" stroked="t" coordsize="21600,21600" o:gfxdata="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mZ5XtcAAAAFAQAADwAAAAAAAAABACAAAAAi&#10;AAAAZHJzL2Rvd25yZXYueG1sUEsBAhQAFAAAAAgAh07iQCb66/cLAgAA9QMAAA4AAAAAAAAAAQAg&#10;AAAAJgEAAGRycy9lMm9Eb2MueG1sUEsFBgAAAAAGAAYAWQEAAKMFAAAAAA==&#10;">
                        <v:fill on="f" focussize="0,0"/>
                        <v:stroke color="#000000" joinstyle="round" endarrow="block"/>
                        <v:imagedata o:title=""/>
                        <o:lock v:ext="edit" aspectratio="f"/>
                      </v:line>
                      <v:line id="_x0000_s1026" o:spid="_x0000_s1026" o:spt="20" style="position:absolute;left:2417056;top:925212;flip:x;height:1581161;width:1316;" filled="f" stroked="t" coordsize="21600,21600" o:gfxdata="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5TEDD1QAAAAUBAAAPAAAAAAAAAAEAIAAAACIAAABkcnMvZG93&#10;bnJldi54bWxQSwECFAAUAAAACACHTuJAxMnjaQMCAADyAwAADgAAAAAAAAABACAAAAAkAQAAZHJz&#10;L2Uyb0RvYy54bWxQSwUGAAAAAAYABgBZAQAAmQUAAAAA&#10;">
                        <v:fill on="f" focussize="0,0"/>
                        <v:stroke color="#000000" joinstyle="round"/>
                        <v:imagedata o:title=""/>
                        <o:lock v:ext="edit" aspectratio="f"/>
                      </v:line>
                      <v:line id="_x0000_s1026" o:spid="_x0000_s1026" o:spt="20" style="position:absolute;left:2429556;top:923295;flip:y;height:0;width:342756;" filled="f" stroked="t" coordsize="21600,21600" o:gfxdata="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Znle1wAAAAUBAAAPAAAAAAAAAAEAIAAAACIAAABk&#10;cnMvZG93bnJldi54bWxQSwECFAAUAAAACACHTuJAU0nkLAcCAADyAwAADgAAAAAAAAABACAAAAAm&#10;AQAAZHJzL2Uyb0RvYy54bWxQSwUGAAAAAAYABgBZAQAAnwUAAAAA&#10;">
                        <v:fill on="f" focussize="0,0"/>
                        <v:stroke color="#000000" joinstyle="round" endarrow="block"/>
                        <v:imagedata o:title=""/>
                        <o:lock v:ext="edit" aspectratio="f"/>
                      </v:line>
                      <v:line id="_x0000_s1026" o:spid="_x0000_s1026" o:spt="20" style="position:absolute;left:2429556;top:1486125;flip:y;height:0;width:342756;" filled="f" stroked="t" coordsize="21600,21600" o:gfxdata="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mZ5XtcAAAAFAQAADwAAAAAAAAABACAAAAAiAAAA&#10;ZHJzL2Rvd25yZXYueG1sUEsBAhQAFAAAAAgAh07iQLwtNoIIAgAA8wMAAA4AAAAAAAAAAQAgAAAA&#10;JgEAAGRycy9lMm9Eb2MueG1sUEsFBgAAAAAGAAYAWQEAAKAFAAAAAA==&#10;">
                        <v:fill on="f" focussize="0,0"/>
                        <v:stroke color="#000000" joinstyle="round" endarrow="block"/>
                        <v:imagedata o:title=""/>
                        <o:lock v:ext="edit" aspectratio="f"/>
                      </v:line>
                      <v:rect id="_x0000_s1026" o:spid="_x0000_s1026" o:spt="1" style="position:absolute;left:2743367;top:1323856;height:291956;width:1043400;" fillcolor="#FFFFFF" filled="t" stroked="t" coordsize="21600,21600" o:gfxdata="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HmvH1QAAAAUBAAAPAAAAAAAAAAEA&#10;IAAAACIAAABkcnMvZG93bnJldi54bWxQSwECFAAUAAAACACHTuJA5p9trxICAAA3BAAADgAAAAAA&#10;AAABACAAAAAkAQAAZHJzL2Uyb0RvYy54bWxQSwUGAAAAAAYABgBZAQAAqAUAAAAA&#10;">
                        <v:fill on="t" focussize="0,0"/>
                        <v:stroke color="#000000" joinstyle="miter"/>
                        <v:imagedata o:title=""/>
                        <o:lock v:ext="edit" aspectratio="f"/>
                        <v:textbox>
                          <w:txbxContent>
                            <w:p>
                              <w:r>
                                <w:rPr>
                                  <w:rFonts w:hint="eastAsia"/>
                                  <w:spacing w:val="-20"/>
                                </w:rPr>
                                <w:t>第2次清洗用水</w:t>
                              </w:r>
                            </w:p>
                          </w:txbxContent>
                        </v:textbox>
                      </v:rect>
                      <v:rect id="_x0000_s1026" o:spid="_x0000_s1026" o:spt="1" style="position:absolute;left:2756523;top:1827272;height:292595;width:1042084;" fillcolor="#FFFFFF" filled="t" stroked="t" coordsize="21600,21600" o:gfxdata="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HmvH1QAAAAUBAAAPAAAAAAAAAAEAIAAA&#10;ACIAAABkcnMvZG93bnJldi54bWxQSwECFAAUAAAACACHTuJA5dZdCQ8CAAA3BAAADgAAAAAAAAAB&#10;ACAAAAAkAQAAZHJzL2Uyb0RvYy54bWxQSwUGAAAAAAYABgBZAQAApQUAAAAA&#10;">
                        <v:fill on="t" focussize="0,0"/>
                        <v:stroke color="#000000" joinstyle="miter"/>
                        <v:imagedata o:title=""/>
                        <o:lock v:ext="edit" aspectratio="f"/>
                        <v:textbox>
                          <w:txbxContent>
                            <w:p>
                              <w:pPr>
                                <w:rPr>
                                  <w:spacing w:val="-20"/>
                                </w:rPr>
                              </w:pPr>
                              <w:r>
                                <w:rPr>
                                  <w:rFonts w:hint="eastAsia"/>
                                  <w:spacing w:val="-20"/>
                                </w:rPr>
                                <w:t>第3次清洗用水</w:t>
                              </w:r>
                            </w:p>
                            <w:p>
                              <w:pPr>
                                <w:jc w:val="center"/>
                                <w:rPr>
                                  <w:spacing w:val="-20"/>
                                </w:rPr>
                              </w:pPr>
                            </w:p>
                            <w:p>
                              <w:pPr>
                                <w:rPr>
                                  <w:spacing w:val="-20"/>
                                </w:rPr>
                              </w:pPr>
                            </w:p>
                          </w:txbxContent>
                        </v:textbox>
                      </v:rect>
                      <v:shape id="_x0000_s1026" o:spid="_x0000_s1026" o:spt="32" type="#_x0000_t32" style="position:absolute;left:4553197;top:3586890;height:261054;width:0;" filled="f" stroked="t" coordsize="21600,21600" o:gfxdata="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8YpZ31wAAAAUBAAAPAAAAAAAA&#10;AAEAIAAAACIAAABkcnMvZG93bnJldi54bWxQSwECFAAUAAAACACHTuJAjuZJWBMCAAD9AwAADgAA&#10;AAAAAAABACAAAAAmAQAAZHJzL2Uyb0RvYy54bWxQSwUGAAAAAAYABgBZAQAAqwUAAAAA&#10;">
                        <v:fill on="f" focussize="0,0"/>
                        <v:stroke color="#000000" joinstyle="round" endarrow="block"/>
                        <v:imagedata o:title=""/>
                        <o:lock v:ext="edit" aspectratio="f"/>
                      </v:shape>
                      <v:rect id="_x0000_s1026" o:spid="_x0000_s1026" o:spt="1" style="position:absolute;left:2743365;top:819801;height:293234;width:1055241;" fillcolor="#FFFFFF" filled="t" stroked="t" coordsize="21600,21600" o:gfxdata="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4ea8fVAAAABQEAAA8AAAAAAAAAAQAgAAAA&#10;IgAAAGRycy9kb3ducmV2LnhtbFBLAQIUABQAAAAIAIdO4kBiS+h9DgIAADYEAAAOAAAAAAAAAAEA&#10;IAAAACQBAABkcnMvZTJvRG9jLnhtbFBLBQYAAAAABgAGAFkBAACkBQAAAAA=&#10;">
                        <v:fill on="t" focussize="0,0"/>
                        <v:stroke color="#000000" joinstyle="miter"/>
                        <v:imagedata o:title=""/>
                        <o:lock v:ext="edit" aspectratio="f"/>
                        <v:textbox>
                          <w:txbxContent>
                            <w:p>
                              <w:pPr>
                                <w:rPr>
                                  <w:spacing w:val="-20"/>
                                </w:rPr>
                              </w:pPr>
                              <w:r>
                                <w:rPr>
                                  <w:rFonts w:hint="eastAsia"/>
                                  <w:spacing w:val="-20"/>
                                </w:rPr>
                                <w:t>第1次清洗用水</w:t>
                              </w:r>
                            </w:p>
                          </w:txbxContent>
                        </v:textbox>
                      </v:rect>
                      <v:shape id="_x0000_s1026" o:spid="_x0000_s1026" o:spt="32" type="#_x0000_t32" style="position:absolute;left:3161120;top:1689280;flip:y;height:127132;width:147366;" filled="f" stroked="t" coordsize="21600,21600" o:gfxdata="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3g0SvUAAAABQEAAA8A&#10;AAAAAAAAAQAgAAAAIgAAAGRycy9kb3ducmV2LnhtbFBLAQIUABQAAAAIAIdO4kB8yvvzGwIAAAgE&#10;AAAOAAAAAAAAAAEAIAAAACMBAABkcnMvZTJvRG9jLnhtbFBLBQYAAAAABgAGAFkBAACwBQAAAAA=&#10;">
                        <v:fill on="f" focussize="0,0"/>
                        <v:stroke color="#000000" joinstyle="round" dashstyle="1 1" endcap="square" endarrow="open"/>
                        <v:imagedata o:title=""/>
                        <o:lock v:ext="edit" aspectratio="f"/>
                      </v:shape>
                      <v:shape id="_x0000_s1026" o:spid="_x0000_s1026" o:spt="32" type="#_x0000_t32" style="position:absolute;left:3786767;top:1463765;flip:y;height:6069;width:503278;" filled="f" stroked="t" coordsize="21600,21600" o:gfxdata="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z+vgnXAAAABQEAAA8AAAAAAAAAAQAgAAAAIgAAAGRycy9kb3ducmV2LnhtbFBLAQIUABQA&#10;AAAIAIdO4kB5XOHPKgIAADEEAAAOAAAAAAAAAAEAIAAAACYBAABkcnMvZTJvRG9jLnhtbFBLBQYA&#10;AAAABgAGAFkBAADCBQAAAAA=&#10;">
                        <v:fill on="f" focussize="0,0"/>
                        <v:stroke color="#000000" joinstyle="round" endarrow="block"/>
                        <v:imagedata o:title=""/>
                        <o:lock v:ext="edit" aspectratio="f"/>
                      </v:shape>
                      <v:line id="_x0000_s1026" o:spid="_x0000_s1026" o:spt="20" style="position:absolute;left:2429556;top:2010623;flip:y;height:0;width:342756;" filled="f" stroked="t" coordsize="21600,21600" o:gfxdata="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5meV7XAAAABQEAAA8AAAAAAAAAAQAgAAAAIgAA&#10;AGRycy9kb3ducmV2LnhtbFBLAQIUABQAAAAIAIdO4kD6zTQ9CQIAAPMDAAAOAAAAAAAAAAEAIAAA&#10;ACYBAABkcnMvZTJvRG9jLnhtbFBLBQYAAAAABgAGAFkBAAChBQAAAAA=&#10;">
                        <v:fill on="f" focussize="0,0"/>
                        <v:stroke color="#000000" joinstyle="round" endarrow="block"/>
                        <v:imagedata o:title=""/>
                        <o:lock v:ext="edit" aspectratio="f"/>
                      </v:line>
                      <v:rect id="_x0000_s1026" o:spid="_x0000_s1026" o:spt="1" style="position:absolute;left:4375785;top:1361032;height:1185272;width:435632;" fillcolor="#FFFFFF" filled="t" stroked="t" coordsize="21600,21600" o:gfxdata="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h5rx9UAAAAFAQAADwAAAAAAAAABACAA&#10;AAAiAAAAZHJzL2Rvd25yZXYueG1sUEsBAhQAFAAAAAgAh07iQMZ6RuMQAgAANwQAAA4AAAAAAAAA&#10;AQAgAAAAJAEAAGRycy9lMm9Eb2MueG1sUEsFBgAAAAAGAAYAWQEAAKYFAAAAAA==&#10;">
                        <v:fill on="t" focussize="0,0"/>
                        <v:stroke color="#000000" joinstyle="miter"/>
                        <v:imagedata o:title=""/>
                        <o:lock v:ext="edit" aspectratio="f"/>
                        <v:textbox>
                          <w:txbxContent>
                            <w:p>
                              <w:pPr>
                                <w:jc w:val="center"/>
                              </w:pPr>
                            </w:p>
                            <w:p>
                              <w:pPr>
                                <w:jc w:val="center"/>
                              </w:pPr>
                            </w:p>
                            <w:p>
                              <w:pPr>
                                <w:jc w:val="center"/>
                              </w:pPr>
                              <w:r>
                                <w:rPr>
                                  <w:rFonts w:hint="eastAsia"/>
                                </w:rPr>
                                <w:t>中</w:t>
                              </w:r>
                            </w:p>
                            <w:p>
                              <w:pPr>
                                <w:jc w:val="center"/>
                              </w:pPr>
                              <w:r>
                                <w:rPr>
                                  <w:rFonts w:hint="eastAsia"/>
                                </w:rPr>
                                <w:t>和</w:t>
                              </w:r>
                            </w:p>
                            <w:p>
                              <w:pPr>
                                <w:jc w:val="center"/>
                              </w:pPr>
                              <w:r>
                                <w:rPr>
                                  <w:rFonts w:hint="eastAsia"/>
                                </w:rPr>
                                <w:t>池</w:t>
                              </w:r>
                            </w:p>
                          </w:txbxContent>
                        </v:textbox>
                      </v:rect>
                      <v:line id="_x0000_s1026" o:spid="_x0000_s1026" o:spt="20" style="position:absolute;left:457228;top:2949098;flip:y;height:639;width:451306;" filled="f" stroked="t" coordsize="21600,21600" o:gfxdata="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Znle1wAAAAUBAAAPAAAAAAAAAAEAIAAAACIA&#10;AABkcnMvZG93bnJldi54bWxQSwECFAAUAAAACACHTuJA09RiRgoCAAD0AwAADgAAAAAAAAABACAA&#10;AAAmAQAAZHJzL2Uyb0RvYy54bWxQSwUGAAAAAAYABgBZAQAAogUAAAAA&#10;">
                        <v:fill on="f" focussize="0,0"/>
                        <v:stroke color="#000000" joinstyle="round" endarrow="block"/>
                        <v:imagedata o:title=""/>
                        <o:lock v:ext="edit" aspectratio="f"/>
                      </v:line>
                      <v:rect id="_x0000_s1026" o:spid="_x0000_s1026" o:spt="1" style="position:absolute;left:901298;top:2803439;height:291956;width:1096030;" fillcolor="#FFFFFF" filled="t" stroked="t" coordsize="21600,21600" o:gfxdata="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h5rx9UAAAAFAQAADwAAAAAAAAABACAA&#10;AAAiAAAAZHJzL2Rvd25yZXYueG1sUEsBAhQAFAAAAAgAh07iQJ2+J68QAgAANgQAAA4AAAAAAAAA&#10;AQAgAAAAJAEAAGRycy9lMm9Eb2MueG1sUEsFBgAAAAAGAAYAWQEAAKYFAAAAAA==&#10;">
                        <v:fill on="t" focussize="0,0"/>
                        <v:stroke color="#000000" joinstyle="miter"/>
                        <v:imagedata o:title=""/>
                        <o:lock v:ext="edit" aspectratio="f"/>
                        <v:textbox>
                          <w:txbxContent>
                            <w:p>
                              <w:pPr>
                                <w:jc w:val="center"/>
                              </w:pPr>
                              <w:r>
                                <w:rPr>
                                  <w:rFonts w:hint="eastAsia"/>
                                </w:rPr>
                                <w:t>地面清洁用水</w:t>
                              </w:r>
                            </w:p>
                          </w:txbxContent>
                        </v:textbox>
                      </v:rect>
                      <v:line id="_x0000_s1026" o:spid="_x0000_s1026" o:spt="20" style="position:absolute;left:1985486;top:2926738;flip:y;height:10222;width:2311138;" filled="f" stroked="t" coordsize="21600,21600" o:gfxdata="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Znle1wAAAAUBAAAPAAAAAAAAAAEAIAAA&#10;ACIAAABkcnMvZG93bnJldi54bWxQSwECFAAUAAAACACHTuJACu6gvw0CAAD4AwAADgAAAAAAAAAB&#10;ACAAAAAmAQAAZHJzL2Uyb0RvYy54bWxQSwUGAAAAAAYABgBZAQAApQUAAAAA&#10;">
                        <v:fill on="f" focussize="0,0"/>
                        <v:stroke color="#000000" joinstyle="round" endarrow="block"/>
                        <v:imagedata o:title=""/>
                        <o:lock v:ext="edit" aspectratio="f"/>
                      </v:line>
                      <v:rect id="_x0000_s1026" o:spid="_x0000_s1026" o:spt="1" style="position:absolute;left:1946910;top:1488032;height:305435;width:579120;"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LfnES&#10;1wAAAAUBAAAPAAAAAAAAAAEAIAAAACIAAABkcnMvZG93bnJldi54bWxQSwECFAAUAAAACACHTuJA&#10;FPIXGrABAABOAwAADgAAAAAAAAABACAAAAAmAQAAZHJzL2Uyb0RvYy54bWxQSwUGAAAAAAYABgBZ&#10;AQAASAUAAAAA&#10;">
                        <v:fill on="f" focussize="0,0"/>
                        <v:stroke on="f"/>
                        <v:imagedata o:title=""/>
                        <o:lock v:ext="edit" aspectratio="f"/>
                        <v:textbox>
                          <w:txbxContent>
                            <w:p>
                              <w:r>
                                <w:t>0.</w:t>
                              </w:r>
                              <w:r>
                                <w:rPr>
                                  <w:rFonts w:hint="eastAsia"/>
                                </w:rPr>
                                <w:t>102</w:t>
                              </w:r>
                            </w:p>
                          </w:txbxContent>
                        </v:textbox>
                      </v:rect>
                      <v:rect id="_x0000_s1026" o:spid="_x0000_s1026" o:spt="1" style="position:absolute;left:2377584;top:708641;height:306010;width:475648;"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35xEtcA&#10;AAAFAQAADwAAAAAAAAABACAAAAAiAAAAZHJzL2Rvd25yZXYueG1sUEsBAhQAFAAAAAgAh07iQHN/&#10;yGKuAQAATQMAAA4AAAAAAAAAAQAgAAAAJgEAAGRycy9lMm9Eb2MueG1sUEsFBgAAAAAGAAYAWQEA&#10;AEYFAAAAAA==&#10;">
                        <v:fill on="f" focussize="0,0"/>
                        <v:stroke on="f"/>
                        <v:imagedata o:title=""/>
                        <o:lock v:ext="edit" aspectratio="f"/>
                        <v:textbox>
                          <w:txbxContent>
                            <w:p>
                              <w:r>
                                <w:t>0.</w:t>
                              </w:r>
                              <w:r>
                                <w:rPr>
                                  <w:rFonts w:hint="eastAsia"/>
                                </w:rPr>
                                <w:t>02</w:t>
                              </w:r>
                            </w:p>
                          </w:txbxContent>
                        </v:textbox>
                      </v:rect>
                      <v:rect id="_x0000_s1026" o:spid="_x0000_s1026" o:spt="1" style="position:absolute;left:3768521;top:720704;height:305372;width:515121;"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LfnES1wAA&#10;AAUBAAAPAAAAAAAAAAEAIAAAACIAAABkcnMvZG93bnJldi54bWxQSwECFAAUAAAACACHTuJAhTuI&#10;L60BAABNAwAADgAAAAAAAAABACAAAAAmAQAAZHJzL2Uyb0RvYy54bWxQSwUGAAAAAAYABgBZAQAA&#10;RQUAAAAA&#10;">
                        <v:fill on="f" focussize="0,0"/>
                        <v:stroke on="f"/>
                        <v:imagedata o:title=""/>
                        <o:lock v:ext="edit" aspectratio="f"/>
                        <v:textbox>
                          <w:txbxContent>
                            <w:p>
                              <w:r>
                                <w:t>0.</w:t>
                              </w:r>
                              <w:r>
                                <w:rPr>
                                  <w:rFonts w:hint="eastAsia"/>
                                </w:rPr>
                                <w:t>02</w:t>
                              </w:r>
                            </w:p>
                          </w:txbxContent>
                        </v:textbox>
                      </v:rect>
                      <v:rect id="_x0000_s1026" o:spid="_x0000_s1026" o:spt="1" style="position:absolute;left:2364426;top:1251666;height:306010;width:506569;"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LfnES&#10;1wAAAAUBAAAPAAAAAAAAAAEAIAAAACIAAABkcnMvZG93bnJldi54bWxQSwECFAAUAAAACACHTuJA&#10;U8D7hrABAABOAwAADgAAAAAAAAABACAAAAAmAQAAZHJzL2Uyb0RvYy54bWxQSwUGAAAAAAYABgBZ&#10;AQAASAUAAAAA&#10;">
                        <v:fill on="f" focussize="0,0"/>
                        <v:stroke on="f"/>
                        <v:imagedata o:title=""/>
                        <o:lock v:ext="edit" aspectratio="f"/>
                        <v:textbox>
                          <w:txbxContent>
                            <w:p>
                              <w:r>
                                <w:t>0.</w:t>
                              </w:r>
                              <w:r>
                                <w:rPr>
                                  <w:rFonts w:hint="eastAsia"/>
                                </w:rPr>
                                <w:t>08</w:t>
                              </w:r>
                            </w:p>
                          </w:txbxContent>
                        </v:textbox>
                      </v:rect>
                      <v:rect id="_x0000_s1026" o:spid="_x0000_s1026" o:spt="1" style="position:absolute;left:3768521;top:1226532;height:237233;width:584835;"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35x&#10;EtcAAAAFAQAADwAAAAAAAAABACAAAAAiAAAAZHJzL2Rvd25yZXYueG1sUEsBAhQAFAAAAAgAh07i&#10;QCmZDyaxAQAATgMAAA4AAAAAAAAAAQAgAAAAJgEAAGRycy9lMm9Eb2MueG1sUEsFBgAAAAAGAAYA&#10;WQEAAEkFAAAAAA==&#10;">
                        <v:fill on="f" focussize="0,0"/>
                        <v:stroke on="f"/>
                        <v:imagedata o:title=""/>
                        <o:lock v:ext="edit" aspectratio="f"/>
                        <v:textbox>
                          <w:txbxContent>
                            <w:p>
                              <w:r>
                                <w:t>0.</w:t>
                              </w:r>
                              <w:r>
                                <w:rPr>
                                  <w:rFonts w:hint="eastAsia"/>
                                </w:rPr>
                                <w:t>0</w:t>
                              </w:r>
                              <w:r>
                                <w:t>72</w:t>
                              </w:r>
                            </w:p>
                          </w:txbxContent>
                        </v:textbox>
                      </v:rect>
                      <v:rect id="_x0000_s1026" o:spid="_x0000_s1026" o:spt="1" style="position:absolute;left:3292039;top:1601868;height:238819;width:561173;"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t+&#10;cRLXAAAABQEAAA8AAAAAAAAAAQAgAAAAIgAAAGRycy9kb3ducmV2LnhtbFBLAQIUABQAAAAIAIdO&#10;4kApJHcssgEAAE4DAAAOAAAAAAAAAAEAIAAAACYBAABkcnMvZTJvRG9jLnhtbFBLBQYAAAAABgAG&#10;AFkBAABKBQAAAAA=&#10;">
                        <v:fill on="f" focussize="0,0"/>
                        <v:stroke on="f"/>
                        <v:imagedata o:title=""/>
                        <o:lock v:ext="edit" aspectratio="f"/>
                        <v:textbox>
                          <w:txbxContent>
                            <w:p>
                              <w:r>
                                <w:t>0.</w:t>
                              </w:r>
                              <w:r>
                                <w:rPr>
                                  <w:rFonts w:hint="eastAsia"/>
                                </w:rPr>
                                <w:t>0001</w:t>
                              </w:r>
                            </w:p>
                          </w:txbxContent>
                        </v:textbox>
                      </v:rect>
                      <v:rect id="_x0000_s1026" o:spid="_x0000_s1026" o:spt="1" style="position:absolute;left:3749266;top:1757636;height:278981;width:569726;"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35x&#10;EtcAAAAFAQAADwAAAAAAAAABACAAAAAiAAAAZHJzL2Rvd25yZXYueG1sUEsBAhQAFAAAAAgAh07i&#10;QM2EAluxAQAATgMAAA4AAAAAAAAAAQAgAAAAJgEAAGRycy9lMm9Eb2MueG1sUEsFBgAAAAAGAAYA&#10;WQEAAEkFAAAAAA==&#10;">
                        <v:fill on="f" focussize="0,0"/>
                        <v:stroke on="f"/>
                        <v:imagedata o:title=""/>
                        <o:lock v:ext="edit" aspectratio="f"/>
                        <v:textbox>
                          <w:txbxContent>
                            <w:p>
                              <w:r>
                                <w:t>0.</w:t>
                              </w:r>
                              <w:r>
                                <w:rPr>
                                  <w:rFonts w:hint="eastAsia"/>
                                </w:rPr>
                                <w:t>0009</w:t>
                              </w:r>
                            </w:p>
                          </w:txbxContent>
                        </v:textbox>
                      </v:rect>
                      <v:rect id="_x0000_s1026" o:spid="_x0000_s1026" o:spt="1" style="position:absolute;left:2364426;top:1790858;height:305371;width:503279;"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35x&#10;EtcAAAAFAQAADwAAAAAAAAABACAAAAAiAAAAZHJzL2Rvd25yZXYueG1sUEsBAhQAFAAAAAgAh07i&#10;QGkywASxAQAATgMAAA4AAAAAAAAAAQAgAAAAJgEAAGRycy9lMm9Eb2MueG1sUEsFBgAAAAAGAAYA&#10;WQEAAEkFAAAAAA==&#10;">
                        <v:fill on="f" focussize="0,0"/>
                        <v:stroke on="f"/>
                        <v:imagedata o:title=""/>
                        <o:lock v:ext="edit" aspectratio="f"/>
                        <v:textbox>
                          <w:txbxContent>
                            <w:p>
                              <w:r>
                                <w:t>0.</w:t>
                              </w:r>
                              <w:r>
                                <w:rPr>
                                  <w:rFonts w:hint="eastAsia"/>
                                </w:rPr>
                                <w:t>001</w:t>
                              </w:r>
                            </w:p>
                          </w:txbxContent>
                        </v:textbox>
                      </v:rect>
                      <v:shape id="_x0000_s1026" o:spid="_x0000_s1026" o:spt="32" type="#_x0000_t32" style="position:absolute;left:1384840;top:2616255;flip:y;height:171213;width:184865;" filled="f" stroked="t" coordsize="21600,21600" o:gfxdata="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4NEr1AAAAAUBAAAP&#10;AAAAAAAAAAEAIAAAACIAAABkcnMvZG93bnJldi54bWxQSwECFAAUAAAACACHTuJAweo02xwCAAAI&#10;BAAADgAAAAAAAAABACAAAAAjAQAAZHJzL2Uyb0RvYy54bWxQSwUGAAAAAAYABgBZAQAAsQUAAAAA&#10;">
                        <v:fill on="f" focussize="0,0"/>
                        <v:stroke color="#000000" joinstyle="round" dashstyle="1 1" endcap="square" endarrow="open"/>
                        <v:imagedata o:title=""/>
                        <o:lock v:ext="edit" aspectratio="f"/>
                      </v:shape>
                      <v:rect id="_x0000_s1026" o:spid="_x0000_s1026" o:spt="1" style="position:absolute;left:1541416;top:2440571;height:305372;width:606567;"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35x&#10;EtcAAAAFAQAADwAAAAAAAAABACAAAAAiAAAAZHJzL2Rvd25yZXYueG1sUEsBAhQAFAAAAAgAh07i&#10;QJtiozGxAQAATgMAAA4AAAAAAAAAAQAgAAAAJgEAAGRycy9lMm9Eb2MueG1sUEsFBgAAAAAGAAYA&#10;WQEAAEkFAAAAAA==&#10;">
                        <v:fill on="f" focussize="0,0"/>
                        <v:stroke on="f"/>
                        <v:imagedata o:title=""/>
                        <o:lock v:ext="edit" aspectratio="f"/>
                        <v:textbox>
                          <w:txbxContent>
                            <w:p>
                              <w:r>
                                <w:t>0.</w:t>
                              </w:r>
                              <w:r>
                                <w:rPr>
                                  <w:rFonts w:hint="eastAsia"/>
                                </w:rPr>
                                <w:t>013</w:t>
                              </w:r>
                            </w:p>
                          </w:txbxContent>
                        </v:textbox>
                      </v:rect>
                      <v:rect id="_x0000_s1026" o:spid="_x0000_s1026" o:spt="1" style="position:absolute;left:444070;top:2712722;height:305372;width:642092;"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LfnES&#10;1wAAAAUBAAAPAAAAAAAAAAEAIAAAACIAAABkcnMvZG93bnJldi54bWxQSwECFAAUAAAACACHTuJA&#10;FFQGlLABAABNAwAADgAAAAAAAAABACAAAAAmAQAAZHJzL2Uyb0RvYy54bWxQSwUGAAAAAAYABgBZ&#10;AQAASAUAAAAA&#10;">
                        <v:fill on="f" focussize="0,0"/>
                        <v:stroke on="f"/>
                        <v:imagedata o:title=""/>
                        <o:lock v:ext="edit" aspectratio="f"/>
                        <v:textbox>
                          <w:txbxContent>
                            <w:p>
                              <w:r>
                                <w:t>0.</w:t>
                              </w:r>
                              <w:r>
                                <w:rPr>
                                  <w:rFonts w:hint="eastAsia"/>
                                </w:rPr>
                                <w:t>064</w:t>
                              </w:r>
                            </w:p>
                          </w:txbxContent>
                        </v:textbox>
                      </v:rect>
                      <v:rect id="_x0000_s1026" o:spid="_x0000_s1026" o:spt="1" style="position:absolute;left:430912;top:393048;height:254902;width:601304;"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35xEtcA&#10;AAAFAQAADwAAAAAAAAABACAAAAAiAAAAZHJzL2Rvd25yZXYueG1sUEsBAhQAFAAAAAgAh07iQNHH&#10;5YauAQAATAMAAA4AAAAAAAAAAQAgAAAAJgEAAGRycy9lMm9Eb2MueG1sUEsFBgAAAAAGAAYAWQEA&#10;AEYFAAAAAA==&#10;">
                        <v:fill on="f" focussize="0,0"/>
                        <v:stroke on="f"/>
                        <v:imagedata o:title=""/>
                        <o:lock v:ext="edit" aspectratio="f"/>
                        <v:textbox>
                          <w:txbxContent>
                            <w:p>
                              <w:r>
                                <w:rPr>
                                  <w:rFonts w:hint="eastAsia"/>
                                </w:rPr>
                                <w:t>纯水</w:t>
                              </w:r>
                            </w:p>
                          </w:txbxContent>
                        </v:textbox>
                      </v:rect>
                      <v:line id="_x0000_s1026" o:spid="_x0000_s1026" o:spt="20" style="position:absolute;left:444070;top:400714;flip:y;height:639;width:474990;" filled="f" stroked="t" coordsize="21600,21600" o:gfxdata="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mZ5XtcAAAAFAQAADwAAAAAAAAABACAAAAAiAAAA&#10;ZHJzL2Rvd25yZXYueG1sUEsBAhQAFAAAAAgAh07iQA9PS+cIAgAA8wMAAA4AAAAAAAAAAQAgAAAA&#10;JgEAAGRycy9lMm9Eb2MueG1sUEsFBgAAAAAGAAYAWQEAAKAFAAAAAA==&#10;">
                        <v:fill on="f" focussize="0,0"/>
                        <v:stroke color="#000000" joinstyle="round" endarrow="block"/>
                        <v:imagedata o:title=""/>
                        <o:lock v:ext="edit" aspectratio="f"/>
                      </v:line>
                      <v:rect id="_x0000_s1026" o:spid="_x0000_s1026" o:spt="1" style="position:absolute;left:2756523;top:2354326;height:293233;width:1030243;" fillcolor="#FFFFFF" filled="t" stroked="t" coordsize="21600,21600" o:gfxdata="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h5rx9UAAAAFAQAADwAAAAAAAAABACAAAAAi&#10;AAAAZHJzL2Rvd25yZXYueG1sUEsBAhQAFAAAAAgAh07iQLMlCNsNAgAANwQAAA4AAAAAAAAAAQAg&#10;AAAAJAEAAGRycy9lMm9Eb2MueG1sUEsFBgAAAAAGAAYAWQEAAKMFAAAAAA==&#10;">
                        <v:fill on="t" focussize="0,0"/>
                        <v:stroke color="#000000" joinstyle="miter"/>
                        <v:imagedata o:title=""/>
                        <o:lock v:ext="edit" aspectratio="f"/>
                        <v:textbox>
                          <w:txbxContent>
                            <w:p>
                              <w:pPr>
                                <w:jc w:val="center"/>
                              </w:pPr>
                              <w:r>
                                <w:rPr>
                                  <w:rFonts w:hint="eastAsia"/>
                                  <w:spacing w:val="-20"/>
                                </w:rPr>
                                <w:t>润洗用水</w:t>
                              </w:r>
                            </w:p>
                          </w:txbxContent>
                        </v:textbox>
                      </v:rect>
                      <v:shape id="_x0000_s1026" o:spid="_x0000_s1026" o:spt="32" type="#_x0000_t32" style="position:absolute;left:3161120;top:2232944;flip:y;height:114354;width:147366;" filled="f" stroked="t" coordsize="21600,21600" o:gfxdata="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eDRK9QAAAAF&#10;AQAADwAAAAAAAAABACAAAAAiAAAAZHJzL2Rvd25yZXYueG1sUEsBAhQAFAAAAAgAh07iQBP7+MIg&#10;AgAACAQAAA4AAAAAAAAAAQAgAAAAIwEAAGRycy9lMm9Eb2MueG1sUEsFBgAAAAAGAAYAWQEAALUF&#10;AAAAAA==&#10;">
                        <v:fill on="f" focussize="0,0"/>
                        <v:stroke color="#000000" joinstyle="round" dashstyle="1 1" endcap="square" endarrow="open"/>
                        <v:imagedata o:title=""/>
                        <o:lock v:ext="edit" aspectratio="f"/>
                      </v:shape>
                      <v:rect id="_x0000_s1026" o:spid="_x0000_s1026" o:spt="1" style="position:absolute;left:3265723;top:2101979;height:293233;width:586173;"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35xEtcA&#10;AAAFAQAADwAAAAAAAAABACAAAAAiAAAAZHJzL2Rvd25yZXYueG1sUEsBAhQAFAAAAAgAh07iQFHY&#10;/wiuAQAATgMAAA4AAAAAAAAAAQAgAAAAJgEAAGRycy9lMm9Eb2MueG1sUEsFBgAAAAAGAAYAWQEA&#10;AEYFAAAAAA==&#10;">
                        <v:fill on="f" focussize="0,0"/>
                        <v:stroke on="f"/>
                        <v:imagedata o:title=""/>
                        <o:lock v:ext="edit" aspectratio="f"/>
                        <v:textbox>
                          <w:txbxContent>
                            <w:p>
                              <w:r>
                                <w:t>0.</w:t>
                              </w:r>
                              <w:r>
                                <w:rPr>
                                  <w:rFonts w:hint="eastAsia"/>
                                </w:rPr>
                                <w:t>0001</w:t>
                              </w:r>
                            </w:p>
                          </w:txbxContent>
                        </v:textbox>
                      </v:rect>
                      <v:line id="_x0000_s1026" o:spid="_x0000_s1026" o:spt="20" style="position:absolute;left:2429556;top:2508928;flip:y;height:0;width:342756;" filled="f" stroked="t" coordsize="21600,21600" o:gfxdata="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mZ5XtcAAAAFAQAADwAAAAAAAAABACAAAAAi&#10;AAAAZHJzL2Rvd25yZXYueG1sUEsBAhQAFAAAAAgAh07iQEhBfl4LAgAA8wMAAA4AAAAAAAAAAQAg&#10;AAAAJgEAAGRycy9lMm9Eb2MueG1sUEsFBgAAAAAGAAYAWQEAAKMFAAAAAA==&#10;">
                        <v:fill on="f" focussize="0,0"/>
                        <v:stroke color="#000000" joinstyle="round" endarrow="block"/>
                        <v:imagedata o:title=""/>
                        <o:lock v:ext="edit" aspectratio="f"/>
                      </v:line>
                      <v:rect id="_x0000_s1026" o:spid="_x0000_s1026" o:spt="1" style="position:absolute;left:2347979;top:2265167;height:306146;width:559857;"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t+&#10;cRLXAAAABQEAAA8AAAAAAAAAAQAgAAAAIgAAAGRycy9kb3ducmV2LnhtbFBLAQIUABQAAAAIAIdO&#10;4kAPLsCRsgEAAE4DAAAOAAAAAAAAAAEAIAAAACYBAABkcnMvZTJvRG9jLnhtbFBLBQYAAAAABgAG&#10;AFkBAABKBQAAAAA=&#10;">
                        <v:fill on="f" focussize="0,0"/>
                        <v:stroke on="f"/>
                        <v:imagedata o:title=""/>
                        <o:lock v:ext="edit" aspectratio="f"/>
                        <v:textbox>
                          <w:txbxContent>
                            <w:p>
                              <w:r>
                                <w:t>0.</w:t>
                              </w:r>
                              <w:r>
                                <w:rPr>
                                  <w:rFonts w:hint="eastAsia"/>
                                </w:rPr>
                                <w:t>001</w:t>
                              </w:r>
                            </w:p>
                          </w:txbxContent>
                        </v:textbox>
                      </v:rect>
                      <v:rect id="_x0000_s1026" o:spid="_x0000_s1026" o:spt="1" style="position:absolute;left:3749266;top:2284182;height:305513;width:682223;"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t+&#10;cRLXAAAABQEAAA8AAAAAAAAAAQAgAAAAIgAAAGRycy9kb3ducmV2LnhtbFBLAQIUABQAAAAIAIdO&#10;4kCLOju+sgEAAE4DAAAOAAAAAAAAAAEAIAAAACYBAABkcnMvZTJvRG9jLnhtbFBLBQYAAAAABgAG&#10;AFkBAABKBQAAAAA=&#10;">
                        <v:fill on="f" focussize="0,0"/>
                        <v:stroke on="f"/>
                        <v:imagedata o:title=""/>
                        <o:lock v:ext="edit" aspectratio="f"/>
                        <v:textbox>
                          <w:txbxContent>
                            <w:p>
                              <w:r>
                                <w:t>0.</w:t>
                              </w:r>
                              <w:r>
                                <w:rPr>
                                  <w:rFonts w:hint="eastAsia"/>
                                </w:rPr>
                                <w:t>0009</w:t>
                              </w:r>
                            </w:p>
                          </w:txbxContent>
                        </v:textbox>
                      </v:rect>
                      <v:shape id="_x0000_s1026" o:spid="_x0000_s1026" o:spt="32" type="#_x0000_t32" style="position:absolute;left:3788739;top:2496790;flip:y;height:2555;width:496701;" filled="f" stroked="t" coordsize="21600,21600" o:gfxdata="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P6+CdcAAAAFAQAA&#10;DwAAAAAAAAABACAAAAAiAAAAZHJzL2Rvd25yZXYueG1sUEsBAhQAFAAAAAgAh07iQGVyG2AaAgAA&#10;CgQAAA4AAAAAAAAAAQAgAAAAJgEAAGRycy9lMm9Eb2MueG1sUEsFBgAAAAAGAAYAWQEAALIFAAAA&#10;AA==&#10;">
                        <v:fill on="f" focussize="0,0"/>
                        <v:stroke color="#000000" joinstyle="round" endarrow="block"/>
                        <v:imagedata o:title=""/>
                        <o:lock v:ext="edit" aspectratio="f"/>
                      </v:shape>
                      <v:shape id="_x0000_s1026" o:spid="_x0000_s1026" o:spt="32" type="#_x0000_t32" style="position:absolute;left:3788739;top:1967820;flip:y;height:4472;width:494069;" filled="f" stroked="t" coordsize="21600,21600" o:gfxdata="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M/r4J1wAAAAUB&#10;AAAPAAAAAAAAAAEAIAAAACIAAABkcnMvZG93bnJldi54bWxQSwECFAAUAAAACACHTuJA37E7YhwC&#10;AAAKBAAADgAAAAAAAAABACAAAAAmAQAAZHJzL2Uyb0RvYy54bWxQSwUGAAAAAAYABgBZAQAAtAUA&#10;AAAA&#10;">
                        <v:fill on="f" focussize="0,0"/>
                        <v:stroke color="#000000" joinstyle="round" endarrow="block"/>
                        <v:imagedata o:title=""/>
                        <o:lock v:ext="edit" aspectratio="f"/>
                      </v:shape>
                      <v:rect id="_x0000_s1026" o:spid="_x0000_s1026" o:spt="1" style="position:absolute;left:2377584;top:2484013;height:265763;width:599987;"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LfnES&#10;1wAAAAUBAAAPAAAAAAAAAAEAIAAAACIAAABkcnMvZG93bnJldi54bWxQSwECFAAUAAAACACHTuJA&#10;pW5H8LABAABOAwAADgAAAAAAAAABACAAAAAmAQAAZHJzL2Uyb0RvYy54bWxQSwUGAAAAAAYABgBZ&#10;AQAASAUAAAAA&#10;">
                        <v:fill on="f" focussize="0,0"/>
                        <v:stroke on="f"/>
                        <v:imagedata o:title=""/>
                        <o:lock v:ext="edit" aspectratio="f"/>
                        <v:textbox>
                          <w:txbxContent>
                            <w:p>
                              <w:r>
                                <w:rPr>
                                  <w:rFonts w:hint="eastAsia"/>
                                </w:rPr>
                                <w:t>纯水</w:t>
                              </w:r>
                            </w:p>
                          </w:txbxContent>
                        </v:textbox>
                      </v:rect>
                      <v:rect id="_x0000_s1026" o:spid="_x0000_s1026" o:spt="1" style="position:absolute;left:0;top:1633700;height:318148;width:557883;"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LfnES1wAAAAUB&#10;AAAPAAAAAAAAAAEAIAAAACIAAABkcnMvZG93bnJldi54bWxQSwECFAAUAAAACACHTuJAZOoQOKoB&#10;AABIAwAADgAAAAAAAAABACAAAAAmAQAAZHJzL2Uyb0RvYy54bWxQSwUGAAAAAAYABgBZAQAAQgUA&#10;AAAA&#10;">
                        <v:fill on="f" focussize="0,0"/>
                        <v:stroke on="f"/>
                        <v:imagedata o:title=""/>
                        <o:lock v:ext="edit" aspectratio="f"/>
                        <v:textbox>
                          <w:txbxContent>
                            <w:p>
                              <w:r>
                                <w:t>0.</w:t>
                              </w:r>
                              <w:r>
                                <w:rPr>
                                  <w:rFonts w:hint="eastAsia"/>
                                </w:rPr>
                                <w:t>711</w:t>
                              </w:r>
                            </w:p>
                          </w:txbxContent>
                        </v:textbox>
                      </v:rect>
                      <v:shape id="_x0000_s1026" o:spid="_x0000_s1026" o:spt="32" type="#_x0000_t32" style="position:absolute;left:3801695;top:962077;flip:y;height:4445;width:494030;" filled="f" stroked="t" coordsize="21600,21600" o:gfxdata="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P6+CdcAAAAF&#10;AQAADwAAAAAAAAABACAAAAAiAAAAZHJzL2Rvd25yZXYueG1sUEsBAhQAFAAAAAgAh07iQIGquCgd&#10;AgAACQQAAA4AAAAAAAAAAQAgAAAAJgEAAGRycy9lMm9Eb2MueG1sUEsFBgAAAAAGAAYAWQEAALUF&#10;AAAAAA==&#10;">
                        <v:fill on="f" focussize="0,0"/>
                        <v:stroke color="#000000" joinstyle="round" endarrow="block"/>
                        <v:imagedata o:title=""/>
                        <o:lock v:ext="edit" aspectratio="f"/>
                      </v:shape>
                      <v:shape id="_x0000_s1026" o:spid="_x0000_s1026" o:spt="202" type="#_x0000_t202" style="position:absolute;left:4375785;top:2803439;height:841688;width:450850;" fillcolor="#FFFFFF [3201]" filled="t" stroked="t" coordsize="21600,21600" o:gfxdata="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xl2K1AAAAAUBAAAPAAAAAAAAAAEAIAAAACIAAABkcnMvZG93bnJldi54bWxQSwECFAAUAAAA&#10;CACHTuJA1WT2gmQCAADEBAAADgAAAAAAAAABACAAAAAjAQAAZHJzL2Uyb0RvYy54bWxQSwUGAAAA&#10;AAYABgBZAQAA+QUAAAAA&#10;">
                        <v:fill on="t" focussize="0,0"/>
                        <v:stroke weight="0.5pt" color="#000000 [3204]" joinstyle="round"/>
                        <v:imagedata o:title=""/>
                        <o:lock v:ext="edit" aspectratio="f"/>
                        <v:textbox>
                          <w:txbxContent>
                            <w:p>
                              <w:pPr>
                                <w:spacing w:line="240" w:lineRule="exact"/>
                                <w:jc w:val="center"/>
                              </w:pPr>
                              <w:r>
                                <w:rPr>
                                  <w:rFonts w:hint="eastAsia"/>
                                </w:rPr>
                                <w:t>园</w:t>
                              </w:r>
                            </w:p>
                            <w:p>
                              <w:pPr>
                                <w:spacing w:line="240" w:lineRule="exact"/>
                                <w:jc w:val="center"/>
                              </w:pPr>
                              <w:r>
                                <w:rPr>
                                  <w:rFonts w:hint="eastAsia"/>
                                </w:rPr>
                                <w:t>区</w:t>
                              </w:r>
                            </w:p>
                            <w:p>
                              <w:pPr>
                                <w:spacing w:line="240" w:lineRule="exact"/>
                                <w:jc w:val="center"/>
                              </w:pPr>
                              <w:r>
                                <w:rPr>
                                  <w:rFonts w:hint="eastAsia"/>
                                </w:rPr>
                                <w:t>化</w:t>
                              </w:r>
                            </w:p>
                            <w:p>
                              <w:pPr>
                                <w:spacing w:line="240" w:lineRule="exact"/>
                                <w:jc w:val="center"/>
                              </w:pPr>
                              <w:r>
                                <w:rPr>
                                  <w:rFonts w:hint="eastAsia"/>
                                </w:rPr>
                                <w:t>粪</w:t>
                              </w:r>
                            </w:p>
                            <w:p>
                              <w:pPr>
                                <w:spacing w:line="240" w:lineRule="exact"/>
                                <w:jc w:val="center"/>
                              </w:pPr>
                              <w:r>
                                <w:rPr>
                                  <w:rFonts w:hint="eastAsia"/>
                                </w:rPr>
                                <w:t>池</w:t>
                              </w:r>
                            </w:p>
                            <w:p/>
                          </w:txbxContent>
                        </v:textbox>
                      </v:shape>
                      <v:line id="_x0000_s1026" o:spid="_x0000_s1026" o:spt="20" style="position:absolute;left:4600275;top:2557210;height:250979;width:0;" filled="f" stroked="t" coordsize="21600,21600" o:gfxdata="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GDuwN1wAAAAUBAAAPAAAAAAAAAAEAIAAAACIAAABkcnMvZG93bnJl&#10;di54bWxQSwECFAAUAAAACACHTuJAdZf75/4BAADpAwAADgAAAAAAAAABACAAAAAmAQAAZHJzL2Uy&#10;b0RvYy54bWxQSwUGAAAAAAYABgBZAQAAlgUAAAAA&#10;">
                        <v:fill on="f" focussize="0,0"/>
                        <v:stroke color="#000000" joinstyle="round" endarrow="block"/>
                        <v:imagedata o:title=""/>
                        <o:lock v:ext="edit" aspectratio="f"/>
                      </v:line>
                      <v:shape id="_x0000_s1026" o:spid="_x0000_s1026" o:spt="32" type="#_x0000_t32" style="position:absolute;left:3181440;top:1181962;flip:y;height:127132;width:147366;" filled="f" stroked="t" coordsize="21600,21600" o:gfxdata="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eDRK9QA&#10;AAAFAQAADwAAAAAAAAABACAAAAAiAAAAZHJzL2Rvd25yZXYueG1sUEsBAhQAFAAAAAgAh07iQAgg&#10;Q5IjAgAAFgQAAA4AAAAAAAAAAQAgAAAAIwEAAGRycy9lMm9Eb2MueG1sUEsFBgAAAAAGAAYAWQEA&#10;ALgFAAAAAA==&#10;">
                        <v:fill on="f" focussize="0,0"/>
                        <v:stroke color="#000000" joinstyle="round" dashstyle="1 1" endcap="square" endarrow="open"/>
                        <v:imagedata o:title=""/>
                        <o:lock v:ext="edit" aspectratio="f"/>
                      </v:shape>
                      <v:rect id="_x0000_s1026" o:spid="_x0000_s1026" o:spt="1" style="position:absolute;left:3312359;top:1094550;height:238819;width:561173;"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35xEtcAAAAFAQAADwAAAAAAAAABACAAAAAiAAAAZHJzL2Rvd25yZXYueG1sUEsBAhQAFAAA&#10;AAgAh07iQF+Q4Wm3AQAAXgMAAA4AAAAAAAAAAQAgAAAAJgEAAGRycy9lMm9Eb2MueG1sUEsFBgAA&#10;AAAGAAYAWQEAAE8FAAAAAA==&#10;">
                        <v:fill on="f" focussize="0,0"/>
                        <v:stroke on="f"/>
                        <v:imagedata o:title=""/>
                        <o:lock v:ext="edit" aspectratio="f"/>
                        <v:textbox>
                          <w:txbxContent>
                            <w:p>
                              <w:r>
                                <w:t>0.</w:t>
                              </w:r>
                              <w:r>
                                <w:rPr>
                                  <w:rFonts w:hint="eastAsia"/>
                                </w:rPr>
                                <w:t>00</w:t>
                              </w:r>
                              <w:r>
                                <w:t>8</w:t>
                              </w:r>
                            </w:p>
                          </w:txbxContent>
                        </v:textbox>
                      </v:rect>
                      <v:shape id="_x0000_s1026" o:spid="_x0000_s1026" o:spt="32" type="#_x0000_t32" style="position:absolute;left:1519943;top:108912;flip:y;height:127132;width:147366;" filled="f" stroked="t" coordsize="21600,21600" o:gfxdata="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N4NEr1AAA&#10;AAUBAAAPAAAAAAAAAAEAIAAAACIAAABkcnMvZG93bnJldi54bWxQSwECFAAUAAAACACHTuJAdET9&#10;vyICAAAVBAAADgAAAAAAAAABACAAAAAjAQAAZHJzL2Uyb0RvYy54bWxQSwUGAAAAAAYABgBZAQAA&#10;twUAAAAA&#10;">
                        <v:fill on="f" focussize="0,0"/>
                        <v:stroke color="#000000" joinstyle="round" dashstyle="1 1" endcap="square" endarrow="open"/>
                        <v:imagedata o:title=""/>
                        <o:lock v:ext="edit" aspectratio="f"/>
                      </v:shape>
                      <v:rect id="_x0000_s1026" o:spid="_x0000_s1026" o:spt="1" style="position:absolute;left:1650862;top:21500;height:238819;width:561173;" filled="f" stroked="f" coordsize="21600,21600" o:gfxdata="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t+cRLXAAAABQEAAA8AAAAAAAAAAQAgAAAAIgAAAGRycy9kb3ducmV2LnhtbFBLAQIUABQAAAAI&#10;AIdO4kDLEbP4tQEAAFwDAAAOAAAAAAAAAAEAIAAAACYBAABkcnMvZTJvRG9jLnhtbFBLBQYAAAAA&#10;BgAGAFkBAABNBQAAAAA=&#10;">
                        <v:fill on="f" focussize="0,0"/>
                        <v:stroke on="f"/>
                        <v:imagedata o:title=""/>
                        <o:lock v:ext="edit" aspectratio="f"/>
                        <v:textbox>
                          <w:txbxContent>
                            <w:p>
                              <w:r>
                                <w:t>0.</w:t>
                              </w:r>
                              <w:r>
                                <w:rPr>
                                  <w:rFonts w:hint="eastAsia"/>
                                </w:rPr>
                                <w:t>00</w:t>
                              </w:r>
                              <w:r>
                                <w:t>5</w:t>
                              </w:r>
                            </w:p>
                          </w:txbxContent>
                        </v:textbox>
                      </v:rect>
                      <w10:wrap type="none"/>
                      <w10:anchorlock/>
                    </v:group>
                  </w:pict>
                </mc:Fallback>
              </mc:AlternateConten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图2-1  项目水平衡图  单位：m</w:t>
            </w:r>
            <w:r>
              <w:rPr>
                <w:rFonts w:eastAsia="黑体"/>
                <w:b w:val="0"/>
                <w:kern w:val="24"/>
                <w:sz w:val="21"/>
                <w:szCs w:val="21"/>
                <w:vertAlign w:val="superscript"/>
              </w:rPr>
              <w:t>3</w:t>
            </w:r>
            <w:r>
              <w:rPr>
                <w:rFonts w:eastAsia="黑体"/>
                <w:b w:val="0"/>
                <w:kern w:val="24"/>
                <w:sz w:val="21"/>
                <w:szCs w:val="21"/>
              </w:rPr>
              <w:t>/d</w:t>
            </w:r>
          </w:p>
          <w:p>
            <w:pPr>
              <w:adjustRightInd w:val="0"/>
              <w:snapToGrid w:val="0"/>
              <w:spacing w:line="360" w:lineRule="auto"/>
              <w:ind w:firstLine="482" w:firstLineChars="200"/>
              <w:rPr>
                <w:b/>
                <w:sz w:val="24"/>
              </w:rPr>
            </w:pPr>
            <w:r>
              <w:rPr>
                <w:b/>
                <w:sz w:val="24"/>
              </w:rPr>
              <w:t>八、项目总平面布置</w:t>
            </w:r>
          </w:p>
          <w:p>
            <w:pPr>
              <w:adjustRightInd w:val="0"/>
              <w:snapToGrid w:val="0"/>
              <w:spacing w:line="360" w:lineRule="auto"/>
              <w:ind w:firstLine="480" w:firstLineChars="200"/>
              <w:rPr>
                <w:bCs/>
                <w:sz w:val="24"/>
              </w:rPr>
            </w:pPr>
            <w:r>
              <w:rPr>
                <w:bCs/>
                <w:sz w:val="24"/>
              </w:rPr>
              <w:t>本项目租赁</w:t>
            </w:r>
            <w:r>
              <w:rPr>
                <w:sz w:val="24"/>
              </w:rPr>
              <w:t>长安创新科技产业园2号楼403室</w:t>
            </w:r>
            <w:r>
              <w:rPr>
                <w:bCs/>
                <w:sz w:val="24"/>
              </w:rPr>
              <w:t>，进行合理分区，布置科学、功能齐全。项目平面布置情况见附图6。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675" w:type="dxa"/>
            <w:vAlign w:val="center"/>
          </w:tcPr>
          <w:p>
            <w:pPr>
              <w:pStyle w:val="21"/>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工艺流程和产排污环节</w:t>
            </w:r>
          </w:p>
        </w:tc>
        <w:tc>
          <w:tcPr>
            <w:tcW w:w="8385" w:type="dxa"/>
          </w:tcPr>
          <w:p>
            <w:pPr>
              <w:pStyle w:val="34"/>
              <w:ind w:firstLine="482"/>
              <w:rPr>
                <w:rStyle w:val="35"/>
                <w:rFonts w:hint="default" w:ascii="Times New Roman" w:hAnsi="Times New Roman" w:cs="Times New Roman"/>
                <w:color w:val="auto"/>
              </w:rPr>
            </w:pPr>
            <w:r>
              <w:rPr>
                <w:rFonts w:ascii="Times New Roman" w:hAnsi="Times New Roman" w:cs="Times New Roman"/>
                <w:b/>
                <w:szCs w:val="24"/>
              </w:rPr>
              <w:t>一、施工期</w:t>
            </w:r>
          </w:p>
          <w:p>
            <w:pPr>
              <w:pStyle w:val="4"/>
              <w:ind w:firstLine="480"/>
            </w:pPr>
            <w:r>
              <w:t>本项目租赁已建成房屋，因此施工期只进行室内装修、设备仪器和环保设施的安装调试。产生的污染物主要为少量固废、废气和工人产生的生活废水以及施工设备产生的噪声。</w:t>
            </w:r>
          </w:p>
          <w:p>
            <w:pPr>
              <w:pStyle w:val="34"/>
              <w:ind w:firstLine="479" w:firstLineChars="199"/>
              <w:rPr>
                <w:rFonts w:ascii="Times New Roman" w:hAnsi="Times New Roman" w:cs="Times New Roman"/>
                <w:b/>
                <w:szCs w:val="24"/>
              </w:rPr>
            </w:pPr>
            <w:r>
              <w:rPr>
                <w:rFonts w:ascii="Times New Roman" w:hAnsi="Times New Roman" w:cs="Times New Roman"/>
                <w:b/>
                <w:szCs w:val="24"/>
              </w:rPr>
              <w:t>二、运营期</w:t>
            </w:r>
          </w:p>
          <w:p>
            <w:pPr>
              <w:adjustRightInd w:val="0"/>
              <w:snapToGrid w:val="0"/>
              <w:spacing w:line="360" w:lineRule="auto"/>
              <w:ind w:firstLine="480" w:firstLineChars="200"/>
              <w:rPr>
                <w:bCs/>
                <w:sz w:val="24"/>
              </w:rPr>
            </w:pPr>
            <w:r>
              <w:rPr>
                <w:bCs/>
                <w:sz w:val="24"/>
              </w:rPr>
              <w:t>工艺流程介绍：</w:t>
            </w:r>
          </w:p>
          <w:p>
            <w:pPr>
              <w:spacing w:line="324" w:lineRule="auto"/>
              <w:ind w:firstLine="480" w:firstLineChars="200"/>
              <w:rPr>
                <w:rStyle w:val="35"/>
                <w:rFonts w:hint="default" w:ascii="Times New Roman" w:hAnsi="Times New Roman"/>
                <w:color w:val="auto"/>
              </w:rPr>
            </w:pPr>
            <w:r>
              <w:rPr>
                <w:sz w:val="24"/>
              </w:rPr>
              <w:t>本项目为生物检测及新药研发企业在研发项目的前期阶段提供技术服务，主要有荧光染料、官能化单分散聚乙二醇、生物正交-荧光染料、生物正交-生物素、生物正交-PEG、生物正交-生化小分子、生物正交-蛋白交联剂、生物正交-双功能螯合剂等功能性分子的研发和优化，项目研发种类较多，本次对其主要研发路线进行评价，</w:t>
            </w:r>
            <w:r>
              <w:rPr>
                <w:rStyle w:val="35"/>
                <w:rFonts w:hint="default" w:ascii="Times New Roman" w:hAnsi="Times New Roman"/>
                <w:color w:val="auto"/>
              </w:rPr>
              <w:t>工作流程及公用设施等产污环节见图2-2。</w:t>
            </w:r>
          </w:p>
          <w:p>
            <w:pPr>
              <w:widowControl/>
              <w:jc w:val="center"/>
              <w:rPr>
                <w:b/>
                <w:sz w:val="24"/>
              </w:rPr>
            </w:pPr>
            <w:r>
              <mc:AlternateContent>
                <mc:Choice Requires="wps">
                  <w:drawing>
                    <wp:anchor distT="0" distB="0" distL="114300" distR="114300" simplePos="0" relativeHeight="251659264" behindDoc="0" locked="0" layoutInCell="1" allowOverlap="1">
                      <wp:simplePos x="0" y="0"/>
                      <wp:positionH relativeFrom="column">
                        <wp:posOffset>4289425</wp:posOffset>
                      </wp:positionH>
                      <wp:positionV relativeFrom="paragraph">
                        <wp:posOffset>2434590</wp:posOffset>
                      </wp:positionV>
                      <wp:extent cx="864235" cy="4953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864342"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olor w:val="FF0000"/>
                                      <w:sz w:val="18"/>
                                      <w:szCs w:val="21"/>
                                    </w:rPr>
                                  </w:pPr>
                                  <w:r>
                                    <w:rPr>
                                      <w:rFonts w:hint="eastAsia" w:ascii="黑体" w:hAnsi="黑体" w:eastAsia="黑体"/>
                                      <w:color w:val="FF0000"/>
                                      <w:sz w:val="18"/>
                                      <w:szCs w:val="21"/>
                                    </w:rPr>
                                    <w:t>产生固废、</w:t>
                                  </w:r>
                                </w:p>
                                <w:p>
                                  <w:pPr>
                                    <w:rPr>
                                      <w:rFonts w:ascii="黑体" w:hAnsi="黑体" w:eastAsia="黑体"/>
                                      <w:color w:val="FF0000"/>
                                      <w:sz w:val="18"/>
                                      <w:szCs w:val="21"/>
                                    </w:rPr>
                                  </w:pPr>
                                  <w:r>
                                    <w:rPr>
                                      <w:rFonts w:hint="eastAsia" w:ascii="黑体" w:hAnsi="黑体" w:eastAsia="黑体"/>
                                      <w:color w:val="FF0000"/>
                                      <w:sz w:val="18"/>
                                      <w:szCs w:val="21"/>
                                    </w:rPr>
                                    <w:t>废水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75pt;margin-top:191.7pt;height:39pt;width:68.05pt;z-index:251659264;mso-width-relative:page;mso-height-relative:page;" fillcolor="#FFFFFF [3201]" filled="t" stroked="f" coordsize="21600,21600" o:gfxdata="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5SSgM1wAAAAsBAAAP&#10;AAAAAAAAAAEAIAAAACIAAABkcnMvZG93bnJldi54bWxQSwECFAAUAAAACACHTuJAmhB2q1ICAACQ&#10;BAAADgAAAAAAAAABACAAAAAmAQAAZHJzL2Uyb0RvYy54bWxQSwUGAAAAAAYABgBZAQAA6gUAAAAA&#10;">
                      <v:fill on="t" focussize="0,0"/>
                      <v:stroke on="f" weight="0.5pt"/>
                      <v:imagedata o:title=""/>
                      <o:lock v:ext="edit" aspectratio="f"/>
                      <v:textbox>
                        <w:txbxContent>
                          <w:p>
                            <w:pPr>
                              <w:rPr>
                                <w:rFonts w:ascii="黑体" w:hAnsi="黑体" w:eastAsia="黑体"/>
                                <w:color w:val="FF0000"/>
                                <w:sz w:val="18"/>
                                <w:szCs w:val="21"/>
                              </w:rPr>
                            </w:pPr>
                            <w:r>
                              <w:rPr>
                                <w:rFonts w:hint="eastAsia" w:ascii="黑体" w:hAnsi="黑体" w:eastAsia="黑体"/>
                                <w:color w:val="FF0000"/>
                                <w:sz w:val="18"/>
                                <w:szCs w:val="21"/>
                              </w:rPr>
                              <w:t>产生固废、</w:t>
                            </w:r>
                          </w:p>
                          <w:p>
                            <w:pPr>
                              <w:rPr>
                                <w:rFonts w:ascii="黑体" w:hAnsi="黑体" w:eastAsia="黑体"/>
                                <w:color w:val="FF0000"/>
                                <w:sz w:val="18"/>
                                <w:szCs w:val="21"/>
                              </w:rPr>
                            </w:pPr>
                            <w:r>
                              <w:rPr>
                                <w:rFonts w:hint="eastAsia" w:ascii="黑体" w:hAnsi="黑体" w:eastAsia="黑体"/>
                                <w:color w:val="FF0000"/>
                                <w:sz w:val="18"/>
                                <w:szCs w:val="21"/>
                              </w:rPr>
                              <w:t>废水</w:t>
                            </w:r>
                          </w:p>
                        </w:txbxContent>
                      </v:textbox>
                    </v:shape>
                  </w:pict>
                </mc:Fallback>
              </mc:AlternateContent>
            </w:r>
            <w:r>
              <w:drawing>
                <wp:inline distT="0" distB="0" distL="0" distR="0">
                  <wp:extent cx="5154930" cy="3338195"/>
                  <wp:effectExtent l="0" t="0" r="7620" b="0"/>
                  <wp:docPr id="68" name="图片 68" descr="C:\Users\yls\Documents\Tencent Files\24949356\Image\C2C\FG$[Y`UU1I2CQ]K]R3R2C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C:\Users\yls\Documents\Tencent Files\24949356\Image\C2C\FG$[Y`UU1I2CQ]K]R3R2C40.png"/>
                          <pic:cNvPicPr>
                            <a:picLocks noChangeAspect="1" noChangeArrowheads="1"/>
                          </pic:cNvPicPr>
                        </pic:nvPicPr>
                        <pic:blipFill>
                          <a:blip r:embed="rId7">
                            <a:extLst>
                              <a:ext uri="{28A0092B-C50C-407E-A947-70E740481C1C}">
                                <a14:useLocalDpi xmlns:a14="http://schemas.microsoft.com/office/drawing/2010/main" val="0"/>
                              </a:ext>
                            </a:extLst>
                          </a:blip>
                          <a:srcRect l="2944" t="-503" r="2844" b="503"/>
                          <a:stretch>
                            <a:fillRect/>
                          </a:stretch>
                        </pic:blipFill>
                        <pic:spPr>
                          <a:xfrm>
                            <a:off x="0" y="0"/>
                            <a:ext cx="5170827" cy="3348826"/>
                          </a:xfrm>
                          <a:prstGeom prst="rect">
                            <a:avLst/>
                          </a:prstGeom>
                          <a:noFill/>
                          <a:ln>
                            <a:noFill/>
                          </a:ln>
                        </pic:spPr>
                      </pic:pic>
                    </a:graphicData>
                  </a:graphic>
                </wp:inline>
              </w:drawing>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图2-2项目运营期产污环节图</w:t>
            </w:r>
          </w:p>
          <w:p>
            <w:pPr>
              <w:pStyle w:val="4"/>
              <w:ind w:firstLine="480"/>
            </w:pPr>
            <w:r>
              <w:t>工艺流程简述：</w:t>
            </w:r>
          </w:p>
          <w:p>
            <w:pPr>
              <w:pStyle w:val="44"/>
              <w:spacing w:line="360" w:lineRule="auto"/>
              <w:ind w:firstLine="480"/>
              <w:rPr>
                <w:sz w:val="24"/>
              </w:rPr>
            </w:pPr>
            <w:r>
              <w:rPr>
                <w:sz w:val="24"/>
              </w:rPr>
              <w:t>1、承接客户的项目，通过查阅相关文献制定实验计划；</w:t>
            </w:r>
          </w:p>
          <w:p>
            <w:pPr>
              <w:pStyle w:val="44"/>
              <w:spacing w:line="360" w:lineRule="auto"/>
              <w:ind w:firstLine="480"/>
              <w:rPr>
                <w:sz w:val="24"/>
              </w:rPr>
            </w:pPr>
            <w:r>
              <w:rPr>
                <w:sz w:val="24"/>
              </w:rPr>
              <w:t>2、起始原料，及实验所需试剂耗材的购买。</w:t>
            </w:r>
          </w:p>
          <w:p>
            <w:pPr>
              <w:pStyle w:val="44"/>
              <w:spacing w:line="360" w:lineRule="auto"/>
              <w:ind w:firstLine="480"/>
              <w:rPr>
                <w:sz w:val="24"/>
              </w:rPr>
            </w:pPr>
            <w:r>
              <w:rPr>
                <w:sz w:val="24"/>
              </w:rPr>
              <w:t>3、按实验计划设计实验操作，制定具体实验流程。</w:t>
            </w:r>
          </w:p>
          <w:p>
            <w:pPr>
              <w:pStyle w:val="44"/>
              <w:spacing w:line="360" w:lineRule="auto"/>
              <w:ind w:firstLine="480"/>
              <w:rPr>
                <w:sz w:val="24"/>
              </w:rPr>
            </w:pPr>
            <w:r>
              <w:rPr>
                <w:sz w:val="24"/>
              </w:rPr>
              <w:t>4、依据实验所需，架设实验装置。</w:t>
            </w:r>
          </w:p>
          <w:p>
            <w:pPr>
              <w:spacing w:line="360" w:lineRule="auto"/>
              <w:ind w:firstLine="480" w:firstLineChars="200"/>
              <w:rPr>
                <w:sz w:val="24"/>
              </w:rPr>
            </w:pPr>
            <w:r>
              <w:rPr>
                <w:sz w:val="24"/>
              </w:rPr>
              <w:t>5、按设定方法投料、检测、处理反应、纯化得到产物。本环节主要产生有机废气、实验废液及固体废物、噪声等。</w:t>
            </w:r>
          </w:p>
          <w:p>
            <w:pPr>
              <w:pStyle w:val="44"/>
              <w:spacing w:line="360" w:lineRule="auto"/>
              <w:ind w:firstLine="480"/>
              <w:rPr>
                <w:sz w:val="24"/>
              </w:rPr>
            </w:pPr>
            <w:r>
              <w:rPr>
                <w:sz w:val="24"/>
              </w:rPr>
              <w:t>6、对产物进行定性和定量检测，达到客户的纯度要求即可给客户寄送样品，继续开展下一个项目。主要产生有机废气、实验废液及固体废物、噪声等。</w:t>
            </w:r>
          </w:p>
          <w:p>
            <w:pPr>
              <w:pStyle w:val="44"/>
              <w:spacing w:line="360" w:lineRule="auto"/>
              <w:ind w:firstLine="480"/>
              <w:rPr>
                <w:sz w:val="24"/>
              </w:rPr>
            </w:pPr>
            <w:r>
              <w:rPr>
                <w:sz w:val="24"/>
              </w:rPr>
              <w:t>举例说明本项目实验操作的一般流程：</w:t>
            </w:r>
          </w:p>
          <w:p>
            <w:pPr>
              <w:spacing w:line="324" w:lineRule="auto"/>
              <w:ind w:firstLine="480" w:firstLineChars="200"/>
              <w:rPr>
                <w:sz w:val="24"/>
              </w:rPr>
            </w:pPr>
            <w:r>
              <w:rPr>
                <w:sz w:val="24"/>
              </w:rPr>
              <w:t>内型双环[6.1.0]壬炔甲醇(endo-BCN-OH)是一种高效的点击化学接头，可无需催化剂与叠氮快速发生环加成反应形成链接，被广泛应用于新药研发和生物检测等多个领域中。((1R,8S,9S,Z)-双环[6.1.0]非-4-烯-9-基)甲醇是合成endo-BCN-OH的关键中间体，文献采用重氮乙酸乙酯与1,5-环辛二烯发生环丙烷化反应得到内型和外型的环丙烷环辛烯混合物，但内型产物占比低，需要柱层析反复纯化，收率20%左右，大规模生产成本很高。</w:t>
            </w:r>
          </w:p>
          <w:p>
            <w:pPr>
              <w:spacing w:line="324" w:lineRule="auto"/>
              <w:ind w:firstLine="480" w:firstLineChars="200"/>
              <w:rPr>
                <w:sz w:val="24"/>
              </w:rPr>
            </w:pPr>
            <w:r>
              <w:rPr>
                <w:sz w:val="24"/>
              </w:rPr>
              <w:t>为解决这个问题，西安福诺医药科技有限公司采用重氮丙二酸酯与1,5-环辛二烯环丙烷化反应首先合成丙二酸酯环丙烷环辛烯中间体，随后采用水解丙二酸酯成丙二酸衍生物后加热脱羧的方法，选择性的脱除其中一个羧基，以较好的立体选择性合成了内型关键中间体，极大的降低了endo-BCN-OH的生产成本。</w:t>
            </w:r>
          </w:p>
          <w:p>
            <w:pPr>
              <w:spacing w:line="324" w:lineRule="auto"/>
              <w:ind w:firstLine="480" w:firstLineChars="200"/>
              <w:rPr>
                <w:sz w:val="24"/>
              </w:rPr>
            </w:pPr>
            <w:r>
              <w:rPr>
                <w:rStyle w:val="35"/>
                <w:rFonts w:hint="default" w:ascii="Times New Roman" w:hAnsi="Times New Roman"/>
                <w:color w:val="auto"/>
              </w:rPr>
              <w:t>运营期主要污染物为废气、废水、固废等。</w:t>
            </w:r>
          </w:p>
          <w:p>
            <w:pPr>
              <w:spacing w:line="324" w:lineRule="auto"/>
              <w:ind w:firstLine="480" w:firstLineChars="200"/>
              <w:jc w:val="left"/>
              <w:rPr>
                <w:sz w:val="24"/>
              </w:rPr>
            </w:pPr>
            <w:r>
              <w:rPr>
                <w:sz w:val="24"/>
              </w:rPr>
              <w:t>实验具体操作如下：</w:t>
            </w:r>
          </w:p>
          <w:p>
            <w:pPr>
              <w:spacing w:line="324" w:lineRule="auto"/>
              <w:jc w:val="center"/>
              <w:rPr>
                <w:sz w:val="24"/>
              </w:rPr>
            </w:pPr>
            <w:r>
              <w:drawing>
                <wp:inline distT="0" distB="0" distL="0" distR="0">
                  <wp:extent cx="2898140" cy="94107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63677" cy="962296"/>
                          </a:xfrm>
                          <a:prstGeom prst="rect">
                            <a:avLst/>
                          </a:prstGeom>
                        </pic:spPr>
                      </pic:pic>
                    </a:graphicData>
                  </a:graphic>
                </wp:inline>
              </w:drawing>
            </w:r>
          </w:p>
          <w:p>
            <w:pPr>
              <w:spacing w:line="324" w:lineRule="auto"/>
              <w:ind w:left="-42" w:leftChars="-20"/>
              <w:jc w:val="left"/>
              <w:rPr>
                <w:sz w:val="24"/>
              </w:rPr>
            </w:pPr>
            <w:r>
              <w:drawing>
                <wp:inline distT="0" distB="0" distL="0" distR="0">
                  <wp:extent cx="5187315" cy="1238885"/>
                  <wp:effectExtent l="0" t="0" r="0" b="0"/>
                  <wp:docPr id="4447094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709465"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87315" cy="1238885"/>
                          </a:xfrm>
                          <a:prstGeom prst="rect">
                            <a:avLst/>
                          </a:prstGeom>
                          <a:noFill/>
                          <a:ln>
                            <a:noFill/>
                          </a:ln>
                        </pic:spPr>
                      </pic:pic>
                    </a:graphicData>
                  </a:graphic>
                </wp:inline>
              </w:drawing>
            </w:r>
          </w:p>
          <w:p>
            <w:pPr>
              <w:spacing w:line="360" w:lineRule="auto"/>
              <w:jc w:val="center"/>
              <w:rPr>
                <w:sz w:val="24"/>
              </w:rPr>
            </w:pPr>
            <w:r>
              <w:drawing>
                <wp:inline distT="0" distB="0" distL="0" distR="0">
                  <wp:extent cx="2722880" cy="944245"/>
                  <wp:effectExtent l="0" t="0" r="1270" b="825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09316" cy="974403"/>
                          </a:xfrm>
                          <a:prstGeom prst="rect">
                            <a:avLst/>
                          </a:prstGeom>
                        </pic:spPr>
                      </pic:pic>
                    </a:graphicData>
                  </a:graphic>
                </wp:inline>
              </w:drawing>
            </w:r>
          </w:p>
          <w:p>
            <w:pPr>
              <w:spacing w:line="324" w:lineRule="auto"/>
              <w:ind w:left="-42" w:leftChars="-20"/>
              <w:jc w:val="left"/>
              <w:rPr>
                <w:sz w:val="24"/>
              </w:rPr>
            </w:pPr>
            <w:r>
              <w:drawing>
                <wp:inline distT="0" distB="0" distL="0" distR="0">
                  <wp:extent cx="5379720" cy="1040765"/>
                  <wp:effectExtent l="0" t="0" r="0" b="698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r="1197"/>
                          <a:stretch>
                            <a:fillRect/>
                          </a:stretch>
                        </pic:blipFill>
                        <pic:spPr>
                          <a:xfrm>
                            <a:off x="0" y="0"/>
                            <a:ext cx="5380188" cy="1041215"/>
                          </a:xfrm>
                          <a:prstGeom prst="rect">
                            <a:avLst/>
                          </a:prstGeom>
                          <a:ln>
                            <a:noFill/>
                          </a:ln>
                        </pic:spPr>
                      </pic:pic>
                    </a:graphicData>
                  </a:graphic>
                </wp:inline>
              </w:drawing>
            </w:r>
          </w:p>
          <w:p>
            <w:pPr>
              <w:spacing w:line="360" w:lineRule="auto"/>
              <w:jc w:val="center"/>
              <w:rPr>
                <w:sz w:val="24"/>
              </w:rPr>
            </w:pPr>
            <w:r>
              <w:drawing>
                <wp:inline distT="0" distB="0" distL="0" distR="0">
                  <wp:extent cx="2238375" cy="103759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91129" cy="1062165"/>
                          </a:xfrm>
                          <a:prstGeom prst="rect">
                            <a:avLst/>
                          </a:prstGeom>
                        </pic:spPr>
                      </pic:pic>
                    </a:graphicData>
                  </a:graphic>
                </wp:inline>
              </w:drawing>
            </w:r>
          </w:p>
          <w:p>
            <w:pPr>
              <w:spacing w:line="360" w:lineRule="auto"/>
              <w:rPr>
                <w:sz w:val="24"/>
              </w:rPr>
            </w:pPr>
            <w:r>
              <w:drawing>
                <wp:inline distT="0" distB="0" distL="0" distR="0">
                  <wp:extent cx="5187315" cy="1146175"/>
                  <wp:effectExtent l="0" t="0" r="0" b="0"/>
                  <wp:docPr id="2781138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113857"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7315" cy="1146175"/>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675" w:type="dxa"/>
            <w:vAlign w:val="center"/>
          </w:tcPr>
          <w:p>
            <w:pPr>
              <w:pStyle w:val="21"/>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 w:val="21"/>
                <w:szCs w:val="21"/>
              </w:rPr>
              <w:t>与项目有关的原有环境污染问题</w:t>
            </w:r>
          </w:p>
        </w:tc>
        <w:tc>
          <w:tcPr>
            <w:tcW w:w="8385" w:type="dxa"/>
            <w:vAlign w:val="center"/>
          </w:tcPr>
          <w:p>
            <w:pPr>
              <w:pStyle w:val="39"/>
              <w:spacing w:before="120" w:beforeLines="50"/>
              <w:ind w:firstLine="480"/>
              <w:rPr>
                <w:rFonts w:hAnsi="Times New Roman"/>
              </w:rPr>
            </w:pPr>
            <w:r>
              <w:rPr>
                <w:rFonts w:hAnsi="Times New Roman"/>
              </w:rPr>
              <w:t>本项目为新建项目，租赁长安创新科技产业园20403室厂房进行建设，租赁合同详见附件4。</w:t>
            </w:r>
            <w:r>
              <w:rPr>
                <w:rFonts w:hAnsi="Times New Roman"/>
                <w:kern w:val="0"/>
              </w:rPr>
              <w:t>厂房在租赁前一直处于空置状态</w:t>
            </w:r>
            <w:r>
              <w:rPr>
                <w:rFonts w:hAnsi="Times New Roman"/>
              </w:rPr>
              <w:t>。</w:t>
            </w:r>
          </w:p>
          <w:p>
            <w:pPr>
              <w:pStyle w:val="39"/>
              <w:ind w:firstLine="482"/>
              <w:rPr>
                <w:rFonts w:hAnsi="Times New Roman"/>
              </w:rPr>
            </w:pPr>
            <w:r>
              <w:rPr>
                <w:rFonts w:hAnsi="Times New Roman"/>
              </w:rPr>
              <w:t>根据现场调查，项目租用标准化厂房，无与本项目有关的原有污染情况。</w:t>
            </w:r>
          </w:p>
          <w:p>
            <w:pPr>
              <w:pStyle w:val="39"/>
              <w:ind w:firstLine="482"/>
              <w:rPr>
                <w:rFonts w:hAnsi="Times New Roman"/>
              </w:rPr>
            </w:pPr>
          </w:p>
          <w:p>
            <w:pPr>
              <w:pStyle w:val="39"/>
              <w:ind w:firstLine="482"/>
              <w:rPr>
                <w:rFonts w:hAnsi="Times New Roman"/>
              </w:rPr>
            </w:pPr>
          </w:p>
          <w:p>
            <w:pPr>
              <w:pStyle w:val="39"/>
              <w:ind w:firstLine="482"/>
              <w:rPr>
                <w:rFonts w:hAnsi="Times New Roman"/>
              </w:rPr>
            </w:pPr>
          </w:p>
          <w:p>
            <w:pPr>
              <w:pStyle w:val="39"/>
              <w:ind w:firstLine="482"/>
              <w:rPr>
                <w:rFonts w:hAnsi="Times New Roman"/>
              </w:rPr>
            </w:pPr>
          </w:p>
          <w:p>
            <w:pPr>
              <w:pStyle w:val="39"/>
              <w:ind w:firstLine="482"/>
              <w:rPr>
                <w:rFonts w:hAnsi="Times New Roman"/>
              </w:rPr>
            </w:pPr>
          </w:p>
          <w:p>
            <w:pPr>
              <w:pStyle w:val="39"/>
              <w:ind w:firstLine="482"/>
              <w:rPr>
                <w:rFonts w:hAnsi="Times New Roman"/>
              </w:rPr>
            </w:pPr>
          </w:p>
          <w:p>
            <w:pPr>
              <w:pStyle w:val="39"/>
              <w:ind w:firstLine="482"/>
              <w:rPr>
                <w:rFonts w:hAnsi="Times New Roman"/>
              </w:rPr>
            </w:pPr>
          </w:p>
          <w:p/>
          <w:p/>
          <w:p/>
          <w:p/>
          <w:p/>
          <w:p/>
          <w:p/>
          <w:p>
            <w:pPr>
              <w:rPr>
                <w:rFonts w:hint="eastAsia"/>
              </w:rPr>
            </w:pPr>
          </w:p>
          <w:p/>
          <w:p>
            <w:pPr>
              <w:pStyle w:val="39"/>
              <w:ind w:firstLine="482"/>
              <w:rPr>
                <w:rFonts w:hAnsi="Times New Roman"/>
              </w:rPr>
            </w:pPr>
          </w:p>
          <w:p>
            <w:pPr>
              <w:pStyle w:val="39"/>
              <w:ind w:firstLine="0"/>
              <w:rPr>
                <w:rFonts w:hAnsi="Times New Roman"/>
              </w:rPr>
            </w:pPr>
          </w:p>
        </w:tc>
      </w:tr>
    </w:tbl>
    <w:p>
      <w:pPr>
        <w:pStyle w:val="21"/>
        <w:jc w:val="center"/>
        <w:rPr>
          <w:rFonts w:ascii="Times New Roman" w:hAnsi="Times New Roman" w:eastAsia="黑体"/>
          <w:snapToGrid w:val="0"/>
          <w:sz w:val="36"/>
          <w:szCs w:val="36"/>
        </w:rPr>
        <w:sectPr>
          <w:pgSz w:w="11906" w:h="16838"/>
          <w:pgMar w:top="1701" w:right="1531" w:bottom="1701" w:left="1531" w:header="851" w:footer="851" w:gutter="0"/>
          <w:cols w:space="720" w:num="1"/>
          <w:docGrid w:linePitch="312" w:charSpace="0"/>
        </w:sectPr>
      </w:pPr>
    </w:p>
    <w:p>
      <w:pPr>
        <w:pStyle w:val="21"/>
        <w:jc w:val="center"/>
        <w:outlineLvl w:val="0"/>
        <w:rPr>
          <w:rFonts w:ascii="Times New Roman" w:hAnsi="Times New Roman" w:eastAsia="黑体"/>
          <w:snapToGrid w:val="0"/>
          <w:sz w:val="30"/>
          <w:szCs w:val="30"/>
        </w:rPr>
      </w:pPr>
      <w:bookmarkStart w:id="6" w:name="_Toc117495860"/>
      <w:r>
        <w:rPr>
          <w:rFonts w:ascii="Times New Roman" w:hAnsi="Times New Roman" w:eastAsia="黑体"/>
          <w:snapToGrid w:val="0"/>
          <w:sz w:val="30"/>
          <w:szCs w:val="30"/>
        </w:rPr>
        <w:t>三、区域环境质量现状、环境保护目标及评价标准</w:t>
      </w:r>
      <w:bookmarkEnd w:id="6"/>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2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0" w:type="dxa"/>
            <w:vAlign w:val="center"/>
          </w:tcPr>
          <w:p>
            <w:pPr>
              <w:adjustRightInd w:val="0"/>
              <w:snapToGrid w:val="0"/>
              <w:jc w:val="center"/>
              <w:rPr>
                <w:kern w:val="0"/>
                <w:sz w:val="24"/>
              </w:rPr>
            </w:pPr>
            <w:r>
              <w:rPr>
                <w:kern w:val="0"/>
                <w:sz w:val="24"/>
              </w:rPr>
              <w:t>区域</w:t>
            </w:r>
          </w:p>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质量</w:t>
            </w:r>
          </w:p>
          <w:p>
            <w:pPr>
              <w:adjustRightInd w:val="0"/>
              <w:snapToGrid w:val="0"/>
              <w:jc w:val="center"/>
              <w:rPr>
                <w:kern w:val="0"/>
                <w:sz w:val="24"/>
              </w:rPr>
            </w:pPr>
            <w:r>
              <w:rPr>
                <w:kern w:val="0"/>
                <w:sz w:val="24"/>
              </w:rPr>
              <w:t>现状</w:t>
            </w:r>
          </w:p>
        </w:tc>
        <w:tc>
          <w:tcPr>
            <w:tcW w:w="8190" w:type="dxa"/>
            <w:vAlign w:val="center"/>
          </w:tcPr>
          <w:p>
            <w:pPr>
              <w:adjustRightInd w:val="0"/>
              <w:snapToGrid w:val="0"/>
              <w:spacing w:line="360" w:lineRule="auto"/>
              <w:ind w:firstLine="482" w:firstLineChars="200"/>
              <w:rPr>
                <w:b/>
                <w:bCs/>
                <w:sz w:val="24"/>
              </w:rPr>
            </w:pPr>
            <w:r>
              <w:rPr>
                <w:b/>
                <w:bCs/>
                <w:sz w:val="24"/>
              </w:rPr>
              <w:t>一</w:t>
            </w:r>
            <w:r>
              <w:rPr>
                <w:rFonts w:hint="eastAsia"/>
                <w:b/>
                <w:bCs/>
                <w:sz w:val="24"/>
              </w:rPr>
              <w:t>、</w:t>
            </w:r>
            <w:r>
              <w:rPr>
                <w:b/>
                <w:bCs/>
                <w:sz w:val="24"/>
              </w:rPr>
              <w:t>大气环境</w:t>
            </w:r>
          </w:p>
          <w:p>
            <w:pPr>
              <w:spacing w:line="360" w:lineRule="auto"/>
              <w:ind w:firstLine="482" w:firstLineChars="200"/>
              <w:rPr>
                <w:b/>
                <w:bCs/>
                <w:sz w:val="24"/>
              </w:rPr>
            </w:pPr>
            <w:r>
              <w:rPr>
                <w:b/>
                <w:bCs/>
                <w:sz w:val="24"/>
              </w:rPr>
              <w:t>1、基本污染物环境质量现状</w:t>
            </w:r>
          </w:p>
          <w:p>
            <w:pPr>
              <w:widowControl/>
              <w:adjustRightInd w:val="0"/>
              <w:snapToGrid w:val="0"/>
              <w:spacing w:line="360" w:lineRule="auto"/>
              <w:ind w:firstLine="480" w:firstLineChars="200"/>
              <w:rPr>
                <w:kern w:val="0"/>
                <w:sz w:val="24"/>
              </w:rPr>
            </w:pPr>
            <w:r>
              <w:rPr>
                <w:kern w:val="0"/>
                <w:sz w:val="24"/>
              </w:rPr>
              <w:t>本项目位于西安市长安区，根据大气功能区划，本项目所在地为二类功能区，环境空气质量标准执行《环境空气质量标准》（GB3095-</w:t>
            </w:r>
            <w:r>
              <w:rPr>
                <w:kern w:val="0"/>
                <w:sz w:val="24"/>
              </w:rPr>
              <w:softHyphen/>
            </w:r>
            <w:r>
              <w:rPr>
                <w:kern w:val="0"/>
                <w:sz w:val="24"/>
              </w:rPr>
              <w:t>2012）二级标准要求。根据陕西省生态环境厅办公室发布的《2022年12月及1~12月全省环境空气质量状况》，2022年1~12月关中地区64个县（区）空气质量状况统计表中长安区统计数据，如下表3-1。</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表3-1  区域空气质量现状评价表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779"/>
              <w:gridCol w:w="2247"/>
              <w:gridCol w:w="1199"/>
              <w:gridCol w:w="1422"/>
              <w:gridCol w:w="1137"/>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9" w:hRule="atLeast"/>
                <w:jc w:val="center"/>
              </w:trPr>
              <w:tc>
                <w:tcPr>
                  <w:tcW w:w="488" w:type="pct"/>
                  <w:vAlign w:val="center"/>
                </w:tcPr>
                <w:p>
                  <w:pPr>
                    <w:widowControl/>
                    <w:adjustRightInd w:val="0"/>
                    <w:snapToGrid w:val="0"/>
                    <w:jc w:val="center"/>
                    <w:rPr>
                      <w:kern w:val="0"/>
                      <w:szCs w:val="21"/>
                    </w:rPr>
                  </w:pPr>
                  <w:r>
                    <w:rPr>
                      <w:kern w:val="0"/>
                      <w:szCs w:val="21"/>
                    </w:rPr>
                    <w:t>污染物</w:t>
                  </w:r>
                </w:p>
              </w:tc>
              <w:tc>
                <w:tcPr>
                  <w:tcW w:w="1405" w:type="pct"/>
                  <w:vAlign w:val="center"/>
                </w:tcPr>
                <w:p>
                  <w:pPr>
                    <w:widowControl/>
                    <w:adjustRightInd w:val="0"/>
                    <w:snapToGrid w:val="0"/>
                    <w:jc w:val="center"/>
                    <w:rPr>
                      <w:kern w:val="0"/>
                      <w:szCs w:val="21"/>
                    </w:rPr>
                  </w:pPr>
                  <w:r>
                    <w:rPr>
                      <w:kern w:val="0"/>
                      <w:szCs w:val="21"/>
                    </w:rPr>
                    <w:t>年评价指标</w:t>
                  </w:r>
                </w:p>
              </w:tc>
              <w:tc>
                <w:tcPr>
                  <w:tcW w:w="750" w:type="pct"/>
                  <w:vAlign w:val="center"/>
                </w:tcPr>
                <w:p>
                  <w:pPr>
                    <w:widowControl/>
                    <w:adjustRightInd w:val="0"/>
                    <w:snapToGrid w:val="0"/>
                    <w:jc w:val="center"/>
                    <w:rPr>
                      <w:kern w:val="0"/>
                      <w:szCs w:val="21"/>
                    </w:rPr>
                  </w:pPr>
                  <w:r>
                    <w:rPr>
                      <w:kern w:val="0"/>
                      <w:szCs w:val="21"/>
                    </w:rPr>
                    <w:t>现状浓度μg/m</w:t>
                  </w:r>
                  <w:r>
                    <w:rPr>
                      <w:kern w:val="0"/>
                      <w:szCs w:val="21"/>
                      <w:vertAlign w:val="superscript"/>
                    </w:rPr>
                    <w:t>3</w:t>
                  </w:r>
                </w:p>
              </w:tc>
              <w:tc>
                <w:tcPr>
                  <w:tcW w:w="889" w:type="pct"/>
                  <w:vAlign w:val="center"/>
                </w:tcPr>
                <w:p>
                  <w:pPr>
                    <w:widowControl/>
                    <w:adjustRightInd w:val="0"/>
                    <w:snapToGrid w:val="0"/>
                    <w:jc w:val="center"/>
                    <w:rPr>
                      <w:kern w:val="0"/>
                      <w:szCs w:val="21"/>
                    </w:rPr>
                  </w:pPr>
                  <w:r>
                    <w:rPr>
                      <w:kern w:val="0"/>
                      <w:szCs w:val="21"/>
                    </w:rPr>
                    <w:t>标准值μg/m</w:t>
                  </w:r>
                  <w:r>
                    <w:rPr>
                      <w:kern w:val="0"/>
                      <w:szCs w:val="21"/>
                      <w:vertAlign w:val="superscript"/>
                    </w:rPr>
                    <w:t>3</w:t>
                  </w:r>
                </w:p>
              </w:tc>
              <w:tc>
                <w:tcPr>
                  <w:tcW w:w="711" w:type="pct"/>
                  <w:vAlign w:val="center"/>
                </w:tcPr>
                <w:p>
                  <w:pPr>
                    <w:widowControl/>
                    <w:adjustRightInd w:val="0"/>
                    <w:snapToGrid w:val="0"/>
                    <w:jc w:val="center"/>
                    <w:rPr>
                      <w:kern w:val="0"/>
                      <w:szCs w:val="21"/>
                    </w:rPr>
                  </w:pPr>
                  <w:r>
                    <w:rPr>
                      <w:kern w:val="0"/>
                      <w:szCs w:val="21"/>
                    </w:rPr>
                    <w:t>占标率%</w:t>
                  </w:r>
                </w:p>
              </w:tc>
              <w:tc>
                <w:tcPr>
                  <w:tcW w:w="754" w:type="pct"/>
                  <w:vAlign w:val="center"/>
                </w:tcPr>
                <w:p>
                  <w:pPr>
                    <w:widowControl/>
                    <w:adjustRightInd w:val="0"/>
                    <w:snapToGrid w:val="0"/>
                    <w:jc w:val="center"/>
                    <w:rPr>
                      <w:kern w:val="0"/>
                      <w:szCs w:val="21"/>
                    </w:rPr>
                  </w:pPr>
                  <w:r>
                    <w:rPr>
                      <w:kern w:val="0"/>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9" w:hRule="atLeast"/>
                <w:jc w:val="center"/>
              </w:trPr>
              <w:tc>
                <w:tcPr>
                  <w:tcW w:w="488" w:type="pct"/>
                  <w:vAlign w:val="center"/>
                </w:tcPr>
                <w:p>
                  <w:pPr>
                    <w:widowControl/>
                    <w:adjustRightInd w:val="0"/>
                    <w:snapToGrid w:val="0"/>
                    <w:jc w:val="center"/>
                    <w:rPr>
                      <w:kern w:val="0"/>
                      <w:szCs w:val="21"/>
                    </w:rPr>
                  </w:pPr>
                  <w:r>
                    <w:rPr>
                      <w:kern w:val="0"/>
                      <w:szCs w:val="21"/>
                    </w:rPr>
                    <w:t>SO</w:t>
                  </w:r>
                  <w:r>
                    <w:rPr>
                      <w:kern w:val="0"/>
                      <w:szCs w:val="21"/>
                      <w:vertAlign w:val="subscript"/>
                    </w:rPr>
                    <w:t>2</w:t>
                  </w:r>
                </w:p>
              </w:tc>
              <w:tc>
                <w:tcPr>
                  <w:tcW w:w="1405" w:type="pct"/>
                  <w:vAlign w:val="center"/>
                </w:tcPr>
                <w:p>
                  <w:pPr>
                    <w:widowControl/>
                    <w:adjustRightInd w:val="0"/>
                    <w:snapToGrid w:val="0"/>
                    <w:jc w:val="center"/>
                    <w:rPr>
                      <w:kern w:val="0"/>
                      <w:szCs w:val="21"/>
                    </w:rPr>
                  </w:pPr>
                  <w:r>
                    <w:rPr>
                      <w:kern w:val="0"/>
                      <w:szCs w:val="21"/>
                    </w:rPr>
                    <w:t>年平均质量浓度</w:t>
                  </w:r>
                </w:p>
              </w:tc>
              <w:tc>
                <w:tcPr>
                  <w:tcW w:w="750" w:type="pct"/>
                  <w:vAlign w:val="center"/>
                </w:tcPr>
                <w:p>
                  <w:pPr>
                    <w:widowControl/>
                    <w:adjustRightInd w:val="0"/>
                    <w:snapToGrid w:val="0"/>
                    <w:jc w:val="center"/>
                    <w:rPr>
                      <w:kern w:val="0"/>
                      <w:szCs w:val="21"/>
                    </w:rPr>
                  </w:pPr>
                  <w:r>
                    <w:rPr>
                      <w:kern w:val="0"/>
                      <w:szCs w:val="21"/>
                    </w:rPr>
                    <w:t>8</w:t>
                  </w:r>
                </w:p>
              </w:tc>
              <w:tc>
                <w:tcPr>
                  <w:tcW w:w="889" w:type="pct"/>
                  <w:vAlign w:val="center"/>
                </w:tcPr>
                <w:p>
                  <w:pPr>
                    <w:widowControl/>
                    <w:adjustRightInd w:val="0"/>
                    <w:snapToGrid w:val="0"/>
                    <w:jc w:val="center"/>
                    <w:rPr>
                      <w:kern w:val="0"/>
                      <w:szCs w:val="21"/>
                    </w:rPr>
                  </w:pPr>
                  <w:r>
                    <w:rPr>
                      <w:kern w:val="0"/>
                      <w:szCs w:val="21"/>
                    </w:rPr>
                    <w:t>60</w:t>
                  </w:r>
                </w:p>
              </w:tc>
              <w:tc>
                <w:tcPr>
                  <w:tcW w:w="711" w:type="pct"/>
                  <w:vAlign w:val="center"/>
                </w:tcPr>
                <w:p>
                  <w:pPr>
                    <w:widowControl/>
                    <w:adjustRightInd w:val="0"/>
                    <w:snapToGrid w:val="0"/>
                    <w:jc w:val="center"/>
                    <w:rPr>
                      <w:kern w:val="0"/>
                      <w:szCs w:val="21"/>
                    </w:rPr>
                  </w:pPr>
                  <w:r>
                    <w:rPr>
                      <w:kern w:val="0"/>
                      <w:szCs w:val="21"/>
                    </w:rPr>
                    <w:t>13.33</w:t>
                  </w:r>
                </w:p>
              </w:tc>
              <w:tc>
                <w:tcPr>
                  <w:tcW w:w="754" w:type="pct"/>
                  <w:vAlign w:val="center"/>
                </w:tcPr>
                <w:p>
                  <w:pPr>
                    <w:widowControl/>
                    <w:adjustRightInd w:val="0"/>
                    <w:snapToGrid w:val="0"/>
                    <w:jc w:val="center"/>
                    <w:rPr>
                      <w:kern w:val="0"/>
                      <w:szCs w:val="21"/>
                    </w:rPr>
                  </w:pPr>
                  <w:r>
                    <w:rPr>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9" w:hRule="atLeast"/>
                <w:jc w:val="center"/>
              </w:trPr>
              <w:tc>
                <w:tcPr>
                  <w:tcW w:w="488" w:type="pct"/>
                  <w:vAlign w:val="center"/>
                </w:tcPr>
                <w:p>
                  <w:pPr>
                    <w:widowControl/>
                    <w:adjustRightInd w:val="0"/>
                    <w:snapToGrid w:val="0"/>
                    <w:jc w:val="center"/>
                    <w:rPr>
                      <w:kern w:val="0"/>
                      <w:szCs w:val="21"/>
                    </w:rPr>
                  </w:pPr>
                  <w:r>
                    <w:rPr>
                      <w:kern w:val="0"/>
                      <w:szCs w:val="21"/>
                    </w:rPr>
                    <w:t>NO</w:t>
                  </w:r>
                  <w:r>
                    <w:rPr>
                      <w:kern w:val="0"/>
                      <w:szCs w:val="21"/>
                      <w:vertAlign w:val="subscript"/>
                    </w:rPr>
                    <w:t>2</w:t>
                  </w:r>
                </w:p>
              </w:tc>
              <w:tc>
                <w:tcPr>
                  <w:tcW w:w="1405" w:type="pct"/>
                  <w:vAlign w:val="center"/>
                </w:tcPr>
                <w:p>
                  <w:pPr>
                    <w:widowControl/>
                    <w:adjustRightInd w:val="0"/>
                    <w:snapToGrid w:val="0"/>
                    <w:jc w:val="center"/>
                    <w:rPr>
                      <w:kern w:val="0"/>
                      <w:szCs w:val="21"/>
                    </w:rPr>
                  </w:pPr>
                  <w:r>
                    <w:rPr>
                      <w:kern w:val="0"/>
                      <w:szCs w:val="21"/>
                    </w:rPr>
                    <w:t>年平均质量浓度</w:t>
                  </w:r>
                </w:p>
              </w:tc>
              <w:tc>
                <w:tcPr>
                  <w:tcW w:w="750" w:type="pct"/>
                  <w:vAlign w:val="center"/>
                </w:tcPr>
                <w:p>
                  <w:pPr>
                    <w:widowControl/>
                    <w:adjustRightInd w:val="0"/>
                    <w:snapToGrid w:val="0"/>
                    <w:jc w:val="center"/>
                    <w:rPr>
                      <w:kern w:val="0"/>
                      <w:szCs w:val="21"/>
                    </w:rPr>
                  </w:pPr>
                  <w:r>
                    <w:rPr>
                      <w:kern w:val="0"/>
                      <w:szCs w:val="21"/>
                    </w:rPr>
                    <w:t>59</w:t>
                  </w:r>
                </w:p>
              </w:tc>
              <w:tc>
                <w:tcPr>
                  <w:tcW w:w="889" w:type="pct"/>
                  <w:vAlign w:val="center"/>
                </w:tcPr>
                <w:p>
                  <w:pPr>
                    <w:widowControl/>
                    <w:adjustRightInd w:val="0"/>
                    <w:snapToGrid w:val="0"/>
                    <w:jc w:val="center"/>
                    <w:rPr>
                      <w:kern w:val="0"/>
                      <w:szCs w:val="21"/>
                    </w:rPr>
                  </w:pPr>
                  <w:r>
                    <w:rPr>
                      <w:kern w:val="0"/>
                      <w:szCs w:val="21"/>
                    </w:rPr>
                    <w:t>40</w:t>
                  </w:r>
                </w:p>
              </w:tc>
              <w:tc>
                <w:tcPr>
                  <w:tcW w:w="711" w:type="pct"/>
                  <w:vAlign w:val="center"/>
                </w:tcPr>
                <w:p>
                  <w:pPr>
                    <w:widowControl/>
                    <w:adjustRightInd w:val="0"/>
                    <w:snapToGrid w:val="0"/>
                    <w:jc w:val="center"/>
                    <w:rPr>
                      <w:kern w:val="0"/>
                      <w:szCs w:val="21"/>
                    </w:rPr>
                  </w:pPr>
                  <w:r>
                    <w:rPr>
                      <w:kern w:val="0"/>
                      <w:szCs w:val="21"/>
                    </w:rPr>
                    <w:t>147.5</w:t>
                  </w:r>
                </w:p>
              </w:tc>
              <w:tc>
                <w:tcPr>
                  <w:tcW w:w="754" w:type="pct"/>
                  <w:vAlign w:val="center"/>
                </w:tcPr>
                <w:p>
                  <w:pPr>
                    <w:widowControl/>
                    <w:adjustRightInd w:val="0"/>
                    <w:snapToGrid w:val="0"/>
                    <w:jc w:val="center"/>
                    <w:rPr>
                      <w:kern w:val="0"/>
                      <w:szCs w:val="21"/>
                    </w:rPr>
                  </w:pPr>
                  <w:r>
                    <w:rPr>
                      <w:kern w:val="0"/>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9" w:hRule="atLeast"/>
                <w:jc w:val="center"/>
              </w:trPr>
              <w:tc>
                <w:tcPr>
                  <w:tcW w:w="488" w:type="pct"/>
                  <w:vAlign w:val="center"/>
                </w:tcPr>
                <w:p>
                  <w:pPr>
                    <w:widowControl/>
                    <w:adjustRightInd w:val="0"/>
                    <w:snapToGrid w:val="0"/>
                    <w:jc w:val="center"/>
                    <w:rPr>
                      <w:kern w:val="0"/>
                      <w:szCs w:val="21"/>
                    </w:rPr>
                  </w:pPr>
                  <w:r>
                    <w:rPr>
                      <w:kern w:val="0"/>
                      <w:szCs w:val="21"/>
                    </w:rPr>
                    <w:t>PM</w:t>
                  </w:r>
                  <w:r>
                    <w:rPr>
                      <w:kern w:val="0"/>
                      <w:szCs w:val="21"/>
                      <w:vertAlign w:val="subscript"/>
                    </w:rPr>
                    <w:t>10</w:t>
                  </w:r>
                </w:p>
              </w:tc>
              <w:tc>
                <w:tcPr>
                  <w:tcW w:w="1405" w:type="pct"/>
                  <w:vAlign w:val="center"/>
                </w:tcPr>
                <w:p>
                  <w:pPr>
                    <w:widowControl/>
                    <w:adjustRightInd w:val="0"/>
                    <w:snapToGrid w:val="0"/>
                    <w:jc w:val="center"/>
                    <w:rPr>
                      <w:kern w:val="0"/>
                      <w:szCs w:val="21"/>
                    </w:rPr>
                  </w:pPr>
                  <w:r>
                    <w:rPr>
                      <w:kern w:val="0"/>
                      <w:szCs w:val="21"/>
                    </w:rPr>
                    <w:t>年平均质量浓度</w:t>
                  </w:r>
                </w:p>
              </w:tc>
              <w:tc>
                <w:tcPr>
                  <w:tcW w:w="750" w:type="pct"/>
                  <w:vAlign w:val="center"/>
                </w:tcPr>
                <w:p>
                  <w:pPr>
                    <w:widowControl/>
                    <w:adjustRightInd w:val="0"/>
                    <w:snapToGrid w:val="0"/>
                    <w:jc w:val="center"/>
                    <w:rPr>
                      <w:kern w:val="0"/>
                      <w:szCs w:val="21"/>
                    </w:rPr>
                  </w:pPr>
                  <w:r>
                    <w:rPr>
                      <w:kern w:val="0"/>
                      <w:szCs w:val="21"/>
                    </w:rPr>
                    <w:t>159</w:t>
                  </w:r>
                </w:p>
              </w:tc>
              <w:tc>
                <w:tcPr>
                  <w:tcW w:w="889" w:type="pct"/>
                  <w:vAlign w:val="center"/>
                </w:tcPr>
                <w:p>
                  <w:pPr>
                    <w:widowControl/>
                    <w:adjustRightInd w:val="0"/>
                    <w:snapToGrid w:val="0"/>
                    <w:jc w:val="center"/>
                    <w:rPr>
                      <w:kern w:val="0"/>
                      <w:szCs w:val="21"/>
                    </w:rPr>
                  </w:pPr>
                  <w:r>
                    <w:rPr>
                      <w:kern w:val="0"/>
                      <w:szCs w:val="21"/>
                    </w:rPr>
                    <w:t>70</w:t>
                  </w:r>
                </w:p>
              </w:tc>
              <w:tc>
                <w:tcPr>
                  <w:tcW w:w="711" w:type="pct"/>
                  <w:vAlign w:val="center"/>
                </w:tcPr>
                <w:p>
                  <w:pPr>
                    <w:widowControl/>
                    <w:adjustRightInd w:val="0"/>
                    <w:snapToGrid w:val="0"/>
                    <w:jc w:val="center"/>
                    <w:rPr>
                      <w:kern w:val="0"/>
                      <w:szCs w:val="21"/>
                    </w:rPr>
                  </w:pPr>
                  <w:r>
                    <w:rPr>
                      <w:kern w:val="0"/>
                      <w:szCs w:val="21"/>
                    </w:rPr>
                    <w:t>227.1</w:t>
                  </w:r>
                </w:p>
              </w:tc>
              <w:tc>
                <w:tcPr>
                  <w:tcW w:w="754" w:type="pct"/>
                  <w:vAlign w:val="center"/>
                </w:tcPr>
                <w:p>
                  <w:pPr>
                    <w:widowControl/>
                    <w:adjustRightInd w:val="0"/>
                    <w:snapToGrid w:val="0"/>
                    <w:jc w:val="center"/>
                    <w:rPr>
                      <w:kern w:val="0"/>
                      <w:szCs w:val="21"/>
                    </w:rPr>
                  </w:pPr>
                  <w:r>
                    <w:rPr>
                      <w:kern w:val="0"/>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3" w:hRule="atLeast"/>
                <w:jc w:val="center"/>
              </w:trPr>
              <w:tc>
                <w:tcPr>
                  <w:tcW w:w="488" w:type="pct"/>
                  <w:vAlign w:val="center"/>
                </w:tcPr>
                <w:p>
                  <w:pPr>
                    <w:widowControl/>
                    <w:adjustRightInd w:val="0"/>
                    <w:snapToGrid w:val="0"/>
                    <w:jc w:val="center"/>
                    <w:rPr>
                      <w:kern w:val="0"/>
                      <w:szCs w:val="21"/>
                    </w:rPr>
                  </w:pPr>
                  <w:r>
                    <w:rPr>
                      <w:kern w:val="0"/>
                      <w:szCs w:val="21"/>
                    </w:rPr>
                    <w:t>PM</w:t>
                  </w:r>
                  <w:r>
                    <w:rPr>
                      <w:kern w:val="0"/>
                      <w:szCs w:val="21"/>
                      <w:vertAlign w:val="subscript"/>
                    </w:rPr>
                    <w:t>2.5</w:t>
                  </w:r>
                </w:p>
              </w:tc>
              <w:tc>
                <w:tcPr>
                  <w:tcW w:w="1405" w:type="pct"/>
                  <w:vAlign w:val="center"/>
                </w:tcPr>
                <w:p>
                  <w:pPr>
                    <w:widowControl/>
                    <w:adjustRightInd w:val="0"/>
                    <w:snapToGrid w:val="0"/>
                    <w:jc w:val="center"/>
                    <w:rPr>
                      <w:kern w:val="0"/>
                      <w:szCs w:val="21"/>
                    </w:rPr>
                  </w:pPr>
                  <w:r>
                    <w:rPr>
                      <w:kern w:val="0"/>
                      <w:szCs w:val="21"/>
                    </w:rPr>
                    <w:t>年平均质量浓度</w:t>
                  </w:r>
                </w:p>
              </w:tc>
              <w:tc>
                <w:tcPr>
                  <w:tcW w:w="750" w:type="pct"/>
                  <w:vAlign w:val="center"/>
                </w:tcPr>
                <w:p>
                  <w:pPr>
                    <w:widowControl/>
                    <w:adjustRightInd w:val="0"/>
                    <w:snapToGrid w:val="0"/>
                    <w:jc w:val="center"/>
                    <w:rPr>
                      <w:kern w:val="0"/>
                      <w:szCs w:val="21"/>
                    </w:rPr>
                  </w:pPr>
                  <w:r>
                    <w:rPr>
                      <w:kern w:val="0"/>
                      <w:szCs w:val="21"/>
                    </w:rPr>
                    <w:t>94</w:t>
                  </w:r>
                </w:p>
              </w:tc>
              <w:tc>
                <w:tcPr>
                  <w:tcW w:w="889" w:type="pct"/>
                  <w:vAlign w:val="center"/>
                </w:tcPr>
                <w:p>
                  <w:pPr>
                    <w:widowControl/>
                    <w:adjustRightInd w:val="0"/>
                    <w:snapToGrid w:val="0"/>
                    <w:jc w:val="center"/>
                    <w:rPr>
                      <w:kern w:val="0"/>
                      <w:szCs w:val="21"/>
                    </w:rPr>
                  </w:pPr>
                  <w:r>
                    <w:rPr>
                      <w:kern w:val="0"/>
                      <w:szCs w:val="21"/>
                    </w:rPr>
                    <w:t>35</w:t>
                  </w:r>
                </w:p>
              </w:tc>
              <w:tc>
                <w:tcPr>
                  <w:tcW w:w="711" w:type="pct"/>
                  <w:vAlign w:val="center"/>
                </w:tcPr>
                <w:p>
                  <w:pPr>
                    <w:widowControl/>
                    <w:adjustRightInd w:val="0"/>
                    <w:snapToGrid w:val="0"/>
                    <w:jc w:val="center"/>
                    <w:rPr>
                      <w:kern w:val="0"/>
                      <w:szCs w:val="21"/>
                    </w:rPr>
                  </w:pPr>
                  <w:r>
                    <w:rPr>
                      <w:kern w:val="0"/>
                      <w:szCs w:val="21"/>
                    </w:rPr>
                    <w:t>268.5</w:t>
                  </w:r>
                </w:p>
              </w:tc>
              <w:tc>
                <w:tcPr>
                  <w:tcW w:w="754" w:type="pct"/>
                  <w:vAlign w:val="center"/>
                </w:tcPr>
                <w:p>
                  <w:pPr>
                    <w:widowControl/>
                    <w:adjustRightInd w:val="0"/>
                    <w:snapToGrid w:val="0"/>
                    <w:jc w:val="center"/>
                    <w:rPr>
                      <w:kern w:val="0"/>
                      <w:szCs w:val="21"/>
                    </w:rPr>
                  </w:pPr>
                  <w:r>
                    <w:rPr>
                      <w:kern w:val="0"/>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56" w:hRule="atLeast"/>
                <w:jc w:val="center"/>
              </w:trPr>
              <w:tc>
                <w:tcPr>
                  <w:tcW w:w="488" w:type="pct"/>
                  <w:vAlign w:val="center"/>
                </w:tcPr>
                <w:p>
                  <w:pPr>
                    <w:widowControl/>
                    <w:adjustRightInd w:val="0"/>
                    <w:snapToGrid w:val="0"/>
                    <w:jc w:val="center"/>
                    <w:rPr>
                      <w:kern w:val="0"/>
                      <w:szCs w:val="21"/>
                    </w:rPr>
                  </w:pPr>
                  <w:r>
                    <w:rPr>
                      <w:kern w:val="0"/>
                      <w:szCs w:val="21"/>
                    </w:rPr>
                    <w:t>CO</w:t>
                  </w:r>
                </w:p>
              </w:tc>
              <w:tc>
                <w:tcPr>
                  <w:tcW w:w="1405" w:type="pct"/>
                  <w:vAlign w:val="center"/>
                </w:tcPr>
                <w:p>
                  <w:pPr>
                    <w:widowControl/>
                    <w:adjustRightInd w:val="0"/>
                    <w:snapToGrid w:val="0"/>
                    <w:jc w:val="center"/>
                    <w:rPr>
                      <w:kern w:val="0"/>
                      <w:szCs w:val="21"/>
                    </w:rPr>
                  </w:pPr>
                  <w:r>
                    <w:rPr>
                      <w:kern w:val="0"/>
                      <w:szCs w:val="21"/>
                    </w:rPr>
                    <w:t>24小时平均第95百分位浓度</w:t>
                  </w:r>
                </w:p>
              </w:tc>
              <w:tc>
                <w:tcPr>
                  <w:tcW w:w="750" w:type="pct"/>
                  <w:vAlign w:val="center"/>
                </w:tcPr>
                <w:p>
                  <w:pPr>
                    <w:widowControl/>
                    <w:adjustRightInd w:val="0"/>
                    <w:snapToGrid w:val="0"/>
                    <w:jc w:val="center"/>
                    <w:rPr>
                      <w:kern w:val="0"/>
                      <w:szCs w:val="21"/>
                    </w:rPr>
                  </w:pPr>
                  <w:r>
                    <w:rPr>
                      <w:kern w:val="0"/>
                      <w:szCs w:val="21"/>
                    </w:rPr>
                    <w:t>1600</w:t>
                  </w:r>
                </w:p>
              </w:tc>
              <w:tc>
                <w:tcPr>
                  <w:tcW w:w="889" w:type="pct"/>
                  <w:vAlign w:val="center"/>
                </w:tcPr>
                <w:p>
                  <w:pPr>
                    <w:widowControl/>
                    <w:adjustRightInd w:val="0"/>
                    <w:snapToGrid w:val="0"/>
                    <w:jc w:val="center"/>
                    <w:rPr>
                      <w:kern w:val="0"/>
                      <w:szCs w:val="21"/>
                    </w:rPr>
                  </w:pPr>
                  <w:r>
                    <w:rPr>
                      <w:kern w:val="0"/>
                      <w:szCs w:val="21"/>
                    </w:rPr>
                    <w:t>4000</w:t>
                  </w:r>
                </w:p>
              </w:tc>
              <w:tc>
                <w:tcPr>
                  <w:tcW w:w="711" w:type="pct"/>
                  <w:vAlign w:val="center"/>
                </w:tcPr>
                <w:p>
                  <w:pPr>
                    <w:widowControl/>
                    <w:adjustRightInd w:val="0"/>
                    <w:snapToGrid w:val="0"/>
                    <w:jc w:val="center"/>
                    <w:rPr>
                      <w:kern w:val="0"/>
                      <w:szCs w:val="21"/>
                    </w:rPr>
                  </w:pPr>
                  <w:r>
                    <w:rPr>
                      <w:kern w:val="0"/>
                      <w:szCs w:val="21"/>
                    </w:rPr>
                    <w:t>40.00</w:t>
                  </w:r>
                </w:p>
              </w:tc>
              <w:tc>
                <w:tcPr>
                  <w:tcW w:w="754" w:type="pct"/>
                  <w:vAlign w:val="center"/>
                </w:tcPr>
                <w:p>
                  <w:pPr>
                    <w:widowControl/>
                    <w:adjustRightInd w:val="0"/>
                    <w:snapToGrid w:val="0"/>
                    <w:jc w:val="center"/>
                    <w:rPr>
                      <w:kern w:val="0"/>
                      <w:szCs w:val="21"/>
                    </w:rPr>
                  </w:pPr>
                  <w:r>
                    <w:rPr>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9" w:hRule="atLeast"/>
                <w:jc w:val="center"/>
              </w:trPr>
              <w:tc>
                <w:tcPr>
                  <w:tcW w:w="488" w:type="pct"/>
                  <w:vAlign w:val="center"/>
                </w:tcPr>
                <w:p>
                  <w:pPr>
                    <w:widowControl/>
                    <w:adjustRightInd w:val="0"/>
                    <w:snapToGrid w:val="0"/>
                    <w:jc w:val="center"/>
                    <w:rPr>
                      <w:kern w:val="0"/>
                      <w:szCs w:val="21"/>
                    </w:rPr>
                  </w:pPr>
                  <w:r>
                    <w:rPr>
                      <w:kern w:val="0"/>
                      <w:szCs w:val="21"/>
                    </w:rPr>
                    <w:t>O</w:t>
                  </w:r>
                  <w:r>
                    <w:rPr>
                      <w:kern w:val="0"/>
                      <w:szCs w:val="21"/>
                      <w:vertAlign w:val="subscript"/>
                    </w:rPr>
                    <w:t>3</w:t>
                  </w:r>
                </w:p>
              </w:tc>
              <w:tc>
                <w:tcPr>
                  <w:tcW w:w="1405" w:type="pct"/>
                  <w:vAlign w:val="center"/>
                </w:tcPr>
                <w:p>
                  <w:pPr>
                    <w:widowControl/>
                    <w:adjustRightInd w:val="0"/>
                    <w:snapToGrid w:val="0"/>
                    <w:jc w:val="center"/>
                    <w:rPr>
                      <w:kern w:val="0"/>
                      <w:szCs w:val="21"/>
                    </w:rPr>
                  </w:pPr>
                  <w:r>
                    <w:rPr>
                      <w:kern w:val="0"/>
                      <w:szCs w:val="21"/>
                    </w:rPr>
                    <w:t>日最大8小时平均第90百分位数浓度</w:t>
                  </w:r>
                </w:p>
              </w:tc>
              <w:tc>
                <w:tcPr>
                  <w:tcW w:w="750" w:type="pct"/>
                  <w:vAlign w:val="center"/>
                </w:tcPr>
                <w:p>
                  <w:pPr>
                    <w:widowControl/>
                    <w:adjustRightInd w:val="0"/>
                    <w:snapToGrid w:val="0"/>
                    <w:jc w:val="center"/>
                    <w:rPr>
                      <w:kern w:val="0"/>
                      <w:szCs w:val="21"/>
                    </w:rPr>
                  </w:pPr>
                  <w:r>
                    <w:rPr>
                      <w:kern w:val="0"/>
                      <w:szCs w:val="21"/>
                    </w:rPr>
                    <w:t>74</w:t>
                  </w:r>
                </w:p>
              </w:tc>
              <w:tc>
                <w:tcPr>
                  <w:tcW w:w="889" w:type="pct"/>
                  <w:vAlign w:val="center"/>
                </w:tcPr>
                <w:p>
                  <w:pPr>
                    <w:widowControl/>
                    <w:adjustRightInd w:val="0"/>
                    <w:snapToGrid w:val="0"/>
                    <w:jc w:val="center"/>
                    <w:rPr>
                      <w:kern w:val="0"/>
                      <w:szCs w:val="21"/>
                    </w:rPr>
                  </w:pPr>
                  <w:r>
                    <w:rPr>
                      <w:kern w:val="0"/>
                      <w:szCs w:val="21"/>
                    </w:rPr>
                    <w:t>160</w:t>
                  </w:r>
                </w:p>
              </w:tc>
              <w:tc>
                <w:tcPr>
                  <w:tcW w:w="711" w:type="pct"/>
                  <w:vAlign w:val="center"/>
                </w:tcPr>
                <w:p>
                  <w:pPr>
                    <w:widowControl/>
                    <w:adjustRightInd w:val="0"/>
                    <w:snapToGrid w:val="0"/>
                    <w:jc w:val="center"/>
                    <w:rPr>
                      <w:kern w:val="0"/>
                      <w:szCs w:val="21"/>
                    </w:rPr>
                  </w:pPr>
                  <w:r>
                    <w:rPr>
                      <w:kern w:val="0"/>
                      <w:szCs w:val="21"/>
                    </w:rPr>
                    <w:t>46.25</w:t>
                  </w:r>
                </w:p>
              </w:tc>
              <w:tc>
                <w:tcPr>
                  <w:tcW w:w="754" w:type="pct"/>
                  <w:vAlign w:val="center"/>
                </w:tcPr>
                <w:p>
                  <w:pPr>
                    <w:widowControl/>
                    <w:adjustRightInd w:val="0"/>
                    <w:snapToGrid w:val="0"/>
                    <w:jc w:val="center"/>
                    <w:rPr>
                      <w:kern w:val="0"/>
                      <w:szCs w:val="21"/>
                    </w:rPr>
                  </w:pPr>
                  <w:r>
                    <w:rPr>
                      <w:kern w:val="0"/>
                      <w:szCs w:val="21"/>
                    </w:rPr>
                    <w:t>达标</w:t>
                  </w:r>
                </w:p>
              </w:tc>
            </w:tr>
          </w:tbl>
          <w:p>
            <w:pPr>
              <w:widowControl/>
              <w:adjustRightInd w:val="0"/>
              <w:snapToGrid w:val="0"/>
              <w:spacing w:before="120" w:beforeLines="50" w:line="360" w:lineRule="auto"/>
              <w:ind w:firstLine="480" w:firstLineChars="200"/>
              <w:rPr>
                <w:kern w:val="0"/>
                <w:sz w:val="24"/>
              </w:rPr>
            </w:pPr>
            <w:r>
              <w:rPr>
                <w:kern w:val="0"/>
                <w:sz w:val="24"/>
              </w:rPr>
              <w:t>由表中数据可知，项目所在区域SO</w:t>
            </w:r>
            <w:r>
              <w:rPr>
                <w:kern w:val="0"/>
                <w:sz w:val="24"/>
                <w:vertAlign w:val="subscript"/>
              </w:rPr>
              <w:t>2</w:t>
            </w:r>
            <w:r>
              <w:rPr>
                <w:kern w:val="0"/>
                <w:sz w:val="24"/>
              </w:rPr>
              <w:t>、O</w:t>
            </w:r>
            <w:r>
              <w:rPr>
                <w:kern w:val="0"/>
                <w:sz w:val="24"/>
                <w:vertAlign w:val="subscript"/>
              </w:rPr>
              <w:t>3</w:t>
            </w:r>
            <w:r>
              <w:rPr>
                <w:kern w:val="0"/>
                <w:sz w:val="24"/>
              </w:rPr>
              <w:t>第90百分位数日最大8h平均质量浓度、CO第95百分位数24h平均质量浓度均满足《环境空气质量标准》（GB3095-2012）的二级标准要求，PM</w:t>
            </w:r>
            <w:r>
              <w:rPr>
                <w:kern w:val="0"/>
                <w:sz w:val="24"/>
                <w:vertAlign w:val="subscript"/>
              </w:rPr>
              <w:t>2.5</w:t>
            </w:r>
            <w:r>
              <w:rPr>
                <w:kern w:val="0"/>
                <w:sz w:val="24"/>
              </w:rPr>
              <w:t>、PM</w:t>
            </w:r>
            <w:r>
              <w:rPr>
                <w:kern w:val="0"/>
                <w:sz w:val="24"/>
                <w:vertAlign w:val="subscript"/>
              </w:rPr>
              <w:t>10</w:t>
            </w:r>
            <w:r>
              <w:rPr>
                <w:kern w:val="0"/>
                <w:sz w:val="24"/>
              </w:rPr>
              <w:t>年平均质量浓度以及NO</w:t>
            </w:r>
            <w:r>
              <w:rPr>
                <w:kern w:val="0"/>
                <w:sz w:val="24"/>
                <w:vertAlign w:val="subscript"/>
              </w:rPr>
              <w:t>2</w:t>
            </w:r>
            <w:r>
              <w:rPr>
                <w:kern w:val="0"/>
                <w:sz w:val="24"/>
              </w:rPr>
              <w:t>年平均质量浓度不满足《环境空气质量标准》（GB3095-2012）的二级标准要求，因此项目所在区域为不达标区。</w:t>
            </w:r>
          </w:p>
          <w:p>
            <w:pPr>
              <w:spacing w:line="360" w:lineRule="auto"/>
              <w:ind w:firstLine="482" w:firstLineChars="200"/>
              <w:rPr>
                <w:b/>
                <w:bCs/>
                <w:sz w:val="24"/>
              </w:rPr>
            </w:pPr>
            <w:r>
              <w:rPr>
                <w:b/>
                <w:bCs/>
                <w:sz w:val="24"/>
              </w:rPr>
              <w:t>2、特征因子环境空气质量现状</w:t>
            </w:r>
          </w:p>
          <w:p>
            <w:pPr>
              <w:spacing w:line="360" w:lineRule="auto"/>
              <w:ind w:firstLine="480" w:firstLineChars="200"/>
              <w:rPr>
                <w:sz w:val="24"/>
              </w:rPr>
            </w:pPr>
            <w:r>
              <w:rPr>
                <w:sz w:val="24"/>
              </w:rPr>
              <w:t>为了解项目区域的环境空气质量特征因子，本次评价委托西安重光明宸检测技术有限公司对项目所在地的环境空气质量特征因子非甲烷总烃、甲苯进行了监测。监测时间为2023年8月10日-8月11日，监测点位距本项目的距离见表3-2，监测结果见表3-3。</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表3-2  监测点位与本项目的位置关系</w:t>
            </w:r>
          </w:p>
          <w:tbl>
            <w:tblPr>
              <w:tblStyle w:val="25"/>
              <w:tblW w:w="4998"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7"/>
              <w:gridCol w:w="2323"/>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3" w:type="pct"/>
                  <w:vMerge w:val="restart"/>
                  <w:tcBorders>
                    <w:tl2br w:val="nil"/>
                    <w:tr2bl w:val="nil"/>
                  </w:tcBorders>
                  <w:vAlign w:val="center"/>
                </w:tcPr>
                <w:p>
                  <w:pPr>
                    <w:jc w:val="center"/>
                    <w:rPr>
                      <w:szCs w:val="21"/>
                      <w:highlight w:val="yellow"/>
                    </w:rPr>
                  </w:pPr>
                  <w:r>
                    <w:rPr>
                      <w:szCs w:val="21"/>
                    </w:rPr>
                    <w:t>监测点位</w:t>
                  </w:r>
                </w:p>
              </w:tc>
              <w:tc>
                <w:tcPr>
                  <w:tcW w:w="3336" w:type="pct"/>
                  <w:gridSpan w:val="2"/>
                  <w:tcBorders>
                    <w:tl2br w:val="nil"/>
                    <w:tr2bl w:val="nil"/>
                  </w:tcBorders>
                  <w:vAlign w:val="center"/>
                </w:tcPr>
                <w:p>
                  <w:pPr>
                    <w:jc w:val="center"/>
                    <w:rPr>
                      <w:szCs w:val="21"/>
                    </w:rPr>
                  </w:pPr>
                  <w:r>
                    <w:rPr>
                      <w:szCs w:val="21"/>
                    </w:rPr>
                    <w:t>与本项目的位置关系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3" w:type="pct"/>
                  <w:vMerge w:val="continue"/>
                  <w:tcBorders>
                    <w:tl2br w:val="nil"/>
                    <w:tr2bl w:val="nil"/>
                  </w:tcBorders>
                  <w:vAlign w:val="center"/>
                </w:tcPr>
                <w:p>
                  <w:pPr>
                    <w:jc w:val="center"/>
                    <w:rPr>
                      <w:szCs w:val="21"/>
                      <w:highlight w:val="yellow"/>
                    </w:rPr>
                  </w:pPr>
                </w:p>
              </w:tc>
              <w:tc>
                <w:tcPr>
                  <w:tcW w:w="1454" w:type="pct"/>
                  <w:tcBorders>
                    <w:tl2br w:val="nil"/>
                    <w:tr2bl w:val="nil"/>
                  </w:tcBorders>
                  <w:vAlign w:val="center"/>
                </w:tcPr>
                <w:p>
                  <w:pPr>
                    <w:jc w:val="center"/>
                    <w:rPr>
                      <w:szCs w:val="21"/>
                    </w:rPr>
                  </w:pPr>
                  <w:r>
                    <w:rPr>
                      <w:szCs w:val="21"/>
                    </w:rPr>
                    <w:t>相对方位</w:t>
                  </w:r>
                </w:p>
              </w:tc>
              <w:tc>
                <w:tcPr>
                  <w:tcW w:w="1881" w:type="pct"/>
                  <w:tcBorders>
                    <w:tl2br w:val="nil"/>
                    <w:tr2bl w:val="nil"/>
                  </w:tcBorders>
                  <w:vAlign w:val="center"/>
                </w:tcPr>
                <w:p>
                  <w:pPr>
                    <w:jc w:val="center"/>
                    <w:rPr>
                      <w:szCs w:val="21"/>
                    </w:rPr>
                  </w:pPr>
                  <w:r>
                    <w:rPr>
                      <w:szCs w:val="21"/>
                    </w:rPr>
                    <w:t>距离/m（距本项目厂址中心）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3" w:type="pct"/>
                  <w:tcBorders>
                    <w:tl2br w:val="nil"/>
                    <w:tr2bl w:val="nil"/>
                  </w:tcBorders>
                  <w:vAlign w:val="center"/>
                </w:tcPr>
                <w:p>
                  <w:pPr>
                    <w:jc w:val="center"/>
                    <w:rPr>
                      <w:szCs w:val="21"/>
                      <w:highlight w:val="yellow"/>
                    </w:rPr>
                  </w:pPr>
                  <w:r>
                    <w:t>北小张村</w:t>
                  </w:r>
                </w:p>
              </w:tc>
              <w:tc>
                <w:tcPr>
                  <w:tcW w:w="1454" w:type="pct"/>
                  <w:tcBorders>
                    <w:tl2br w:val="nil"/>
                    <w:tr2bl w:val="nil"/>
                  </w:tcBorders>
                  <w:vAlign w:val="center"/>
                </w:tcPr>
                <w:p>
                  <w:pPr>
                    <w:spacing w:line="240" w:lineRule="exact"/>
                    <w:jc w:val="center"/>
                    <w:rPr>
                      <w:szCs w:val="21"/>
                    </w:rPr>
                  </w:pPr>
                  <w:r>
                    <w:rPr>
                      <w:szCs w:val="21"/>
                    </w:rPr>
                    <w:t>西南</w:t>
                  </w:r>
                </w:p>
              </w:tc>
              <w:tc>
                <w:tcPr>
                  <w:tcW w:w="1881" w:type="pct"/>
                  <w:tcBorders>
                    <w:tl2br w:val="nil"/>
                    <w:tr2bl w:val="nil"/>
                  </w:tcBorders>
                  <w:vAlign w:val="center"/>
                </w:tcPr>
                <w:p>
                  <w:pPr>
                    <w:spacing w:line="240" w:lineRule="exact"/>
                    <w:jc w:val="center"/>
                    <w:rPr>
                      <w:szCs w:val="21"/>
                    </w:rPr>
                  </w:pPr>
                  <w:r>
                    <w:rPr>
                      <w:szCs w:val="21"/>
                    </w:rPr>
                    <w:t>1567</w:t>
                  </w:r>
                </w:p>
              </w:tc>
            </w:tr>
          </w:tbl>
          <w:p>
            <w:pPr>
              <w:pStyle w:val="33"/>
              <w:adjustRightInd w:val="0"/>
              <w:spacing w:before="120" w:beforeLines="50" w:after="72" w:afterLines="30" w:line="240" w:lineRule="auto"/>
              <w:ind w:right="0" w:firstLine="420" w:firstLineChars="200"/>
              <w:rPr>
                <w:rFonts w:eastAsia="黑体"/>
                <w:b w:val="0"/>
                <w:kern w:val="24"/>
                <w:sz w:val="21"/>
                <w:szCs w:val="21"/>
              </w:rPr>
            </w:pPr>
            <w:r>
              <w:rPr>
                <w:rFonts w:eastAsia="黑体"/>
                <w:b w:val="0"/>
                <w:kern w:val="24"/>
                <w:sz w:val="21"/>
                <w:szCs w:val="21"/>
              </w:rPr>
              <w:t>表3-3  其他污染因子环境质量现状表</w:t>
            </w:r>
          </w:p>
          <w:tbl>
            <w:tblPr>
              <w:tblStyle w:val="25"/>
              <w:tblW w:w="4998"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1306"/>
              <w:gridCol w:w="1119"/>
              <w:gridCol w:w="1120"/>
              <w:gridCol w:w="1120"/>
              <w:gridCol w:w="11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7" w:type="pct"/>
                  <w:tcBorders>
                    <w:tl2br w:val="nil"/>
                    <w:tr2bl w:val="nil"/>
                  </w:tcBorders>
                  <w:vAlign w:val="center"/>
                </w:tcPr>
                <w:p>
                  <w:pPr>
                    <w:pStyle w:val="23"/>
                    <w:spacing w:after="0"/>
                    <w:ind w:left="0" w:leftChars="0" w:firstLine="0" w:firstLineChars="0"/>
                    <w:jc w:val="center"/>
                  </w:pPr>
                  <w:r>
                    <w:t>监测点位</w:t>
                  </w:r>
                </w:p>
              </w:tc>
              <w:tc>
                <w:tcPr>
                  <w:tcW w:w="817" w:type="pct"/>
                  <w:tcBorders>
                    <w:tl2br w:val="nil"/>
                    <w:tr2bl w:val="nil"/>
                  </w:tcBorders>
                  <w:vAlign w:val="center"/>
                </w:tcPr>
                <w:p>
                  <w:pPr>
                    <w:pStyle w:val="23"/>
                    <w:spacing w:after="0"/>
                    <w:ind w:left="0" w:leftChars="0" w:firstLine="0" w:firstLineChars="0"/>
                    <w:jc w:val="center"/>
                  </w:pPr>
                  <w:r>
                    <w:t>污染物</w:t>
                  </w:r>
                </w:p>
              </w:tc>
              <w:tc>
                <w:tcPr>
                  <w:tcW w:w="700" w:type="pct"/>
                  <w:tcBorders>
                    <w:tl2br w:val="nil"/>
                    <w:tr2bl w:val="nil"/>
                  </w:tcBorders>
                  <w:vAlign w:val="center"/>
                </w:tcPr>
                <w:p>
                  <w:pPr>
                    <w:pStyle w:val="23"/>
                    <w:spacing w:after="0"/>
                    <w:ind w:left="0" w:leftChars="0" w:firstLine="0" w:firstLineChars="0"/>
                    <w:jc w:val="center"/>
                  </w:pPr>
                  <w:r>
                    <w:t>现状浓度mg/m</w:t>
                  </w:r>
                  <w:r>
                    <w:rPr>
                      <w:vertAlign w:val="superscript"/>
                    </w:rPr>
                    <w:t>3</w:t>
                  </w:r>
                </w:p>
              </w:tc>
              <w:tc>
                <w:tcPr>
                  <w:tcW w:w="700" w:type="pct"/>
                  <w:tcBorders>
                    <w:tl2br w:val="nil"/>
                    <w:tr2bl w:val="nil"/>
                  </w:tcBorders>
                  <w:vAlign w:val="center"/>
                </w:tcPr>
                <w:p>
                  <w:pPr>
                    <w:pStyle w:val="23"/>
                    <w:spacing w:after="0"/>
                    <w:ind w:left="0" w:leftChars="0" w:firstLine="0" w:firstLineChars="0"/>
                    <w:jc w:val="center"/>
                  </w:pPr>
                  <w:r>
                    <w:t>评价标准</w:t>
                  </w:r>
                </w:p>
                <w:p>
                  <w:pPr>
                    <w:pStyle w:val="23"/>
                    <w:spacing w:after="0"/>
                    <w:ind w:left="0" w:leftChars="0" w:firstLine="0" w:firstLineChars="0"/>
                    <w:jc w:val="center"/>
                  </w:pPr>
                  <w:r>
                    <w:t>mg/m</w:t>
                  </w:r>
                  <w:r>
                    <w:rPr>
                      <w:vertAlign w:val="superscript"/>
                    </w:rPr>
                    <w:t>3</w:t>
                  </w:r>
                </w:p>
              </w:tc>
              <w:tc>
                <w:tcPr>
                  <w:tcW w:w="700" w:type="pct"/>
                  <w:tcBorders>
                    <w:tl2br w:val="nil"/>
                    <w:tr2bl w:val="nil"/>
                  </w:tcBorders>
                  <w:vAlign w:val="center"/>
                </w:tcPr>
                <w:p>
                  <w:pPr>
                    <w:pStyle w:val="23"/>
                    <w:spacing w:after="0"/>
                    <w:ind w:left="0" w:leftChars="0" w:firstLine="0" w:firstLineChars="0"/>
                    <w:jc w:val="center"/>
                  </w:pPr>
                  <w:r>
                    <w:t>最大浓度占标率%</w:t>
                  </w:r>
                </w:p>
              </w:tc>
              <w:tc>
                <w:tcPr>
                  <w:tcW w:w="700" w:type="pct"/>
                  <w:tcBorders>
                    <w:tl2br w:val="nil"/>
                    <w:tr2bl w:val="nil"/>
                  </w:tcBorders>
                  <w:vAlign w:val="center"/>
                </w:tcPr>
                <w:p>
                  <w:pPr>
                    <w:pStyle w:val="23"/>
                    <w:spacing w:after="0"/>
                    <w:ind w:left="0" w:leftChars="0" w:firstLine="0" w:firstLineChars="0"/>
                    <w:jc w:val="center"/>
                  </w:pPr>
                  <w:r>
                    <w:t>超标率%</w:t>
                  </w:r>
                </w:p>
              </w:tc>
              <w:tc>
                <w:tcPr>
                  <w:tcW w:w="700" w:type="pct"/>
                  <w:tcBorders>
                    <w:tl2br w:val="nil"/>
                    <w:tr2bl w:val="nil"/>
                  </w:tcBorders>
                  <w:vAlign w:val="center"/>
                </w:tcPr>
                <w:p>
                  <w:pPr>
                    <w:pStyle w:val="23"/>
                    <w:spacing w:after="0"/>
                    <w:ind w:left="0" w:leftChars="0" w:firstLine="0" w:firstLineChars="0"/>
                    <w:jc w:val="center"/>
                  </w:pPr>
                  <w: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7" w:type="pct"/>
                  <w:vMerge w:val="restart"/>
                  <w:tcBorders>
                    <w:tl2br w:val="nil"/>
                    <w:tr2bl w:val="nil"/>
                  </w:tcBorders>
                  <w:vAlign w:val="center"/>
                </w:tcPr>
                <w:p>
                  <w:pPr>
                    <w:pStyle w:val="23"/>
                    <w:spacing w:after="0"/>
                    <w:ind w:left="0" w:leftChars="0" w:firstLine="0" w:firstLineChars="0"/>
                    <w:rPr>
                      <w:highlight w:val="yellow"/>
                    </w:rPr>
                  </w:pPr>
                  <w:r>
                    <w:t>北小张村</w:t>
                  </w:r>
                </w:p>
              </w:tc>
              <w:tc>
                <w:tcPr>
                  <w:tcW w:w="817" w:type="pct"/>
                  <w:tcBorders>
                    <w:tl2br w:val="nil"/>
                    <w:tr2bl w:val="nil"/>
                  </w:tcBorders>
                  <w:vAlign w:val="center"/>
                </w:tcPr>
                <w:p>
                  <w:pPr>
                    <w:pStyle w:val="23"/>
                    <w:spacing w:after="0"/>
                    <w:ind w:left="0" w:leftChars="0" w:firstLine="0" w:firstLineChars="0"/>
                    <w:jc w:val="center"/>
                  </w:pPr>
                  <w:r>
                    <w:t>非甲烷总烃</w:t>
                  </w:r>
                </w:p>
              </w:tc>
              <w:tc>
                <w:tcPr>
                  <w:tcW w:w="700" w:type="pct"/>
                  <w:tcBorders>
                    <w:tl2br w:val="nil"/>
                    <w:tr2bl w:val="nil"/>
                  </w:tcBorders>
                  <w:vAlign w:val="center"/>
                </w:tcPr>
                <w:p>
                  <w:pPr>
                    <w:pStyle w:val="23"/>
                    <w:spacing w:after="0"/>
                    <w:ind w:left="0" w:leftChars="0" w:firstLine="0" w:firstLineChars="0"/>
                    <w:jc w:val="center"/>
                  </w:pPr>
                  <w:r>
                    <w:t>1.26</w:t>
                  </w:r>
                </w:p>
              </w:tc>
              <w:tc>
                <w:tcPr>
                  <w:tcW w:w="700" w:type="pct"/>
                  <w:tcBorders>
                    <w:tl2br w:val="nil"/>
                    <w:tr2bl w:val="nil"/>
                  </w:tcBorders>
                  <w:vAlign w:val="center"/>
                </w:tcPr>
                <w:p>
                  <w:pPr>
                    <w:pStyle w:val="23"/>
                    <w:spacing w:after="0"/>
                    <w:ind w:left="0" w:leftChars="0" w:firstLine="0" w:firstLineChars="0"/>
                    <w:jc w:val="center"/>
                    <w:rPr>
                      <w:highlight w:val="yellow"/>
                    </w:rPr>
                  </w:pPr>
                  <w:r>
                    <w:t>2.0</w:t>
                  </w:r>
                </w:p>
              </w:tc>
              <w:tc>
                <w:tcPr>
                  <w:tcW w:w="700" w:type="pct"/>
                  <w:tcBorders>
                    <w:tl2br w:val="nil"/>
                    <w:tr2bl w:val="nil"/>
                  </w:tcBorders>
                  <w:vAlign w:val="center"/>
                </w:tcPr>
                <w:p>
                  <w:pPr>
                    <w:pStyle w:val="23"/>
                    <w:spacing w:after="0"/>
                    <w:ind w:left="0" w:leftChars="0" w:firstLine="0" w:firstLineChars="0"/>
                    <w:jc w:val="center"/>
                    <w:rPr>
                      <w:highlight w:val="yellow"/>
                    </w:rPr>
                  </w:pPr>
                  <w:r>
                    <w:t>63%</w:t>
                  </w:r>
                </w:p>
              </w:tc>
              <w:tc>
                <w:tcPr>
                  <w:tcW w:w="700" w:type="pct"/>
                  <w:tcBorders>
                    <w:tl2br w:val="nil"/>
                    <w:tr2bl w:val="nil"/>
                  </w:tcBorders>
                  <w:vAlign w:val="center"/>
                </w:tcPr>
                <w:p>
                  <w:pPr>
                    <w:pStyle w:val="23"/>
                    <w:spacing w:after="0"/>
                    <w:ind w:left="0" w:leftChars="0" w:firstLine="0" w:firstLineChars="0"/>
                    <w:jc w:val="center"/>
                  </w:pPr>
                  <w:r>
                    <w:t>0</w:t>
                  </w:r>
                </w:p>
              </w:tc>
              <w:tc>
                <w:tcPr>
                  <w:tcW w:w="700" w:type="pct"/>
                  <w:tcBorders>
                    <w:tl2br w:val="nil"/>
                    <w:tr2bl w:val="nil"/>
                  </w:tcBorders>
                  <w:vAlign w:val="center"/>
                </w:tcPr>
                <w:p>
                  <w:pPr>
                    <w:pStyle w:val="23"/>
                    <w:spacing w:after="0"/>
                    <w:ind w:left="0" w:leftChars="0" w:firstLine="0" w:firstLineChars="0"/>
                    <w:jc w:val="center"/>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7" w:type="pct"/>
                  <w:vMerge w:val="continue"/>
                  <w:tcBorders>
                    <w:tl2br w:val="nil"/>
                    <w:tr2bl w:val="nil"/>
                  </w:tcBorders>
                  <w:vAlign w:val="center"/>
                </w:tcPr>
                <w:p>
                  <w:pPr>
                    <w:pStyle w:val="23"/>
                    <w:spacing w:after="0"/>
                    <w:jc w:val="center"/>
                    <w:rPr>
                      <w:highlight w:val="yellow"/>
                    </w:rPr>
                  </w:pPr>
                </w:p>
              </w:tc>
              <w:tc>
                <w:tcPr>
                  <w:tcW w:w="817" w:type="pct"/>
                  <w:tcBorders>
                    <w:tl2br w:val="nil"/>
                    <w:tr2bl w:val="nil"/>
                  </w:tcBorders>
                  <w:vAlign w:val="center"/>
                </w:tcPr>
                <w:p>
                  <w:pPr>
                    <w:pStyle w:val="23"/>
                    <w:spacing w:after="0"/>
                    <w:ind w:left="0" w:leftChars="0" w:firstLine="0" w:firstLineChars="0"/>
                    <w:jc w:val="center"/>
                  </w:pPr>
                  <w:r>
                    <w:t>甲苯</w:t>
                  </w:r>
                </w:p>
              </w:tc>
              <w:tc>
                <w:tcPr>
                  <w:tcW w:w="700" w:type="pct"/>
                  <w:tcBorders>
                    <w:tl2br w:val="nil"/>
                    <w:tr2bl w:val="nil"/>
                  </w:tcBorders>
                  <w:vAlign w:val="center"/>
                </w:tcPr>
                <w:p>
                  <w:pPr>
                    <w:pStyle w:val="23"/>
                    <w:spacing w:after="0"/>
                    <w:ind w:left="0" w:leftChars="0" w:firstLine="0" w:firstLineChars="0"/>
                    <w:jc w:val="center"/>
                  </w:pPr>
                  <w:r>
                    <w:t>ND</w:t>
                  </w:r>
                </w:p>
              </w:tc>
              <w:tc>
                <w:tcPr>
                  <w:tcW w:w="700" w:type="pct"/>
                  <w:tcBorders>
                    <w:tl2br w:val="nil"/>
                    <w:tr2bl w:val="nil"/>
                  </w:tcBorders>
                  <w:vAlign w:val="center"/>
                </w:tcPr>
                <w:p>
                  <w:pPr>
                    <w:pStyle w:val="23"/>
                    <w:spacing w:after="0"/>
                    <w:ind w:left="0" w:leftChars="0" w:firstLine="0" w:firstLineChars="0"/>
                    <w:jc w:val="center"/>
                    <w:rPr>
                      <w:highlight w:val="yellow"/>
                    </w:rPr>
                  </w:pPr>
                  <w:r>
                    <w:t>0.2</w:t>
                  </w:r>
                </w:p>
              </w:tc>
              <w:tc>
                <w:tcPr>
                  <w:tcW w:w="700" w:type="pct"/>
                  <w:tcBorders>
                    <w:tl2br w:val="nil"/>
                    <w:tr2bl w:val="nil"/>
                  </w:tcBorders>
                  <w:vAlign w:val="center"/>
                </w:tcPr>
                <w:p>
                  <w:pPr>
                    <w:pStyle w:val="23"/>
                    <w:spacing w:after="0"/>
                    <w:ind w:left="0" w:leftChars="0" w:firstLine="0" w:firstLineChars="0"/>
                    <w:jc w:val="center"/>
                    <w:rPr>
                      <w:highlight w:val="yellow"/>
                    </w:rPr>
                  </w:pPr>
                  <w:r>
                    <w:t>0</w:t>
                  </w:r>
                </w:p>
              </w:tc>
              <w:tc>
                <w:tcPr>
                  <w:tcW w:w="700" w:type="pct"/>
                  <w:tcBorders>
                    <w:tl2br w:val="nil"/>
                    <w:tr2bl w:val="nil"/>
                  </w:tcBorders>
                  <w:vAlign w:val="center"/>
                </w:tcPr>
                <w:p>
                  <w:pPr>
                    <w:pStyle w:val="23"/>
                    <w:spacing w:after="0"/>
                    <w:ind w:left="0" w:leftChars="0" w:firstLine="0" w:firstLineChars="0"/>
                    <w:jc w:val="center"/>
                  </w:pPr>
                  <w:r>
                    <w:t>0</w:t>
                  </w:r>
                </w:p>
              </w:tc>
              <w:tc>
                <w:tcPr>
                  <w:tcW w:w="700" w:type="pct"/>
                  <w:tcBorders>
                    <w:tl2br w:val="nil"/>
                    <w:tr2bl w:val="nil"/>
                  </w:tcBorders>
                  <w:vAlign w:val="center"/>
                </w:tcPr>
                <w:p>
                  <w:pPr>
                    <w:jc w:val="center"/>
                  </w:pPr>
                  <w:r>
                    <w:t>达标</w:t>
                  </w:r>
                </w:p>
              </w:tc>
            </w:tr>
          </w:tbl>
          <w:p>
            <w:pPr>
              <w:adjustRightInd w:val="0"/>
              <w:spacing w:line="360" w:lineRule="auto"/>
              <w:ind w:firstLine="422" w:firstLineChars="200"/>
              <w:rPr>
                <w:b/>
                <w:bCs/>
                <w:szCs w:val="21"/>
              </w:rPr>
            </w:pPr>
            <w:r>
              <w:rPr>
                <w:b/>
                <w:bCs/>
                <w:szCs w:val="21"/>
              </w:rPr>
              <w:t>注：本表数据取监测报告中最大值</w:t>
            </w:r>
          </w:p>
          <w:p>
            <w:pPr>
              <w:adjustRightInd w:val="0"/>
              <w:spacing w:line="360" w:lineRule="auto"/>
              <w:ind w:firstLine="480" w:firstLineChars="200"/>
              <w:rPr>
                <w:sz w:val="24"/>
              </w:rPr>
            </w:pPr>
            <w:r>
              <w:rPr>
                <w:sz w:val="24"/>
              </w:rPr>
              <w:t>由监测统计结果可以看出，项目所在地环境空气中非甲烷总烃满足《大气污染物综合排 放标准详解》推荐的取值2.0mg/m</w:t>
            </w:r>
            <w:r>
              <w:rPr>
                <w:sz w:val="24"/>
                <w:vertAlign w:val="superscript"/>
              </w:rPr>
              <w:t>3</w:t>
            </w:r>
            <w:r>
              <w:rPr>
                <w:sz w:val="24"/>
              </w:rPr>
              <w:t>要求</w:t>
            </w:r>
            <w:r>
              <w:rPr>
                <w:rFonts w:hint="eastAsia"/>
                <w:sz w:val="24"/>
              </w:rPr>
              <w:t>；</w:t>
            </w:r>
            <w:r>
              <w:rPr>
                <w:sz w:val="24"/>
              </w:rPr>
              <w:t>甲苯满足《环境影响评价技术导则 大气环境》（HJ2.2-2018）中的附录D中1小时值。</w:t>
            </w:r>
          </w:p>
          <w:p>
            <w:pPr>
              <w:spacing w:line="360" w:lineRule="auto"/>
              <w:ind w:firstLine="482" w:firstLineChars="200"/>
              <w:rPr>
                <w:b/>
                <w:sz w:val="24"/>
                <w:lang w:val="zh-CN"/>
              </w:rPr>
            </w:pPr>
            <w:r>
              <w:rPr>
                <w:b/>
                <w:sz w:val="24"/>
                <w:lang w:val="zh-CN"/>
              </w:rPr>
              <w:t>二、声环境</w:t>
            </w:r>
          </w:p>
          <w:p>
            <w:pPr>
              <w:widowControl/>
              <w:adjustRightInd w:val="0"/>
              <w:snapToGrid w:val="0"/>
              <w:spacing w:line="360" w:lineRule="auto"/>
              <w:ind w:firstLine="480" w:firstLineChars="200"/>
              <w:rPr>
                <w:kern w:val="0"/>
                <w:sz w:val="24"/>
              </w:rPr>
            </w:pPr>
            <w:r>
              <w:rPr>
                <w:kern w:val="0"/>
                <w:sz w:val="24"/>
              </w:rPr>
              <w:t>建设单位委托</w:t>
            </w:r>
            <w:r>
              <w:rPr>
                <w:sz w:val="24"/>
              </w:rPr>
              <w:t>西安重光明宸检测技术有限公司</w:t>
            </w:r>
            <w:r>
              <w:rPr>
                <w:kern w:val="0"/>
                <w:sz w:val="24"/>
              </w:rPr>
              <w:t>于2023年8月10日对项目厂界四周的声环境质量现状进行了监测，监测结果见表3-4。</w:t>
            </w:r>
          </w:p>
          <w:p>
            <w:pPr>
              <w:pStyle w:val="33"/>
              <w:adjustRightInd w:val="0"/>
              <w:spacing w:before="0" w:after="0" w:line="360" w:lineRule="auto"/>
              <w:ind w:right="0" w:firstLine="420" w:firstLineChars="200"/>
              <w:rPr>
                <w:b w:val="0"/>
                <w:bCs/>
                <w:sz w:val="24"/>
                <w:lang w:bidi="ar"/>
              </w:rPr>
            </w:pPr>
            <w:r>
              <w:rPr>
                <w:rFonts w:eastAsia="黑体"/>
                <w:b w:val="0"/>
                <w:kern w:val="24"/>
                <w:sz w:val="21"/>
                <w:szCs w:val="21"/>
              </w:rPr>
              <w:t>表3-4  声环境质量现状监测结果  单位：dB（A）</w:t>
            </w:r>
          </w:p>
          <w:tbl>
            <w:tblPr>
              <w:tblStyle w:val="24"/>
              <w:tblW w:w="5000" w:type="pct"/>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2941"/>
              <w:gridCol w:w="2171"/>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pct"/>
                  <w:vMerge w:val="restart"/>
                  <w:vAlign w:val="center"/>
                </w:tcPr>
                <w:p>
                  <w:pPr>
                    <w:widowControl/>
                    <w:adjustRightInd w:val="0"/>
                    <w:snapToGrid w:val="0"/>
                    <w:jc w:val="center"/>
                    <w:rPr>
                      <w:bCs/>
                      <w:szCs w:val="21"/>
                    </w:rPr>
                  </w:pPr>
                  <w:r>
                    <w:rPr>
                      <w:bCs/>
                      <w:szCs w:val="21"/>
                    </w:rPr>
                    <w:t>监测日期</w:t>
                  </w:r>
                </w:p>
              </w:tc>
              <w:tc>
                <w:tcPr>
                  <w:tcW w:w="1840" w:type="pct"/>
                  <w:vMerge w:val="restart"/>
                  <w:vAlign w:val="center"/>
                </w:tcPr>
                <w:p>
                  <w:pPr>
                    <w:widowControl/>
                    <w:adjustRightInd w:val="0"/>
                    <w:snapToGrid w:val="0"/>
                    <w:jc w:val="center"/>
                    <w:rPr>
                      <w:bCs/>
                      <w:szCs w:val="21"/>
                    </w:rPr>
                  </w:pPr>
                  <w:r>
                    <w:rPr>
                      <w:bCs/>
                      <w:szCs w:val="21"/>
                    </w:rPr>
                    <w:t>位置</w:t>
                  </w:r>
                </w:p>
              </w:tc>
              <w:tc>
                <w:tcPr>
                  <w:tcW w:w="2439" w:type="pct"/>
                  <w:gridSpan w:val="2"/>
                  <w:vAlign w:val="center"/>
                </w:tcPr>
                <w:p>
                  <w:pPr>
                    <w:widowControl/>
                    <w:adjustRightInd w:val="0"/>
                    <w:snapToGrid w:val="0"/>
                    <w:jc w:val="center"/>
                    <w:rPr>
                      <w:bCs/>
                      <w:szCs w:val="21"/>
                    </w:rPr>
                  </w:pPr>
                  <w:r>
                    <w:rPr>
                      <w:bCs/>
                      <w:szCs w:val="21"/>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pct"/>
                  <w:vMerge w:val="continue"/>
                  <w:vAlign w:val="center"/>
                </w:tcPr>
                <w:p>
                  <w:pPr>
                    <w:widowControl/>
                    <w:adjustRightInd w:val="0"/>
                    <w:snapToGrid w:val="0"/>
                    <w:jc w:val="center"/>
                    <w:rPr>
                      <w:bCs/>
                      <w:szCs w:val="21"/>
                    </w:rPr>
                  </w:pPr>
                </w:p>
              </w:tc>
              <w:tc>
                <w:tcPr>
                  <w:tcW w:w="1840" w:type="pct"/>
                  <w:vMerge w:val="continue"/>
                  <w:vAlign w:val="center"/>
                </w:tcPr>
                <w:p>
                  <w:pPr>
                    <w:widowControl/>
                    <w:adjustRightInd w:val="0"/>
                    <w:snapToGrid w:val="0"/>
                    <w:jc w:val="center"/>
                    <w:rPr>
                      <w:bCs/>
                      <w:szCs w:val="21"/>
                    </w:rPr>
                  </w:pPr>
                </w:p>
              </w:tc>
              <w:tc>
                <w:tcPr>
                  <w:tcW w:w="1358" w:type="pct"/>
                  <w:vAlign w:val="center"/>
                </w:tcPr>
                <w:p>
                  <w:pPr>
                    <w:widowControl/>
                    <w:adjustRightInd w:val="0"/>
                    <w:snapToGrid w:val="0"/>
                    <w:jc w:val="center"/>
                    <w:rPr>
                      <w:bCs/>
                      <w:szCs w:val="21"/>
                    </w:rPr>
                  </w:pPr>
                  <w:r>
                    <w:rPr>
                      <w:bCs/>
                      <w:szCs w:val="21"/>
                    </w:rPr>
                    <w:t>昼间</w:t>
                  </w:r>
                </w:p>
              </w:tc>
              <w:tc>
                <w:tcPr>
                  <w:tcW w:w="1081" w:type="pct"/>
                  <w:vAlign w:val="center"/>
                </w:tcPr>
                <w:p>
                  <w:pPr>
                    <w:widowControl/>
                    <w:adjustRightInd w:val="0"/>
                    <w:snapToGrid w:val="0"/>
                    <w:jc w:val="center"/>
                    <w:rPr>
                      <w:bCs/>
                      <w:szCs w:val="21"/>
                    </w:rPr>
                  </w:pPr>
                  <w:r>
                    <w:rPr>
                      <w:bCs/>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pct"/>
                  <w:vMerge w:val="restart"/>
                  <w:vAlign w:val="center"/>
                </w:tcPr>
                <w:p>
                  <w:pPr>
                    <w:widowControl/>
                    <w:adjustRightInd w:val="0"/>
                    <w:snapToGrid w:val="0"/>
                    <w:jc w:val="center"/>
                    <w:rPr>
                      <w:bCs/>
                      <w:szCs w:val="21"/>
                    </w:rPr>
                  </w:pPr>
                  <w:r>
                    <w:rPr>
                      <w:bCs/>
                      <w:szCs w:val="21"/>
                    </w:rPr>
                    <w:t>2023年8月10日</w:t>
                  </w:r>
                </w:p>
              </w:tc>
              <w:tc>
                <w:tcPr>
                  <w:tcW w:w="1840" w:type="pct"/>
                  <w:vAlign w:val="center"/>
                </w:tcPr>
                <w:p>
                  <w:pPr>
                    <w:widowControl/>
                    <w:jc w:val="center"/>
                    <w:rPr>
                      <w:bCs/>
                      <w:szCs w:val="21"/>
                    </w:rPr>
                  </w:pPr>
                  <w:r>
                    <w:rPr>
                      <w:bCs/>
                      <w:szCs w:val="21"/>
                    </w:rPr>
                    <w:t>厂界东侧</w:t>
                  </w:r>
                </w:p>
              </w:tc>
              <w:tc>
                <w:tcPr>
                  <w:tcW w:w="1358" w:type="pct"/>
                  <w:vAlign w:val="center"/>
                </w:tcPr>
                <w:p>
                  <w:pPr>
                    <w:widowControl/>
                    <w:adjustRightInd w:val="0"/>
                    <w:snapToGrid w:val="0"/>
                    <w:jc w:val="center"/>
                    <w:rPr>
                      <w:bCs/>
                      <w:szCs w:val="21"/>
                    </w:rPr>
                  </w:pPr>
                  <w:r>
                    <w:rPr>
                      <w:bCs/>
                    </w:rPr>
                    <w:t>54</w:t>
                  </w:r>
                </w:p>
              </w:tc>
              <w:tc>
                <w:tcPr>
                  <w:tcW w:w="1081" w:type="pct"/>
                  <w:vAlign w:val="center"/>
                </w:tcPr>
                <w:p>
                  <w:pPr>
                    <w:widowControl/>
                    <w:adjustRightInd w:val="0"/>
                    <w:snapToGrid w:val="0"/>
                    <w:jc w:val="center"/>
                    <w:rPr>
                      <w:bCs/>
                      <w:szCs w:val="21"/>
                    </w:rPr>
                  </w:pPr>
                  <w:r>
                    <w:rPr>
                      <w:bCs/>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pct"/>
                  <w:vMerge w:val="continue"/>
                  <w:vAlign w:val="center"/>
                </w:tcPr>
                <w:p>
                  <w:pPr>
                    <w:widowControl/>
                    <w:adjustRightInd w:val="0"/>
                    <w:snapToGrid w:val="0"/>
                    <w:jc w:val="center"/>
                    <w:rPr>
                      <w:bCs/>
                      <w:szCs w:val="21"/>
                    </w:rPr>
                  </w:pPr>
                </w:p>
              </w:tc>
              <w:tc>
                <w:tcPr>
                  <w:tcW w:w="1840" w:type="pct"/>
                  <w:vAlign w:val="center"/>
                </w:tcPr>
                <w:p>
                  <w:pPr>
                    <w:widowControl/>
                    <w:jc w:val="center"/>
                    <w:rPr>
                      <w:bCs/>
                      <w:szCs w:val="21"/>
                    </w:rPr>
                  </w:pPr>
                  <w:r>
                    <w:rPr>
                      <w:bCs/>
                      <w:kern w:val="0"/>
                      <w:szCs w:val="21"/>
                      <w:lang w:bidi="ar"/>
                    </w:rPr>
                    <w:t>厂界南侧</w:t>
                  </w:r>
                </w:p>
              </w:tc>
              <w:tc>
                <w:tcPr>
                  <w:tcW w:w="1358" w:type="pct"/>
                  <w:vAlign w:val="center"/>
                </w:tcPr>
                <w:p>
                  <w:pPr>
                    <w:widowControl/>
                    <w:adjustRightInd w:val="0"/>
                    <w:snapToGrid w:val="0"/>
                    <w:jc w:val="center"/>
                    <w:rPr>
                      <w:bCs/>
                      <w:szCs w:val="21"/>
                    </w:rPr>
                  </w:pPr>
                  <w:r>
                    <w:rPr>
                      <w:bCs/>
                    </w:rPr>
                    <w:t>52</w:t>
                  </w:r>
                </w:p>
              </w:tc>
              <w:tc>
                <w:tcPr>
                  <w:tcW w:w="1081" w:type="pct"/>
                  <w:vAlign w:val="center"/>
                </w:tcPr>
                <w:p>
                  <w:pPr>
                    <w:widowControl/>
                    <w:adjustRightInd w:val="0"/>
                    <w:snapToGrid w:val="0"/>
                    <w:jc w:val="center"/>
                    <w:rPr>
                      <w:bCs/>
                      <w:szCs w:val="21"/>
                    </w:rPr>
                  </w:pPr>
                  <w:r>
                    <w:rPr>
                      <w:bC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pct"/>
                  <w:vMerge w:val="continue"/>
                  <w:vAlign w:val="center"/>
                </w:tcPr>
                <w:p>
                  <w:pPr>
                    <w:widowControl/>
                    <w:adjustRightInd w:val="0"/>
                    <w:snapToGrid w:val="0"/>
                    <w:jc w:val="center"/>
                    <w:rPr>
                      <w:bCs/>
                      <w:szCs w:val="21"/>
                    </w:rPr>
                  </w:pPr>
                </w:p>
              </w:tc>
              <w:tc>
                <w:tcPr>
                  <w:tcW w:w="1840" w:type="pct"/>
                  <w:vAlign w:val="center"/>
                </w:tcPr>
                <w:p>
                  <w:pPr>
                    <w:widowControl/>
                    <w:jc w:val="center"/>
                    <w:rPr>
                      <w:bCs/>
                      <w:szCs w:val="21"/>
                    </w:rPr>
                  </w:pPr>
                  <w:r>
                    <w:rPr>
                      <w:bCs/>
                      <w:kern w:val="0"/>
                      <w:szCs w:val="21"/>
                      <w:lang w:bidi="ar"/>
                    </w:rPr>
                    <w:t>厂界西侧</w:t>
                  </w:r>
                </w:p>
              </w:tc>
              <w:tc>
                <w:tcPr>
                  <w:tcW w:w="1358" w:type="pct"/>
                  <w:vAlign w:val="center"/>
                </w:tcPr>
                <w:p>
                  <w:pPr>
                    <w:widowControl/>
                    <w:adjustRightInd w:val="0"/>
                    <w:snapToGrid w:val="0"/>
                    <w:jc w:val="center"/>
                    <w:rPr>
                      <w:bCs/>
                      <w:szCs w:val="21"/>
                    </w:rPr>
                  </w:pPr>
                  <w:r>
                    <w:rPr>
                      <w:bCs/>
                    </w:rPr>
                    <w:t>56</w:t>
                  </w:r>
                </w:p>
              </w:tc>
              <w:tc>
                <w:tcPr>
                  <w:tcW w:w="1081" w:type="pct"/>
                  <w:vAlign w:val="center"/>
                </w:tcPr>
                <w:p>
                  <w:pPr>
                    <w:widowControl/>
                    <w:adjustRightInd w:val="0"/>
                    <w:snapToGrid w:val="0"/>
                    <w:jc w:val="center"/>
                    <w:rPr>
                      <w:bCs/>
                      <w:szCs w:val="21"/>
                    </w:rPr>
                  </w:pPr>
                  <w:r>
                    <w:rPr>
                      <w:bC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pct"/>
                  <w:vMerge w:val="continue"/>
                  <w:vAlign w:val="center"/>
                </w:tcPr>
                <w:p>
                  <w:pPr>
                    <w:widowControl/>
                    <w:adjustRightInd w:val="0"/>
                    <w:snapToGrid w:val="0"/>
                    <w:jc w:val="center"/>
                    <w:rPr>
                      <w:bCs/>
                      <w:szCs w:val="21"/>
                    </w:rPr>
                  </w:pPr>
                </w:p>
              </w:tc>
              <w:tc>
                <w:tcPr>
                  <w:tcW w:w="1840" w:type="pct"/>
                  <w:vAlign w:val="center"/>
                </w:tcPr>
                <w:p>
                  <w:pPr>
                    <w:widowControl/>
                    <w:jc w:val="center"/>
                    <w:rPr>
                      <w:bCs/>
                      <w:szCs w:val="21"/>
                    </w:rPr>
                  </w:pPr>
                  <w:r>
                    <w:rPr>
                      <w:bCs/>
                      <w:kern w:val="0"/>
                      <w:szCs w:val="21"/>
                      <w:lang w:bidi="ar"/>
                    </w:rPr>
                    <w:t>厂界北侧</w:t>
                  </w:r>
                </w:p>
              </w:tc>
              <w:tc>
                <w:tcPr>
                  <w:tcW w:w="1358" w:type="pct"/>
                  <w:vAlign w:val="center"/>
                </w:tcPr>
                <w:p>
                  <w:pPr>
                    <w:widowControl/>
                    <w:adjustRightInd w:val="0"/>
                    <w:snapToGrid w:val="0"/>
                    <w:jc w:val="center"/>
                    <w:rPr>
                      <w:bCs/>
                      <w:szCs w:val="21"/>
                    </w:rPr>
                  </w:pPr>
                  <w:r>
                    <w:rPr>
                      <w:bCs/>
                    </w:rPr>
                    <w:t>52</w:t>
                  </w:r>
                </w:p>
              </w:tc>
              <w:tc>
                <w:tcPr>
                  <w:tcW w:w="1081" w:type="pct"/>
                  <w:vAlign w:val="center"/>
                </w:tcPr>
                <w:p>
                  <w:pPr>
                    <w:widowControl/>
                    <w:adjustRightInd w:val="0"/>
                    <w:snapToGrid w:val="0"/>
                    <w:jc w:val="center"/>
                    <w:rPr>
                      <w:bCs/>
                      <w:szCs w:val="21"/>
                    </w:rPr>
                  </w:pPr>
                  <w:r>
                    <w:rPr>
                      <w:bCs/>
                    </w:rPr>
                    <w:t>44</w:t>
                  </w:r>
                </w:p>
              </w:tc>
            </w:tr>
          </w:tbl>
          <w:p>
            <w:pPr>
              <w:pStyle w:val="54"/>
              <w:wordWrap w:val="0"/>
              <w:spacing w:before="120" w:beforeLines="50" w:line="360" w:lineRule="auto"/>
              <w:ind w:firstLine="482"/>
              <w:rPr>
                <w:snapToGrid w:val="0"/>
                <w:spacing w:val="1"/>
                <w:position w:val="-3"/>
                <w:sz w:val="24"/>
                <w:szCs w:val="24"/>
              </w:rPr>
            </w:pPr>
            <w:r>
              <w:rPr>
                <w:snapToGrid w:val="0"/>
                <w:spacing w:val="1"/>
                <w:position w:val="-3"/>
                <w:sz w:val="24"/>
                <w:szCs w:val="24"/>
              </w:rPr>
              <w:t>根据</w:t>
            </w:r>
            <w:r>
              <w:rPr>
                <w:kern w:val="0"/>
                <w:sz w:val="24"/>
                <w:szCs w:val="24"/>
              </w:rPr>
              <w:t>《西安市人民政府办公厅关于印发声环境功能区划方案的通知》</w:t>
            </w:r>
            <w:r>
              <w:rPr>
                <w:snapToGrid w:val="0"/>
                <w:spacing w:val="1"/>
                <w:position w:val="-3"/>
                <w:sz w:val="24"/>
                <w:szCs w:val="24"/>
              </w:rPr>
              <w:t>（市政办函[2019]107号），本项目所处声环境功能区划为3类区。</w:t>
            </w:r>
            <w:r>
              <w:rPr>
                <w:snapToGrid w:val="0"/>
                <w:spacing w:val="1"/>
                <w:position w:val="-3"/>
                <w:sz w:val="24"/>
              </w:rPr>
              <w:t>噪声监测结果表明，项目地厂界环境质量现状监测值符合《声环境质量标准》（GB3096-2008）表1中3类标准限值。</w:t>
            </w:r>
          </w:p>
          <w:p>
            <w:pPr>
              <w:adjustRightInd w:val="0"/>
              <w:snapToGrid w:val="0"/>
              <w:spacing w:line="360" w:lineRule="auto"/>
              <w:ind w:firstLine="484"/>
              <w:rPr>
                <w:b/>
                <w:bCs/>
                <w:snapToGrid w:val="0"/>
                <w:spacing w:val="1"/>
                <w:position w:val="-3"/>
                <w:sz w:val="24"/>
              </w:rPr>
            </w:pPr>
            <w:r>
              <w:rPr>
                <w:b/>
                <w:bCs/>
                <w:snapToGrid w:val="0"/>
                <w:spacing w:val="1"/>
                <w:position w:val="-3"/>
                <w:sz w:val="24"/>
              </w:rPr>
              <w:t>三、生态环境</w:t>
            </w:r>
          </w:p>
          <w:p>
            <w:pPr>
              <w:adjustRightInd w:val="0"/>
              <w:snapToGrid w:val="0"/>
              <w:spacing w:line="360" w:lineRule="auto"/>
              <w:ind w:firstLine="484"/>
              <w:rPr>
                <w:snapToGrid w:val="0"/>
                <w:spacing w:val="1"/>
                <w:position w:val="-3"/>
                <w:sz w:val="24"/>
              </w:rPr>
            </w:pPr>
            <w:r>
              <w:rPr>
                <w:snapToGrid w:val="0"/>
                <w:spacing w:val="1"/>
                <w:position w:val="-3"/>
                <w:sz w:val="24"/>
              </w:rPr>
              <w:t>项目位于城市建成区，该区域基础设施完善，区域生态环境质量良好，无重要保护动植物，不属于生态敏感区和自然保护区，项目所在地生态环境较好。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00" w:type="dxa"/>
            <w:vAlign w:val="center"/>
          </w:tcPr>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保护</w:t>
            </w:r>
          </w:p>
          <w:p>
            <w:pPr>
              <w:adjustRightInd w:val="0"/>
              <w:snapToGrid w:val="0"/>
              <w:jc w:val="center"/>
              <w:rPr>
                <w:kern w:val="0"/>
                <w:sz w:val="24"/>
              </w:rPr>
            </w:pPr>
            <w:r>
              <w:rPr>
                <w:kern w:val="0"/>
                <w:sz w:val="24"/>
              </w:rPr>
              <w:t>目标</w:t>
            </w:r>
          </w:p>
        </w:tc>
        <w:tc>
          <w:tcPr>
            <w:tcW w:w="8190" w:type="dxa"/>
            <w:vAlign w:val="center"/>
          </w:tcPr>
          <w:p>
            <w:pPr>
              <w:adjustRightInd w:val="0"/>
              <w:snapToGrid w:val="0"/>
              <w:spacing w:before="120" w:beforeLines="50" w:line="360" w:lineRule="auto"/>
              <w:ind w:firstLine="482" w:firstLineChars="200"/>
              <w:rPr>
                <w:b/>
                <w:bCs/>
                <w:kern w:val="0"/>
                <w:sz w:val="24"/>
              </w:rPr>
            </w:pPr>
            <w:r>
              <w:rPr>
                <w:b/>
                <w:bCs/>
                <w:kern w:val="0"/>
                <w:sz w:val="24"/>
              </w:rPr>
              <w:t>一、大气环境</w:t>
            </w:r>
          </w:p>
          <w:p>
            <w:pPr>
              <w:adjustRightInd w:val="0"/>
              <w:snapToGrid w:val="0"/>
              <w:spacing w:line="360" w:lineRule="auto"/>
              <w:ind w:firstLine="480" w:firstLineChars="200"/>
              <w:rPr>
                <w:kern w:val="0"/>
                <w:sz w:val="24"/>
              </w:rPr>
            </w:pPr>
            <w:r>
              <w:rPr>
                <w:kern w:val="0"/>
                <w:sz w:val="24"/>
              </w:rPr>
              <w:t>本项目周围500m范围内大气环境保护目标见表3-5。</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表3-5  项目周边大气环境保护目标</w:t>
            </w:r>
          </w:p>
          <w:tbl>
            <w:tblPr>
              <w:tblStyle w:val="24"/>
              <w:tblW w:w="7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091"/>
              <w:gridCol w:w="968"/>
              <w:gridCol w:w="1266"/>
              <w:gridCol w:w="709"/>
              <w:gridCol w:w="709"/>
              <w:gridCol w:w="1275"/>
              <w:gridCol w:w="709"/>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6" w:type="dxa"/>
                  <w:vMerge w:val="restart"/>
                  <w:vAlign w:val="center"/>
                </w:tcPr>
                <w:p>
                  <w:pPr>
                    <w:pStyle w:val="56"/>
                    <w:ind w:left="-63" w:leftChars="-30" w:right="-63" w:rightChars="-30"/>
                  </w:pPr>
                  <w:r>
                    <w:rPr>
                      <w:rFonts w:hint="eastAsia"/>
                    </w:rPr>
                    <w:t>名称</w:t>
                  </w:r>
                </w:p>
              </w:tc>
              <w:tc>
                <w:tcPr>
                  <w:tcW w:w="2059" w:type="dxa"/>
                  <w:gridSpan w:val="2"/>
                  <w:vAlign w:val="center"/>
                </w:tcPr>
                <w:p>
                  <w:pPr>
                    <w:pStyle w:val="56"/>
                    <w:ind w:left="-63" w:leftChars="-30" w:right="-63" w:rightChars="-30"/>
                  </w:pPr>
                  <w:r>
                    <w:rPr>
                      <w:rFonts w:hint="eastAsia"/>
                    </w:rPr>
                    <w:t>坐标</w:t>
                  </w:r>
                </w:p>
              </w:tc>
              <w:tc>
                <w:tcPr>
                  <w:tcW w:w="1266" w:type="dxa"/>
                  <w:vMerge w:val="restart"/>
                  <w:vAlign w:val="center"/>
                </w:tcPr>
                <w:p>
                  <w:pPr>
                    <w:pStyle w:val="56"/>
                    <w:ind w:left="-63" w:leftChars="-30" w:right="-63" w:rightChars="-30"/>
                  </w:pPr>
                  <w:r>
                    <w:rPr>
                      <w:rFonts w:hint="eastAsia"/>
                    </w:rPr>
                    <w:t>保护对象</w:t>
                  </w:r>
                </w:p>
              </w:tc>
              <w:tc>
                <w:tcPr>
                  <w:tcW w:w="709" w:type="dxa"/>
                  <w:vMerge w:val="restart"/>
                  <w:vAlign w:val="center"/>
                </w:tcPr>
                <w:p>
                  <w:pPr>
                    <w:pStyle w:val="56"/>
                    <w:ind w:left="-63" w:leftChars="-30" w:right="-63" w:rightChars="-30"/>
                  </w:pPr>
                  <w:r>
                    <w:rPr>
                      <w:rFonts w:hint="eastAsia"/>
                    </w:rPr>
                    <w:t>保护</w:t>
                  </w:r>
                </w:p>
                <w:p>
                  <w:pPr>
                    <w:pStyle w:val="56"/>
                    <w:ind w:left="-63" w:leftChars="-30" w:right="-63" w:rightChars="-30"/>
                  </w:pPr>
                  <w:r>
                    <w:rPr>
                      <w:rFonts w:hint="eastAsia"/>
                    </w:rPr>
                    <w:t>内容</w:t>
                  </w:r>
                </w:p>
              </w:tc>
              <w:tc>
                <w:tcPr>
                  <w:tcW w:w="709" w:type="dxa"/>
                  <w:vMerge w:val="restart"/>
                  <w:vAlign w:val="center"/>
                </w:tcPr>
                <w:p>
                  <w:pPr>
                    <w:pStyle w:val="56"/>
                    <w:ind w:left="-63" w:leftChars="-30" w:right="-63" w:rightChars="-30"/>
                  </w:pPr>
                  <w:r>
                    <w:rPr>
                      <w:rFonts w:hint="eastAsia"/>
                    </w:rPr>
                    <w:t>保护</w:t>
                  </w:r>
                </w:p>
                <w:p>
                  <w:pPr>
                    <w:pStyle w:val="56"/>
                    <w:ind w:left="-63" w:leftChars="-30" w:right="-63" w:rightChars="-30"/>
                  </w:pPr>
                  <w:r>
                    <w:rPr>
                      <w:rFonts w:hint="eastAsia"/>
                    </w:rPr>
                    <w:t>人数/人</w:t>
                  </w:r>
                </w:p>
              </w:tc>
              <w:tc>
                <w:tcPr>
                  <w:tcW w:w="1275" w:type="dxa"/>
                  <w:vMerge w:val="restart"/>
                  <w:vAlign w:val="center"/>
                </w:tcPr>
                <w:p>
                  <w:pPr>
                    <w:pStyle w:val="56"/>
                    <w:ind w:left="-63" w:leftChars="-30" w:right="-63" w:rightChars="-30"/>
                  </w:pPr>
                  <w:r>
                    <w:rPr>
                      <w:rFonts w:hint="eastAsia"/>
                    </w:rPr>
                    <w:t>环境功能区</w:t>
                  </w:r>
                </w:p>
              </w:tc>
              <w:tc>
                <w:tcPr>
                  <w:tcW w:w="709" w:type="dxa"/>
                  <w:vMerge w:val="restart"/>
                  <w:vAlign w:val="center"/>
                </w:tcPr>
                <w:p>
                  <w:pPr>
                    <w:pStyle w:val="56"/>
                    <w:ind w:left="-63" w:leftChars="-30" w:right="-63" w:rightChars="-30"/>
                  </w:pPr>
                  <w:r>
                    <w:rPr>
                      <w:rFonts w:hint="eastAsia"/>
                    </w:rPr>
                    <w:t>相对厂址方位</w:t>
                  </w:r>
                </w:p>
              </w:tc>
              <w:tc>
                <w:tcPr>
                  <w:tcW w:w="727" w:type="dxa"/>
                  <w:vMerge w:val="restart"/>
                  <w:vAlign w:val="center"/>
                </w:tcPr>
                <w:p>
                  <w:pPr>
                    <w:pStyle w:val="56"/>
                    <w:ind w:left="-63" w:leftChars="-30" w:right="-63" w:rightChars="-30"/>
                  </w:pPr>
                  <w:r>
                    <w:rPr>
                      <w:rFonts w:hint="eastAsia"/>
                    </w:rPr>
                    <w:t>相对距离/m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6" w:type="dxa"/>
                  <w:vMerge w:val="continue"/>
                  <w:vAlign w:val="center"/>
                </w:tcPr>
                <w:p>
                  <w:pPr>
                    <w:widowControl/>
                    <w:ind w:left="-63" w:leftChars="-30" w:right="-63" w:rightChars="-30"/>
                    <w:jc w:val="left"/>
                    <w:rPr>
                      <w:rFonts w:ascii="等线" w:hAnsi="等线" w:eastAsia="等线"/>
                      <w:kern w:val="0"/>
                      <w:sz w:val="20"/>
                      <w:szCs w:val="20"/>
                    </w:rPr>
                  </w:pPr>
                </w:p>
              </w:tc>
              <w:tc>
                <w:tcPr>
                  <w:tcW w:w="1091" w:type="dxa"/>
                  <w:vAlign w:val="center"/>
                </w:tcPr>
                <w:p>
                  <w:pPr>
                    <w:pStyle w:val="56"/>
                    <w:ind w:left="-63" w:leftChars="-30" w:right="-63" w:rightChars="-30"/>
                    <w:rPr>
                      <w:rFonts w:ascii="宋体" w:hAnsi="宋体"/>
                    </w:rPr>
                  </w:pPr>
                  <w:r>
                    <w:rPr>
                      <w:rFonts w:hint="eastAsia" w:ascii="宋体" w:hAnsi="宋体"/>
                    </w:rPr>
                    <w:t>经度</w:t>
                  </w:r>
                </w:p>
              </w:tc>
              <w:tc>
                <w:tcPr>
                  <w:tcW w:w="968" w:type="dxa"/>
                  <w:vAlign w:val="center"/>
                </w:tcPr>
                <w:p>
                  <w:pPr>
                    <w:pStyle w:val="56"/>
                    <w:ind w:left="-63" w:leftChars="-30" w:right="-63" w:rightChars="-30"/>
                    <w:rPr>
                      <w:rFonts w:ascii="宋体" w:hAnsi="宋体"/>
                    </w:rPr>
                  </w:pPr>
                  <w:r>
                    <w:rPr>
                      <w:rFonts w:hint="eastAsia" w:ascii="宋体" w:hAnsi="宋体"/>
                    </w:rPr>
                    <w:t>纬度</w:t>
                  </w:r>
                </w:p>
              </w:tc>
              <w:tc>
                <w:tcPr>
                  <w:tcW w:w="1266" w:type="dxa"/>
                  <w:vMerge w:val="continue"/>
                  <w:vAlign w:val="center"/>
                </w:tcPr>
                <w:p>
                  <w:pPr>
                    <w:widowControl/>
                    <w:ind w:left="-63" w:leftChars="-30" w:right="-63" w:rightChars="-30"/>
                    <w:jc w:val="left"/>
                    <w:rPr>
                      <w:rFonts w:ascii="等线" w:hAnsi="等线" w:eastAsia="等线"/>
                      <w:kern w:val="0"/>
                      <w:sz w:val="20"/>
                      <w:szCs w:val="20"/>
                    </w:rPr>
                  </w:pPr>
                </w:p>
              </w:tc>
              <w:tc>
                <w:tcPr>
                  <w:tcW w:w="709" w:type="dxa"/>
                  <w:vMerge w:val="continue"/>
                  <w:vAlign w:val="center"/>
                </w:tcPr>
                <w:p>
                  <w:pPr>
                    <w:widowControl/>
                    <w:ind w:left="-63" w:leftChars="-30" w:right="-63" w:rightChars="-30"/>
                    <w:jc w:val="left"/>
                    <w:rPr>
                      <w:rFonts w:ascii="等线" w:hAnsi="等线" w:eastAsia="等线"/>
                      <w:kern w:val="0"/>
                      <w:sz w:val="20"/>
                      <w:szCs w:val="20"/>
                    </w:rPr>
                  </w:pPr>
                </w:p>
              </w:tc>
              <w:tc>
                <w:tcPr>
                  <w:tcW w:w="709" w:type="dxa"/>
                  <w:vMerge w:val="continue"/>
                  <w:vAlign w:val="center"/>
                </w:tcPr>
                <w:p>
                  <w:pPr>
                    <w:widowControl/>
                    <w:ind w:left="-63" w:leftChars="-30" w:right="-63" w:rightChars="-30"/>
                    <w:jc w:val="center"/>
                    <w:rPr>
                      <w:rFonts w:ascii="等线" w:hAnsi="等线" w:eastAsia="等线"/>
                      <w:kern w:val="0"/>
                      <w:sz w:val="20"/>
                      <w:szCs w:val="20"/>
                    </w:rPr>
                  </w:pPr>
                </w:p>
              </w:tc>
              <w:tc>
                <w:tcPr>
                  <w:tcW w:w="1275" w:type="dxa"/>
                  <w:vMerge w:val="continue"/>
                  <w:vAlign w:val="center"/>
                </w:tcPr>
                <w:p>
                  <w:pPr>
                    <w:widowControl/>
                    <w:ind w:left="-63" w:leftChars="-30" w:right="-63" w:rightChars="-30"/>
                    <w:jc w:val="left"/>
                    <w:rPr>
                      <w:rFonts w:ascii="等线" w:hAnsi="等线" w:eastAsia="等线"/>
                      <w:kern w:val="0"/>
                      <w:sz w:val="20"/>
                      <w:szCs w:val="20"/>
                    </w:rPr>
                  </w:pPr>
                </w:p>
              </w:tc>
              <w:tc>
                <w:tcPr>
                  <w:tcW w:w="709" w:type="dxa"/>
                  <w:vMerge w:val="continue"/>
                  <w:vAlign w:val="center"/>
                </w:tcPr>
                <w:p>
                  <w:pPr>
                    <w:widowControl/>
                    <w:ind w:left="-63" w:leftChars="-30" w:right="-63" w:rightChars="-30"/>
                    <w:jc w:val="left"/>
                    <w:rPr>
                      <w:rFonts w:ascii="等线" w:hAnsi="等线" w:eastAsia="等线"/>
                      <w:kern w:val="0"/>
                      <w:sz w:val="20"/>
                      <w:szCs w:val="20"/>
                    </w:rPr>
                  </w:pPr>
                </w:p>
              </w:tc>
              <w:tc>
                <w:tcPr>
                  <w:tcW w:w="727" w:type="dxa"/>
                  <w:vMerge w:val="continue"/>
                  <w:vAlign w:val="center"/>
                </w:tcPr>
                <w:p>
                  <w:pPr>
                    <w:widowControl/>
                    <w:ind w:left="-63" w:leftChars="-30" w:right="-63" w:rightChars="-30"/>
                    <w:jc w:val="left"/>
                    <w:rPr>
                      <w:rFonts w:ascii="等线" w:hAnsi="等线" w:eastAsia="等线"/>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6" w:type="dxa"/>
                  <w:vMerge w:val="restart"/>
                  <w:vAlign w:val="center"/>
                </w:tcPr>
                <w:p>
                  <w:pPr>
                    <w:pStyle w:val="59"/>
                    <w:ind w:left="-63" w:leftChars="-30" w:right="-63" w:rightChars="-30"/>
                    <w:jc w:val="center"/>
                    <w:rPr>
                      <w:rFonts w:ascii="宋体" w:hAnsi="宋体" w:eastAsia="宋体" w:cs="Times New Roman"/>
                    </w:rPr>
                  </w:pPr>
                  <w:r>
                    <w:rPr>
                      <w:rFonts w:hint="eastAsia" w:ascii="宋体" w:hAnsi="宋体" w:eastAsia="宋体" w:cs="Times New Roman"/>
                    </w:rPr>
                    <w:t>环境</w:t>
                  </w:r>
                </w:p>
                <w:p>
                  <w:pPr>
                    <w:pStyle w:val="56"/>
                    <w:ind w:left="-63" w:leftChars="-30" w:right="-63" w:rightChars="-30"/>
                    <w:rPr>
                      <w:rFonts w:ascii="等线" w:hAnsi="等线" w:eastAsia="等线"/>
                    </w:rPr>
                  </w:pPr>
                  <w:r>
                    <w:rPr>
                      <w:rFonts w:hint="eastAsia" w:ascii="宋体" w:hAnsi="宋体"/>
                      <w:kern w:val="2"/>
                      <w:sz w:val="21"/>
                      <w:szCs w:val="21"/>
                    </w:rPr>
                    <w:t>空气</w:t>
                  </w:r>
                </w:p>
              </w:tc>
              <w:tc>
                <w:tcPr>
                  <w:tcW w:w="1091" w:type="dxa"/>
                  <w:vAlign w:val="center"/>
                </w:tcPr>
                <w:p>
                  <w:pPr>
                    <w:pStyle w:val="56"/>
                    <w:ind w:left="-63" w:leftChars="-30" w:right="-63" w:rightChars="-30"/>
                    <w:rPr>
                      <w:rFonts w:ascii="宋体" w:hAnsi="宋体"/>
                    </w:rPr>
                  </w:pPr>
                  <w:r>
                    <w:rPr>
                      <w:szCs w:val="21"/>
                    </w:rPr>
                    <w:t>108.870631</w:t>
                  </w:r>
                </w:p>
              </w:tc>
              <w:tc>
                <w:tcPr>
                  <w:tcW w:w="968" w:type="dxa"/>
                  <w:vAlign w:val="center"/>
                </w:tcPr>
                <w:p>
                  <w:pPr>
                    <w:pStyle w:val="56"/>
                    <w:ind w:left="-63" w:leftChars="-30" w:right="-63" w:rightChars="-30"/>
                    <w:rPr>
                      <w:rFonts w:ascii="等线" w:hAnsi="等线" w:eastAsia="等线"/>
                    </w:rPr>
                  </w:pPr>
                  <w:r>
                    <w:rPr>
                      <w:szCs w:val="21"/>
                    </w:rPr>
                    <w:t>34.150564</w:t>
                  </w:r>
                </w:p>
              </w:tc>
              <w:tc>
                <w:tcPr>
                  <w:tcW w:w="1266" w:type="dxa"/>
                  <w:vAlign w:val="center"/>
                </w:tcPr>
                <w:p>
                  <w:pPr>
                    <w:pStyle w:val="56"/>
                    <w:ind w:left="-63" w:leftChars="-30" w:right="-63" w:rightChars="-30"/>
                    <w:rPr>
                      <w:rFonts w:ascii="宋体" w:hAnsi="宋体"/>
                    </w:rPr>
                  </w:pPr>
                  <w:r>
                    <w:rPr>
                      <w:szCs w:val="21"/>
                    </w:rPr>
                    <w:t>中海长安府</w:t>
                  </w:r>
                </w:p>
              </w:tc>
              <w:tc>
                <w:tcPr>
                  <w:tcW w:w="709" w:type="dxa"/>
                  <w:vAlign w:val="center"/>
                </w:tcPr>
                <w:p>
                  <w:pPr>
                    <w:ind w:left="-63" w:leftChars="-30" w:right="-63" w:rightChars="-30"/>
                    <w:jc w:val="center"/>
                    <w:rPr>
                      <w:rFonts w:ascii="等线" w:hAnsi="等线" w:eastAsia="等线"/>
                    </w:rPr>
                  </w:pPr>
                  <w:r>
                    <w:rPr>
                      <w:rFonts w:hint="eastAsia"/>
                    </w:rPr>
                    <w:t>居民</w:t>
                  </w:r>
                </w:p>
              </w:tc>
              <w:tc>
                <w:tcPr>
                  <w:tcW w:w="709" w:type="dxa"/>
                  <w:vAlign w:val="center"/>
                </w:tcPr>
                <w:p>
                  <w:pPr>
                    <w:pStyle w:val="56"/>
                    <w:ind w:left="-63" w:leftChars="-30" w:right="-63" w:rightChars="-30"/>
                  </w:pPr>
                  <w:r>
                    <w:rPr>
                      <w:rFonts w:hint="eastAsia"/>
                    </w:rPr>
                    <w:t>7</w:t>
                  </w:r>
                  <w:r>
                    <w:t>000</w:t>
                  </w:r>
                </w:p>
              </w:tc>
              <w:tc>
                <w:tcPr>
                  <w:tcW w:w="1275" w:type="dxa"/>
                  <w:vMerge w:val="restart"/>
                  <w:vAlign w:val="center"/>
                </w:tcPr>
                <w:p>
                  <w:pPr>
                    <w:pStyle w:val="56"/>
                    <w:wordWrap w:val="0"/>
                    <w:ind w:left="-63" w:leftChars="-30" w:right="-63" w:rightChars="-30"/>
                  </w:pPr>
                  <w:r>
                    <w:rPr>
                      <w:rFonts w:hint="eastAsia"/>
                    </w:rPr>
                    <w:t>《环境空气质量标准》（GB3095-2012</w:t>
                  </w:r>
                  <w:r>
                    <w:rPr>
                      <w:rFonts w:hint="eastAsia" w:ascii="宋体" w:hAnsi="宋体"/>
                    </w:rPr>
                    <w:t>）二级标准</w:t>
                  </w:r>
                </w:p>
              </w:tc>
              <w:tc>
                <w:tcPr>
                  <w:tcW w:w="709" w:type="dxa"/>
                  <w:vAlign w:val="center"/>
                </w:tcPr>
                <w:p>
                  <w:pPr>
                    <w:pStyle w:val="56"/>
                    <w:ind w:left="-63" w:leftChars="-30" w:right="-63" w:rightChars="-30"/>
                  </w:pPr>
                  <w:r>
                    <w:rPr>
                      <w:szCs w:val="21"/>
                    </w:rPr>
                    <w:t>SE</w:t>
                  </w:r>
                </w:p>
              </w:tc>
              <w:tc>
                <w:tcPr>
                  <w:tcW w:w="727" w:type="dxa"/>
                  <w:vAlign w:val="center"/>
                </w:tcPr>
                <w:p>
                  <w:pPr>
                    <w:pStyle w:val="56"/>
                    <w:ind w:left="-63" w:leftChars="-30" w:right="-63" w:rightChars="-30"/>
                  </w:pPr>
                  <w:r>
                    <w:rPr>
                      <w:szCs w:val="21"/>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6" w:type="dxa"/>
                  <w:vMerge w:val="continue"/>
                  <w:vAlign w:val="center"/>
                </w:tcPr>
                <w:p>
                  <w:pPr>
                    <w:pStyle w:val="59"/>
                    <w:ind w:left="-63" w:leftChars="-30" w:right="-63" w:rightChars="-30"/>
                    <w:jc w:val="center"/>
                    <w:rPr>
                      <w:rFonts w:ascii="宋体" w:hAnsi="宋体" w:eastAsia="宋体" w:cs="Times New Roman"/>
                    </w:rPr>
                  </w:pPr>
                </w:p>
              </w:tc>
              <w:tc>
                <w:tcPr>
                  <w:tcW w:w="1091" w:type="dxa"/>
                  <w:vAlign w:val="center"/>
                </w:tcPr>
                <w:p>
                  <w:pPr>
                    <w:pStyle w:val="56"/>
                    <w:ind w:left="-63" w:leftChars="-30" w:right="-63" w:rightChars="-30"/>
                  </w:pPr>
                  <w:r>
                    <w:rPr>
                      <w:szCs w:val="21"/>
                    </w:rPr>
                    <w:t>108.869628</w:t>
                  </w:r>
                </w:p>
              </w:tc>
              <w:tc>
                <w:tcPr>
                  <w:tcW w:w="968" w:type="dxa"/>
                  <w:vAlign w:val="center"/>
                </w:tcPr>
                <w:p>
                  <w:pPr>
                    <w:pStyle w:val="56"/>
                    <w:ind w:left="-63" w:leftChars="-30" w:right="-63" w:rightChars="-30"/>
                  </w:pPr>
                  <w:r>
                    <w:rPr>
                      <w:szCs w:val="21"/>
                    </w:rPr>
                    <w:t>34.147917</w:t>
                  </w:r>
                </w:p>
              </w:tc>
              <w:tc>
                <w:tcPr>
                  <w:tcW w:w="1266" w:type="dxa"/>
                  <w:vAlign w:val="center"/>
                </w:tcPr>
                <w:p>
                  <w:pPr>
                    <w:pStyle w:val="56"/>
                    <w:ind w:left="-63" w:leftChars="-30" w:right="-63" w:rightChars="-30"/>
                    <w:rPr>
                      <w:rFonts w:ascii="宋体" w:hAnsi="宋体"/>
                    </w:rPr>
                  </w:pPr>
                  <w:r>
                    <w:rPr>
                      <w:szCs w:val="21"/>
                    </w:rPr>
                    <w:t>西北大学</w:t>
                  </w:r>
                  <w:r>
                    <w:rPr>
                      <w:rFonts w:hint="eastAsia"/>
                      <w:szCs w:val="21"/>
                    </w:rPr>
                    <w:t>（长安校区）</w:t>
                  </w:r>
                </w:p>
              </w:tc>
              <w:tc>
                <w:tcPr>
                  <w:tcW w:w="709" w:type="dxa"/>
                  <w:vAlign w:val="center"/>
                </w:tcPr>
                <w:p>
                  <w:pPr>
                    <w:ind w:left="-63" w:leftChars="-30" w:right="-63" w:rightChars="-30"/>
                    <w:jc w:val="center"/>
                  </w:pPr>
                  <w:r>
                    <w:rPr>
                      <w:szCs w:val="21"/>
                    </w:rPr>
                    <w:t>师生</w:t>
                  </w:r>
                </w:p>
              </w:tc>
              <w:tc>
                <w:tcPr>
                  <w:tcW w:w="709" w:type="dxa"/>
                  <w:vAlign w:val="center"/>
                </w:tcPr>
                <w:p>
                  <w:pPr>
                    <w:pStyle w:val="56"/>
                    <w:ind w:left="-63" w:leftChars="-30" w:right="-63" w:rightChars="-30"/>
                  </w:pPr>
                  <w:r>
                    <w:rPr>
                      <w:rFonts w:hint="eastAsia"/>
                    </w:rPr>
                    <w:t>2</w:t>
                  </w:r>
                  <w:r>
                    <w:t>8000</w:t>
                  </w:r>
                </w:p>
              </w:tc>
              <w:tc>
                <w:tcPr>
                  <w:tcW w:w="1275" w:type="dxa"/>
                  <w:vMerge w:val="continue"/>
                  <w:vAlign w:val="center"/>
                </w:tcPr>
                <w:p>
                  <w:pPr>
                    <w:pStyle w:val="56"/>
                    <w:ind w:left="-63" w:leftChars="-30" w:right="-63" w:rightChars="-30"/>
                    <w:jc w:val="both"/>
                  </w:pPr>
                </w:p>
              </w:tc>
              <w:tc>
                <w:tcPr>
                  <w:tcW w:w="709" w:type="dxa"/>
                  <w:vAlign w:val="center"/>
                </w:tcPr>
                <w:p>
                  <w:pPr>
                    <w:pStyle w:val="56"/>
                    <w:ind w:left="-63" w:leftChars="-30" w:right="-63" w:rightChars="-30"/>
                  </w:pPr>
                  <w:r>
                    <w:rPr>
                      <w:szCs w:val="21"/>
                    </w:rPr>
                    <w:t>SE</w:t>
                  </w:r>
                </w:p>
              </w:tc>
              <w:tc>
                <w:tcPr>
                  <w:tcW w:w="727" w:type="dxa"/>
                  <w:vAlign w:val="center"/>
                </w:tcPr>
                <w:p>
                  <w:pPr>
                    <w:pStyle w:val="56"/>
                    <w:ind w:left="-63" w:leftChars="-30" w:right="-63" w:rightChars="-30"/>
                  </w:pPr>
                  <w:r>
                    <w:rPr>
                      <w:szCs w:val="21"/>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6" w:type="dxa"/>
                  <w:vMerge w:val="continue"/>
                  <w:vAlign w:val="center"/>
                </w:tcPr>
                <w:p>
                  <w:pPr>
                    <w:widowControl/>
                    <w:ind w:left="-63" w:leftChars="-30" w:right="-63" w:rightChars="-30"/>
                    <w:jc w:val="left"/>
                    <w:rPr>
                      <w:rFonts w:ascii="等线" w:hAnsi="等线" w:eastAsia="等线"/>
                      <w:kern w:val="0"/>
                      <w:sz w:val="20"/>
                      <w:szCs w:val="20"/>
                    </w:rPr>
                  </w:pPr>
                </w:p>
              </w:tc>
              <w:tc>
                <w:tcPr>
                  <w:tcW w:w="1091" w:type="dxa"/>
                  <w:vAlign w:val="center"/>
                </w:tcPr>
                <w:p>
                  <w:pPr>
                    <w:pStyle w:val="56"/>
                    <w:ind w:left="-63" w:leftChars="-30" w:right="-63" w:rightChars="-30"/>
                  </w:pPr>
                  <w:r>
                    <w:t>108.866644</w:t>
                  </w:r>
                </w:p>
              </w:tc>
              <w:tc>
                <w:tcPr>
                  <w:tcW w:w="968" w:type="dxa"/>
                  <w:vAlign w:val="center"/>
                </w:tcPr>
                <w:p>
                  <w:pPr>
                    <w:pStyle w:val="56"/>
                    <w:ind w:left="-63" w:leftChars="-30" w:right="-63" w:rightChars="-30"/>
                  </w:pPr>
                  <w:r>
                    <w:t>34.155474</w:t>
                  </w:r>
                </w:p>
              </w:tc>
              <w:tc>
                <w:tcPr>
                  <w:tcW w:w="1266" w:type="dxa"/>
                  <w:vAlign w:val="center"/>
                </w:tcPr>
                <w:p>
                  <w:pPr>
                    <w:ind w:left="-63" w:leftChars="-30" w:right="-63" w:rightChars="-30"/>
                    <w:jc w:val="center"/>
                  </w:pPr>
                  <w:r>
                    <w:rPr>
                      <w:rFonts w:hint="eastAsia"/>
                      <w:szCs w:val="21"/>
                    </w:rPr>
                    <w:t>海亮熙悦</w:t>
                  </w:r>
                </w:p>
              </w:tc>
              <w:tc>
                <w:tcPr>
                  <w:tcW w:w="709" w:type="dxa"/>
                  <w:vAlign w:val="center"/>
                </w:tcPr>
                <w:p>
                  <w:pPr>
                    <w:ind w:left="-63" w:leftChars="-30" w:right="-63" w:rightChars="-30"/>
                    <w:jc w:val="center"/>
                  </w:pPr>
                  <w:r>
                    <w:rPr>
                      <w:rFonts w:hint="eastAsia"/>
                    </w:rPr>
                    <w:t>居民</w:t>
                  </w:r>
                </w:p>
              </w:tc>
              <w:tc>
                <w:tcPr>
                  <w:tcW w:w="709" w:type="dxa"/>
                  <w:vAlign w:val="center"/>
                </w:tcPr>
                <w:p>
                  <w:pPr>
                    <w:widowControl/>
                    <w:ind w:left="-63" w:leftChars="-30" w:right="-63" w:rightChars="-30"/>
                    <w:jc w:val="center"/>
                    <w:rPr>
                      <w:kern w:val="0"/>
                      <w:sz w:val="20"/>
                      <w:szCs w:val="20"/>
                    </w:rPr>
                  </w:pPr>
                  <w:r>
                    <w:rPr>
                      <w:rFonts w:hint="eastAsia"/>
                      <w:kern w:val="0"/>
                      <w:sz w:val="20"/>
                      <w:szCs w:val="20"/>
                    </w:rPr>
                    <w:t>8</w:t>
                  </w:r>
                  <w:r>
                    <w:rPr>
                      <w:kern w:val="0"/>
                      <w:sz w:val="20"/>
                      <w:szCs w:val="20"/>
                    </w:rPr>
                    <w:t>610</w:t>
                  </w:r>
                </w:p>
              </w:tc>
              <w:tc>
                <w:tcPr>
                  <w:tcW w:w="1275" w:type="dxa"/>
                  <w:vMerge w:val="continue"/>
                  <w:vAlign w:val="center"/>
                </w:tcPr>
                <w:p>
                  <w:pPr>
                    <w:widowControl/>
                    <w:ind w:left="-63" w:leftChars="-30" w:right="-63" w:rightChars="-30"/>
                    <w:jc w:val="left"/>
                    <w:rPr>
                      <w:rFonts w:ascii="等线" w:hAnsi="等线" w:eastAsia="等线"/>
                      <w:kern w:val="0"/>
                      <w:sz w:val="20"/>
                      <w:szCs w:val="20"/>
                    </w:rPr>
                  </w:pPr>
                </w:p>
              </w:tc>
              <w:tc>
                <w:tcPr>
                  <w:tcW w:w="709" w:type="dxa"/>
                  <w:vAlign w:val="center"/>
                </w:tcPr>
                <w:p>
                  <w:pPr>
                    <w:pStyle w:val="56"/>
                    <w:ind w:left="-63" w:leftChars="-30" w:right="-63" w:rightChars="-30"/>
                    <w:rPr>
                      <w:rFonts w:ascii="宋体" w:hAnsi="宋体"/>
                    </w:rPr>
                  </w:pPr>
                  <w:r>
                    <w:rPr>
                      <w:szCs w:val="21"/>
                    </w:rPr>
                    <w:t>N</w:t>
                  </w:r>
                </w:p>
              </w:tc>
              <w:tc>
                <w:tcPr>
                  <w:tcW w:w="727" w:type="dxa"/>
                  <w:vAlign w:val="center"/>
                </w:tcPr>
                <w:p>
                  <w:pPr>
                    <w:ind w:left="-63" w:leftChars="-30" w:right="-63" w:rightChars="-30"/>
                    <w:jc w:val="center"/>
                    <w:rPr>
                      <w:rFonts w:ascii="宋体" w:hAnsi="宋体"/>
                    </w:rPr>
                  </w:pPr>
                  <w:r>
                    <w:rPr>
                      <w:szCs w:val="21"/>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6" w:type="dxa"/>
                  <w:vMerge w:val="continue"/>
                  <w:vAlign w:val="center"/>
                </w:tcPr>
                <w:p>
                  <w:pPr>
                    <w:widowControl/>
                    <w:ind w:left="-63" w:leftChars="-30" w:right="-63" w:rightChars="-30"/>
                    <w:jc w:val="left"/>
                    <w:rPr>
                      <w:rFonts w:ascii="等线" w:hAnsi="等线" w:eastAsia="等线"/>
                      <w:kern w:val="0"/>
                      <w:sz w:val="20"/>
                      <w:szCs w:val="20"/>
                    </w:rPr>
                  </w:pPr>
                </w:p>
              </w:tc>
              <w:tc>
                <w:tcPr>
                  <w:tcW w:w="1091" w:type="dxa"/>
                  <w:vAlign w:val="center"/>
                </w:tcPr>
                <w:p>
                  <w:pPr>
                    <w:pStyle w:val="56"/>
                    <w:ind w:left="-63" w:leftChars="-30" w:right="-63" w:rightChars="-30"/>
                    <w:rPr>
                      <w:rFonts w:ascii="等线" w:hAnsi="等线" w:eastAsia="等线"/>
                    </w:rPr>
                  </w:pPr>
                  <w:r>
                    <w:rPr>
                      <w:szCs w:val="21"/>
                    </w:rPr>
                    <w:t>108.869378</w:t>
                  </w:r>
                </w:p>
              </w:tc>
              <w:tc>
                <w:tcPr>
                  <w:tcW w:w="968" w:type="dxa"/>
                  <w:vAlign w:val="center"/>
                </w:tcPr>
                <w:p>
                  <w:pPr>
                    <w:pStyle w:val="56"/>
                    <w:ind w:left="-63" w:leftChars="-30" w:right="-63" w:rightChars="-30"/>
                  </w:pPr>
                  <w:r>
                    <w:rPr>
                      <w:szCs w:val="21"/>
                    </w:rPr>
                    <w:t>34.153661</w:t>
                  </w:r>
                </w:p>
              </w:tc>
              <w:tc>
                <w:tcPr>
                  <w:tcW w:w="1266" w:type="dxa"/>
                  <w:vAlign w:val="center"/>
                </w:tcPr>
                <w:p>
                  <w:pPr>
                    <w:ind w:left="-63" w:leftChars="-30" w:right="-63" w:rightChars="-30"/>
                    <w:jc w:val="center"/>
                  </w:pPr>
                  <w:r>
                    <w:rPr>
                      <w:szCs w:val="21"/>
                    </w:rPr>
                    <w:t>雅居乐宏府翰林山</w:t>
                  </w:r>
                </w:p>
              </w:tc>
              <w:tc>
                <w:tcPr>
                  <w:tcW w:w="709" w:type="dxa"/>
                  <w:vAlign w:val="center"/>
                </w:tcPr>
                <w:p>
                  <w:pPr>
                    <w:ind w:left="-63" w:leftChars="-30" w:right="-63" w:rightChars="-30"/>
                    <w:jc w:val="center"/>
                  </w:pPr>
                  <w:r>
                    <w:rPr>
                      <w:rFonts w:hint="eastAsia"/>
                    </w:rPr>
                    <w:t>居民</w:t>
                  </w:r>
                </w:p>
              </w:tc>
              <w:tc>
                <w:tcPr>
                  <w:tcW w:w="709" w:type="dxa"/>
                  <w:vAlign w:val="center"/>
                </w:tcPr>
                <w:p>
                  <w:pPr>
                    <w:widowControl/>
                    <w:ind w:left="-63" w:leftChars="-30" w:right="-63" w:rightChars="-30"/>
                    <w:jc w:val="center"/>
                    <w:rPr>
                      <w:kern w:val="0"/>
                      <w:sz w:val="20"/>
                      <w:szCs w:val="20"/>
                    </w:rPr>
                  </w:pPr>
                  <w:r>
                    <w:rPr>
                      <w:rFonts w:hint="eastAsia"/>
                      <w:kern w:val="0"/>
                      <w:sz w:val="20"/>
                      <w:szCs w:val="20"/>
                    </w:rPr>
                    <w:t>3</w:t>
                  </w:r>
                  <w:r>
                    <w:rPr>
                      <w:kern w:val="0"/>
                      <w:sz w:val="20"/>
                      <w:szCs w:val="20"/>
                    </w:rPr>
                    <w:t>560</w:t>
                  </w:r>
                </w:p>
              </w:tc>
              <w:tc>
                <w:tcPr>
                  <w:tcW w:w="1275" w:type="dxa"/>
                  <w:vMerge w:val="continue"/>
                  <w:vAlign w:val="center"/>
                </w:tcPr>
                <w:p>
                  <w:pPr>
                    <w:widowControl/>
                    <w:ind w:left="-63" w:leftChars="-30" w:right="-63" w:rightChars="-30"/>
                    <w:jc w:val="left"/>
                    <w:rPr>
                      <w:rFonts w:ascii="等线" w:hAnsi="等线" w:eastAsia="等线"/>
                      <w:kern w:val="0"/>
                      <w:sz w:val="20"/>
                      <w:szCs w:val="20"/>
                    </w:rPr>
                  </w:pPr>
                </w:p>
              </w:tc>
              <w:tc>
                <w:tcPr>
                  <w:tcW w:w="709" w:type="dxa"/>
                  <w:vAlign w:val="center"/>
                </w:tcPr>
                <w:p>
                  <w:pPr>
                    <w:pStyle w:val="56"/>
                    <w:ind w:left="-63" w:leftChars="-30" w:right="-63" w:rightChars="-30"/>
                    <w:rPr>
                      <w:rFonts w:ascii="宋体" w:hAnsi="宋体"/>
                    </w:rPr>
                  </w:pPr>
                  <w:r>
                    <w:rPr>
                      <w:szCs w:val="21"/>
                    </w:rPr>
                    <w:t>NE</w:t>
                  </w:r>
                </w:p>
              </w:tc>
              <w:tc>
                <w:tcPr>
                  <w:tcW w:w="727" w:type="dxa"/>
                  <w:vAlign w:val="center"/>
                </w:tcPr>
                <w:p>
                  <w:pPr>
                    <w:pStyle w:val="56"/>
                    <w:ind w:left="-63" w:leftChars="-30" w:right="-63" w:rightChars="-30"/>
                    <w:rPr>
                      <w:rFonts w:ascii="等线" w:hAnsi="等线" w:eastAsia="等线"/>
                    </w:rPr>
                  </w:pPr>
                  <w:r>
                    <w:rPr>
                      <w:szCs w:val="21"/>
                    </w:rPr>
                    <w:t>450</w:t>
                  </w:r>
                </w:p>
              </w:tc>
            </w:tr>
          </w:tbl>
          <w:p>
            <w:pPr>
              <w:adjustRightInd w:val="0"/>
              <w:snapToGrid w:val="0"/>
              <w:spacing w:before="120" w:beforeLines="50" w:line="360" w:lineRule="auto"/>
              <w:ind w:firstLine="482" w:firstLineChars="200"/>
              <w:rPr>
                <w:b/>
                <w:bCs/>
                <w:kern w:val="0"/>
                <w:sz w:val="24"/>
              </w:rPr>
            </w:pPr>
            <w:r>
              <w:rPr>
                <w:b/>
                <w:bCs/>
                <w:kern w:val="0"/>
                <w:sz w:val="24"/>
              </w:rPr>
              <w:t>二、声环境</w:t>
            </w:r>
          </w:p>
          <w:p>
            <w:pPr>
              <w:adjustRightInd w:val="0"/>
              <w:snapToGrid w:val="0"/>
              <w:spacing w:line="360" w:lineRule="auto"/>
              <w:ind w:firstLine="480" w:firstLineChars="200"/>
              <w:rPr>
                <w:kern w:val="0"/>
                <w:sz w:val="24"/>
              </w:rPr>
            </w:pPr>
            <w:r>
              <w:rPr>
                <w:kern w:val="0"/>
                <w:sz w:val="24"/>
              </w:rPr>
              <w:t>本项目厂界外50m范围内无声环境保护目标。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0" w:type="dxa"/>
            <w:tcMar>
              <w:left w:w="28" w:type="dxa"/>
              <w:right w:w="28" w:type="dxa"/>
            </w:tcMar>
            <w:vAlign w:val="center"/>
          </w:tcPr>
          <w:p>
            <w:pPr>
              <w:adjustRightInd w:val="0"/>
              <w:snapToGrid w:val="0"/>
              <w:jc w:val="center"/>
              <w:rPr>
                <w:kern w:val="0"/>
                <w:sz w:val="24"/>
              </w:rPr>
            </w:pPr>
            <w:r>
              <w:rPr>
                <w:kern w:val="0"/>
                <w:sz w:val="24"/>
              </w:rPr>
              <w:t>污染</w:t>
            </w:r>
          </w:p>
          <w:p>
            <w:pPr>
              <w:adjustRightInd w:val="0"/>
              <w:snapToGrid w:val="0"/>
              <w:jc w:val="center"/>
              <w:rPr>
                <w:kern w:val="0"/>
                <w:sz w:val="24"/>
              </w:rPr>
            </w:pPr>
            <w:r>
              <w:rPr>
                <w:kern w:val="0"/>
                <w:sz w:val="24"/>
              </w:rPr>
              <w:t>物排</w:t>
            </w:r>
          </w:p>
          <w:p>
            <w:pPr>
              <w:adjustRightInd w:val="0"/>
              <w:snapToGrid w:val="0"/>
              <w:jc w:val="center"/>
              <w:rPr>
                <w:kern w:val="0"/>
                <w:sz w:val="24"/>
              </w:rPr>
            </w:pPr>
            <w:r>
              <w:rPr>
                <w:kern w:val="0"/>
                <w:sz w:val="24"/>
              </w:rPr>
              <w:t>放控</w:t>
            </w:r>
          </w:p>
          <w:p>
            <w:pPr>
              <w:adjustRightInd w:val="0"/>
              <w:snapToGrid w:val="0"/>
              <w:jc w:val="center"/>
              <w:rPr>
                <w:kern w:val="0"/>
                <w:sz w:val="24"/>
              </w:rPr>
            </w:pPr>
            <w:r>
              <w:rPr>
                <w:kern w:val="0"/>
                <w:sz w:val="24"/>
              </w:rPr>
              <w:t>制标</w:t>
            </w:r>
          </w:p>
          <w:p>
            <w:pPr>
              <w:adjustRightInd w:val="0"/>
              <w:snapToGrid w:val="0"/>
              <w:jc w:val="center"/>
              <w:rPr>
                <w:kern w:val="0"/>
                <w:sz w:val="24"/>
              </w:rPr>
            </w:pPr>
            <w:r>
              <w:rPr>
                <w:kern w:val="0"/>
                <w:sz w:val="24"/>
              </w:rPr>
              <w:t>准</w:t>
            </w:r>
          </w:p>
        </w:tc>
        <w:tc>
          <w:tcPr>
            <w:tcW w:w="8190" w:type="dxa"/>
            <w:vAlign w:val="center"/>
          </w:tcPr>
          <w:p>
            <w:pPr>
              <w:adjustRightInd w:val="0"/>
              <w:snapToGrid w:val="0"/>
              <w:spacing w:before="120" w:beforeLines="50" w:line="360" w:lineRule="auto"/>
              <w:ind w:firstLine="482" w:firstLineChars="200"/>
              <w:rPr>
                <w:b/>
                <w:bCs/>
                <w:kern w:val="0"/>
                <w:sz w:val="24"/>
              </w:rPr>
            </w:pPr>
            <w:r>
              <w:rPr>
                <w:b/>
                <w:bCs/>
                <w:kern w:val="0"/>
                <w:sz w:val="24"/>
              </w:rPr>
              <w:t>一、废气排放标准：</w:t>
            </w:r>
          </w:p>
          <w:p>
            <w:pPr>
              <w:pStyle w:val="21"/>
              <w:tabs>
                <w:tab w:val="left" w:pos="1000"/>
              </w:tabs>
              <w:spacing w:before="0" w:beforeAutospacing="0" w:after="0" w:afterAutospacing="0" w:line="360" w:lineRule="auto"/>
              <w:ind w:firstLine="480" w:firstLineChars="200"/>
              <w:jc w:val="both"/>
              <w:rPr>
                <w:rFonts w:ascii="Times New Roman" w:hAnsi="Times New Roman"/>
              </w:rPr>
            </w:pPr>
            <w:r>
              <w:rPr>
                <w:rFonts w:ascii="Times New Roman" w:hAnsi="Times New Roman"/>
              </w:rPr>
              <w:t>运营期废气执行《大气污染物综合排放标准》（GB16297-1996）中二级标准限值</w:t>
            </w:r>
            <w:r>
              <w:rPr>
                <w:rFonts w:hint="eastAsia" w:ascii="Times New Roman" w:hAnsi="Times New Roman"/>
              </w:rPr>
              <w:t>及</w:t>
            </w:r>
            <w:r>
              <w:rPr>
                <w:rFonts w:ascii="Times New Roman" w:hAnsi="Times New Roman"/>
              </w:rPr>
              <w:t>《挥发性有机物无组织排放控制标准》</w:t>
            </w:r>
            <w:r>
              <w:rPr>
                <w:rFonts w:hint="eastAsia" w:ascii="Times New Roman" w:hAnsi="Times New Roman"/>
              </w:rPr>
              <w:t>（</w:t>
            </w:r>
            <w:r>
              <w:rPr>
                <w:rFonts w:ascii="Times New Roman" w:hAnsi="Times New Roman"/>
              </w:rPr>
              <w:t>GB37822-2019</w:t>
            </w:r>
            <w:r>
              <w:rPr>
                <w:rFonts w:hint="eastAsia" w:ascii="Times New Roman" w:hAnsi="Times New Roman"/>
              </w:rPr>
              <w:t>）</w:t>
            </w:r>
            <w:r>
              <w:rPr>
                <w:rFonts w:ascii="Times New Roman" w:hAnsi="Times New Roman"/>
              </w:rPr>
              <w:t>。其标准值见表3-6。</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表3-6  废气排放标准</w:t>
            </w:r>
          </w:p>
          <w:tbl>
            <w:tblPr>
              <w:tblStyle w:val="24"/>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896"/>
              <w:gridCol w:w="852"/>
              <w:gridCol w:w="853"/>
              <w:gridCol w:w="1280"/>
              <w:gridCol w:w="568"/>
              <w:gridCol w:w="1140"/>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5" w:type="pct"/>
                  <w:vMerge w:val="restart"/>
                  <w:tcBorders>
                    <w:bottom w:val="single" w:color="auto" w:sz="4" w:space="0"/>
                    <w:tl2br w:val="nil"/>
                    <w:tr2bl w:val="nil"/>
                  </w:tcBorders>
                  <w:vAlign w:val="center"/>
                </w:tcPr>
                <w:p>
                  <w:pPr>
                    <w:ind w:left="-84" w:leftChars="-40" w:right="-84" w:rightChars="-40"/>
                    <w:jc w:val="center"/>
                    <w:rPr>
                      <w:szCs w:val="21"/>
                    </w:rPr>
                  </w:pPr>
                  <w:r>
                    <w:rPr>
                      <w:szCs w:val="21"/>
                    </w:rPr>
                    <w:t>污染物</w:t>
                  </w:r>
                </w:p>
              </w:tc>
              <w:tc>
                <w:tcPr>
                  <w:tcW w:w="571" w:type="pct"/>
                  <w:vMerge w:val="restart"/>
                  <w:tcBorders>
                    <w:bottom w:val="single" w:color="auto" w:sz="4" w:space="0"/>
                    <w:tl2br w:val="nil"/>
                    <w:tr2bl w:val="nil"/>
                  </w:tcBorders>
                  <w:vAlign w:val="center"/>
                </w:tcPr>
                <w:p>
                  <w:pPr>
                    <w:ind w:left="-84" w:leftChars="-40" w:right="-84" w:rightChars="-40"/>
                    <w:jc w:val="center"/>
                    <w:rPr>
                      <w:szCs w:val="21"/>
                    </w:rPr>
                  </w:pPr>
                  <w:r>
                    <w:rPr>
                      <w:szCs w:val="21"/>
                    </w:rPr>
                    <w:t>最高允许排放浓度(mg/m</w:t>
                  </w:r>
                  <w:r>
                    <w:rPr>
                      <w:szCs w:val="21"/>
                      <w:vertAlign w:val="superscript"/>
                    </w:rPr>
                    <w:t>3</w:t>
                  </w:r>
                  <w:r>
                    <w:rPr>
                      <w:szCs w:val="21"/>
                    </w:rPr>
                    <w:t>)</w:t>
                  </w:r>
                </w:p>
              </w:tc>
              <w:tc>
                <w:tcPr>
                  <w:tcW w:w="1087" w:type="pct"/>
                  <w:gridSpan w:val="2"/>
                  <w:tcBorders>
                    <w:tl2br w:val="nil"/>
                    <w:tr2bl w:val="nil"/>
                  </w:tcBorders>
                  <w:vAlign w:val="center"/>
                </w:tcPr>
                <w:p>
                  <w:pPr>
                    <w:ind w:left="-84" w:leftChars="-40" w:right="-84" w:rightChars="-40"/>
                    <w:jc w:val="center"/>
                    <w:rPr>
                      <w:szCs w:val="21"/>
                    </w:rPr>
                  </w:pPr>
                  <w:r>
                    <w:rPr>
                      <w:szCs w:val="21"/>
                    </w:rPr>
                    <w:t>最高允许排放速率</w:t>
                  </w:r>
                </w:p>
              </w:tc>
              <w:tc>
                <w:tcPr>
                  <w:tcW w:w="1905" w:type="pct"/>
                  <w:gridSpan w:val="3"/>
                  <w:tcBorders>
                    <w:tl2br w:val="nil"/>
                    <w:tr2bl w:val="nil"/>
                  </w:tcBorders>
                  <w:vAlign w:val="center"/>
                </w:tcPr>
                <w:p>
                  <w:pPr>
                    <w:ind w:left="-84" w:leftChars="-40" w:right="-84" w:rightChars="-40"/>
                    <w:jc w:val="center"/>
                    <w:rPr>
                      <w:szCs w:val="21"/>
                    </w:rPr>
                  </w:pPr>
                  <w:r>
                    <w:rPr>
                      <w:szCs w:val="21"/>
                    </w:rPr>
                    <w:t>无组织排放浓度 (mg/Nm</w:t>
                  </w:r>
                  <w:r>
                    <w:rPr>
                      <w:szCs w:val="21"/>
                      <w:vertAlign w:val="superscript"/>
                    </w:rPr>
                    <w:t>3</w:t>
                  </w:r>
                  <w:r>
                    <w:rPr>
                      <w:szCs w:val="21"/>
                    </w:rPr>
                    <w:t>)</w:t>
                  </w:r>
                </w:p>
              </w:tc>
              <w:tc>
                <w:tcPr>
                  <w:tcW w:w="950" w:type="pct"/>
                  <w:vMerge w:val="restart"/>
                  <w:tcBorders>
                    <w:bottom w:val="single" w:color="auto" w:sz="4" w:space="0"/>
                    <w:tl2br w:val="nil"/>
                    <w:tr2bl w:val="nil"/>
                  </w:tcBorders>
                  <w:vAlign w:val="center"/>
                </w:tcPr>
                <w:p>
                  <w:pPr>
                    <w:ind w:left="-84" w:leftChars="-40" w:right="-84" w:rightChars="-40"/>
                    <w:jc w:val="center"/>
                    <w:rPr>
                      <w:szCs w:val="21"/>
                    </w:rPr>
                  </w:pPr>
                  <w:r>
                    <w:rPr>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5" w:type="pct"/>
                  <w:vMerge w:val="continue"/>
                  <w:tcBorders>
                    <w:tl2br w:val="nil"/>
                    <w:tr2bl w:val="nil"/>
                  </w:tcBorders>
                  <w:vAlign w:val="center"/>
                </w:tcPr>
                <w:p>
                  <w:pPr>
                    <w:ind w:left="-84" w:leftChars="-40" w:right="-84" w:rightChars="-40"/>
                    <w:jc w:val="center"/>
                    <w:rPr>
                      <w:szCs w:val="21"/>
                    </w:rPr>
                  </w:pPr>
                </w:p>
              </w:tc>
              <w:tc>
                <w:tcPr>
                  <w:tcW w:w="571" w:type="pct"/>
                  <w:vMerge w:val="continue"/>
                  <w:tcBorders>
                    <w:tl2br w:val="nil"/>
                    <w:tr2bl w:val="nil"/>
                  </w:tcBorders>
                  <w:vAlign w:val="center"/>
                </w:tcPr>
                <w:p>
                  <w:pPr>
                    <w:ind w:left="-84" w:leftChars="-40" w:right="-84" w:rightChars="-40"/>
                    <w:jc w:val="center"/>
                    <w:rPr>
                      <w:szCs w:val="21"/>
                    </w:rPr>
                  </w:pPr>
                </w:p>
              </w:tc>
              <w:tc>
                <w:tcPr>
                  <w:tcW w:w="543" w:type="pct"/>
                  <w:tcBorders>
                    <w:tl2br w:val="nil"/>
                    <w:tr2bl w:val="nil"/>
                  </w:tcBorders>
                  <w:vAlign w:val="center"/>
                </w:tcPr>
                <w:p>
                  <w:pPr>
                    <w:ind w:left="-84" w:leftChars="-40" w:right="-84" w:rightChars="-40"/>
                    <w:jc w:val="center"/>
                    <w:rPr>
                      <w:szCs w:val="21"/>
                    </w:rPr>
                  </w:pPr>
                  <w:r>
                    <w:rPr>
                      <w:szCs w:val="21"/>
                    </w:rPr>
                    <w:t>排放高度(m)</w:t>
                  </w:r>
                </w:p>
              </w:tc>
              <w:tc>
                <w:tcPr>
                  <w:tcW w:w="543" w:type="pct"/>
                  <w:tcBorders>
                    <w:tl2br w:val="nil"/>
                    <w:tr2bl w:val="nil"/>
                  </w:tcBorders>
                  <w:vAlign w:val="center"/>
                </w:tcPr>
                <w:p>
                  <w:pPr>
                    <w:ind w:left="-84" w:leftChars="-40" w:right="-84" w:rightChars="-40"/>
                    <w:jc w:val="center"/>
                    <w:rPr>
                      <w:szCs w:val="21"/>
                    </w:rPr>
                  </w:pPr>
                  <w:r>
                    <w:rPr>
                      <w:szCs w:val="21"/>
                    </w:rPr>
                    <w:t>排放速率</w:t>
                  </w:r>
                  <w:r>
                    <w:rPr>
                      <w:rFonts w:hint="eastAsia"/>
                      <w:szCs w:val="21"/>
                      <w:vertAlign w:val="superscript"/>
                    </w:rPr>
                    <w:t>①</w:t>
                  </w:r>
                  <w:r>
                    <w:rPr>
                      <w:szCs w:val="21"/>
                    </w:rPr>
                    <w:t>(kg/h)</w:t>
                  </w:r>
                </w:p>
              </w:tc>
              <w:tc>
                <w:tcPr>
                  <w:tcW w:w="1178" w:type="pct"/>
                  <w:gridSpan w:val="2"/>
                  <w:tcBorders>
                    <w:tl2br w:val="nil"/>
                    <w:tr2bl w:val="nil"/>
                  </w:tcBorders>
                  <w:vAlign w:val="center"/>
                </w:tcPr>
                <w:p>
                  <w:pPr>
                    <w:ind w:left="-84" w:leftChars="-40" w:right="-84" w:rightChars="-40"/>
                    <w:jc w:val="center"/>
                    <w:rPr>
                      <w:szCs w:val="21"/>
                    </w:rPr>
                  </w:pPr>
                  <w:r>
                    <w:rPr>
                      <w:sz w:val="20"/>
                      <w:szCs w:val="20"/>
                    </w:rPr>
                    <w:t>厂内监控点</w:t>
                  </w:r>
                </w:p>
              </w:tc>
              <w:tc>
                <w:tcPr>
                  <w:tcW w:w="726" w:type="pct"/>
                  <w:tcBorders>
                    <w:tl2br w:val="nil"/>
                    <w:tr2bl w:val="nil"/>
                  </w:tcBorders>
                  <w:vAlign w:val="center"/>
                </w:tcPr>
                <w:p>
                  <w:pPr>
                    <w:ind w:left="-84" w:leftChars="-40" w:right="-84" w:rightChars="-40"/>
                    <w:jc w:val="center"/>
                    <w:rPr>
                      <w:szCs w:val="21"/>
                    </w:rPr>
                  </w:pPr>
                  <w:r>
                    <w:rPr>
                      <w:sz w:val="20"/>
                      <w:szCs w:val="20"/>
                    </w:rPr>
                    <w:t>厂界监控点</w:t>
                  </w:r>
                </w:p>
              </w:tc>
              <w:tc>
                <w:tcPr>
                  <w:tcW w:w="950" w:type="pct"/>
                  <w:vMerge w:val="continue"/>
                  <w:tcBorders>
                    <w:tl2br w:val="nil"/>
                    <w:tr2bl w:val="nil"/>
                  </w:tcBorders>
                  <w:vAlign w:val="center"/>
                </w:tcPr>
                <w:p>
                  <w:pPr>
                    <w:ind w:left="-84" w:leftChars="-40"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5" w:type="pct"/>
                  <w:tcBorders>
                    <w:tl2br w:val="nil"/>
                    <w:tr2bl w:val="nil"/>
                  </w:tcBorders>
                  <w:vAlign w:val="center"/>
                </w:tcPr>
                <w:p>
                  <w:pPr>
                    <w:ind w:left="-84" w:leftChars="-40" w:right="-84" w:rightChars="-40"/>
                    <w:jc w:val="center"/>
                    <w:rPr>
                      <w:szCs w:val="21"/>
                    </w:rPr>
                  </w:pPr>
                  <w:r>
                    <w:rPr>
                      <w:szCs w:val="21"/>
                    </w:rPr>
                    <w:t>甲苯</w:t>
                  </w:r>
                </w:p>
              </w:tc>
              <w:tc>
                <w:tcPr>
                  <w:tcW w:w="571" w:type="pct"/>
                  <w:tcBorders>
                    <w:tl2br w:val="nil"/>
                    <w:tr2bl w:val="nil"/>
                  </w:tcBorders>
                  <w:vAlign w:val="center"/>
                </w:tcPr>
                <w:p>
                  <w:pPr>
                    <w:ind w:left="-84" w:leftChars="-40" w:right="-84" w:rightChars="-40"/>
                    <w:jc w:val="center"/>
                    <w:rPr>
                      <w:szCs w:val="21"/>
                    </w:rPr>
                  </w:pPr>
                  <w:r>
                    <w:rPr>
                      <w:szCs w:val="21"/>
                    </w:rPr>
                    <w:t>40</w:t>
                  </w:r>
                </w:p>
              </w:tc>
              <w:tc>
                <w:tcPr>
                  <w:tcW w:w="543" w:type="pct"/>
                  <w:tcBorders>
                    <w:tl2br w:val="nil"/>
                    <w:tr2bl w:val="nil"/>
                  </w:tcBorders>
                  <w:vAlign w:val="center"/>
                </w:tcPr>
                <w:p>
                  <w:pPr>
                    <w:ind w:left="-84" w:leftChars="-40" w:right="-84" w:rightChars="-40"/>
                    <w:jc w:val="center"/>
                    <w:rPr>
                      <w:szCs w:val="21"/>
                    </w:rPr>
                  </w:pPr>
                  <w:r>
                    <w:rPr>
                      <w:szCs w:val="21"/>
                    </w:rPr>
                    <w:t>15</w:t>
                  </w:r>
                </w:p>
              </w:tc>
              <w:tc>
                <w:tcPr>
                  <w:tcW w:w="543" w:type="pct"/>
                  <w:tcBorders>
                    <w:tl2br w:val="nil"/>
                    <w:tr2bl w:val="nil"/>
                  </w:tcBorders>
                  <w:vAlign w:val="center"/>
                </w:tcPr>
                <w:p>
                  <w:pPr>
                    <w:ind w:left="-84" w:leftChars="-40" w:right="-84" w:rightChars="-40"/>
                    <w:jc w:val="center"/>
                    <w:rPr>
                      <w:szCs w:val="21"/>
                    </w:rPr>
                  </w:pPr>
                  <w:r>
                    <w:rPr>
                      <w:rFonts w:hint="eastAsia"/>
                      <w:szCs w:val="21"/>
                    </w:rPr>
                    <w:t>1.55</w:t>
                  </w:r>
                </w:p>
              </w:tc>
              <w:tc>
                <w:tcPr>
                  <w:tcW w:w="1178" w:type="pct"/>
                  <w:gridSpan w:val="2"/>
                  <w:tcBorders>
                    <w:tl2br w:val="nil"/>
                    <w:tr2bl w:val="nil"/>
                  </w:tcBorders>
                  <w:vAlign w:val="center"/>
                </w:tcPr>
                <w:p>
                  <w:pPr>
                    <w:ind w:left="-84" w:leftChars="-40" w:right="-84" w:rightChars="-40"/>
                    <w:jc w:val="center"/>
                    <w:rPr>
                      <w:szCs w:val="21"/>
                    </w:rPr>
                  </w:pPr>
                  <w:r>
                    <w:rPr>
                      <w:szCs w:val="21"/>
                    </w:rPr>
                    <w:t>/</w:t>
                  </w:r>
                </w:p>
              </w:tc>
              <w:tc>
                <w:tcPr>
                  <w:tcW w:w="726" w:type="pct"/>
                  <w:tcBorders>
                    <w:tl2br w:val="nil"/>
                    <w:tr2bl w:val="nil"/>
                  </w:tcBorders>
                  <w:vAlign w:val="center"/>
                </w:tcPr>
                <w:p>
                  <w:pPr>
                    <w:ind w:left="-84" w:leftChars="-40" w:right="-84" w:rightChars="-40"/>
                    <w:jc w:val="center"/>
                    <w:rPr>
                      <w:szCs w:val="21"/>
                    </w:rPr>
                  </w:pPr>
                  <w:r>
                    <w:rPr>
                      <w:szCs w:val="21"/>
                    </w:rPr>
                    <w:t>2.4</w:t>
                  </w:r>
                </w:p>
              </w:tc>
              <w:tc>
                <w:tcPr>
                  <w:tcW w:w="950" w:type="pct"/>
                  <w:vMerge w:val="restart"/>
                  <w:tcBorders>
                    <w:tl2br w:val="nil"/>
                    <w:tr2bl w:val="nil"/>
                  </w:tcBorders>
                  <w:vAlign w:val="center"/>
                </w:tcPr>
                <w:p>
                  <w:pPr>
                    <w:wordWrap w:val="0"/>
                    <w:ind w:left="-84" w:leftChars="-40" w:right="-84" w:rightChars="-40"/>
                    <w:rPr>
                      <w:szCs w:val="21"/>
                    </w:rPr>
                  </w:pPr>
                  <w:r>
                    <w:rPr>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5" w:type="pct"/>
                  <w:tcBorders>
                    <w:tl2br w:val="nil"/>
                    <w:tr2bl w:val="nil"/>
                  </w:tcBorders>
                  <w:vAlign w:val="center"/>
                </w:tcPr>
                <w:p>
                  <w:pPr>
                    <w:ind w:left="-84" w:leftChars="-40" w:right="-84" w:rightChars="-40"/>
                    <w:jc w:val="center"/>
                    <w:rPr>
                      <w:szCs w:val="21"/>
                    </w:rPr>
                  </w:pPr>
                  <w:r>
                    <w:rPr>
                      <w:szCs w:val="21"/>
                    </w:rPr>
                    <w:t>氯化氢</w:t>
                  </w:r>
                </w:p>
              </w:tc>
              <w:tc>
                <w:tcPr>
                  <w:tcW w:w="571" w:type="pct"/>
                  <w:tcBorders>
                    <w:tl2br w:val="nil"/>
                    <w:tr2bl w:val="nil"/>
                  </w:tcBorders>
                  <w:vAlign w:val="center"/>
                </w:tcPr>
                <w:p>
                  <w:pPr>
                    <w:pStyle w:val="36"/>
                    <w:numPr>
                      <w:ilvl w:val="0"/>
                      <w:numId w:val="0"/>
                    </w:numPr>
                    <w:spacing w:line="240" w:lineRule="auto"/>
                    <w:ind w:left="-84" w:leftChars="-40" w:right="-84" w:rightChars="-40"/>
                    <w:jc w:val="center"/>
                    <w:rPr>
                      <w:kern w:val="2"/>
                      <w:szCs w:val="21"/>
                    </w:rPr>
                  </w:pPr>
                  <w:r>
                    <w:rPr>
                      <w:szCs w:val="21"/>
                    </w:rPr>
                    <w:t>100</w:t>
                  </w:r>
                </w:p>
              </w:tc>
              <w:tc>
                <w:tcPr>
                  <w:tcW w:w="543" w:type="pct"/>
                  <w:tcBorders>
                    <w:tl2br w:val="nil"/>
                    <w:tr2bl w:val="nil"/>
                  </w:tcBorders>
                  <w:vAlign w:val="center"/>
                </w:tcPr>
                <w:p>
                  <w:pPr>
                    <w:ind w:left="-84" w:leftChars="-40" w:right="-84" w:rightChars="-40"/>
                    <w:jc w:val="center"/>
                    <w:rPr>
                      <w:szCs w:val="21"/>
                    </w:rPr>
                  </w:pPr>
                  <w:r>
                    <w:rPr>
                      <w:szCs w:val="21"/>
                    </w:rPr>
                    <w:t>15</w:t>
                  </w:r>
                </w:p>
              </w:tc>
              <w:tc>
                <w:tcPr>
                  <w:tcW w:w="543" w:type="pct"/>
                  <w:tcBorders>
                    <w:tl2br w:val="nil"/>
                    <w:tr2bl w:val="nil"/>
                  </w:tcBorders>
                  <w:vAlign w:val="center"/>
                </w:tcPr>
                <w:p>
                  <w:pPr>
                    <w:ind w:left="-84" w:leftChars="-40" w:right="-84" w:rightChars="-40"/>
                    <w:jc w:val="center"/>
                    <w:rPr>
                      <w:szCs w:val="21"/>
                    </w:rPr>
                  </w:pPr>
                  <w:r>
                    <w:rPr>
                      <w:rFonts w:hint="eastAsia"/>
                      <w:szCs w:val="21"/>
                    </w:rPr>
                    <w:t>0.195</w:t>
                  </w:r>
                </w:p>
              </w:tc>
              <w:tc>
                <w:tcPr>
                  <w:tcW w:w="1178" w:type="pct"/>
                  <w:gridSpan w:val="2"/>
                  <w:tcBorders>
                    <w:tl2br w:val="nil"/>
                    <w:tr2bl w:val="nil"/>
                  </w:tcBorders>
                  <w:vAlign w:val="center"/>
                </w:tcPr>
                <w:p>
                  <w:pPr>
                    <w:widowControl/>
                    <w:ind w:left="-84" w:leftChars="-40" w:right="-84" w:rightChars="-40"/>
                    <w:jc w:val="center"/>
                    <w:rPr>
                      <w:szCs w:val="21"/>
                    </w:rPr>
                  </w:pPr>
                  <w:r>
                    <w:rPr>
                      <w:szCs w:val="21"/>
                    </w:rPr>
                    <w:t>/</w:t>
                  </w:r>
                </w:p>
              </w:tc>
              <w:tc>
                <w:tcPr>
                  <w:tcW w:w="726" w:type="pct"/>
                  <w:tcBorders>
                    <w:tl2br w:val="nil"/>
                    <w:tr2bl w:val="nil"/>
                  </w:tcBorders>
                  <w:vAlign w:val="center"/>
                </w:tcPr>
                <w:p>
                  <w:pPr>
                    <w:widowControl/>
                    <w:ind w:left="-84" w:leftChars="-40" w:right="-84" w:rightChars="-40"/>
                    <w:jc w:val="center"/>
                    <w:rPr>
                      <w:szCs w:val="21"/>
                    </w:rPr>
                  </w:pPr>
                  <w:r>
                    <w:rPr>
                      <w:szCs w:val="21"/>
                    </w:rPr>
                    <w:t>0.20</w:t>
                  </w:r>
                </w:p>
              </w:tc>
              <w:tc>
                <w:tcPr>
                  <w:tcW w:w="950" w:type="pct"/>
                  <w:vMerge w:val="continue"/>
                  <w:tcBorders>
                    <w:tl2br w:val="nil"/>
                    <w:tr2bl w:val="nil"/>
                  </w:tcBorders>
                  <w:vAlign w:val="center"/>
                </w:tcPr>
                <w:p>
                  <w:pPr>
                    <w:wordWrap w:val="0"/>
                    <w:ind w:left="-84" w:leftChars="-40"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5" w:type="pct"/>
                  <w:tcBorders>
                    <w:tl2br w:val="nil"/>
                    <w:tr2bl w:val="nil"/>
                  </w:tcBorders>
                  <w:vAlign w:val="center"/>
                </w:tcPr>
                <w:p>
                  <w:pPr>
                    <w:ind w:left="-84" w:leftChars="-40" w:right="-84" w:rightChars="-40"/>
                    <w:jc w:val="center"/>
                    <w:rPr>
                      <w:szCs w:val="21"/>
                    </w:rPr>
                  </w:pPr>
                  <w:r>
                    <w:rPr>
                      <w:szCs w:val="21"/>
                    </w:rPr>
                    <w:t>硫酸雾</w:t>
                  </w:r>
                </w:p>
              </w:tc>
              <w:tc>
                <w:tcPr>
                  <w:tcW w:w="571" w:type="pct"/>
                  <w:tcBorders>
                    <w:tl2br w:val="nil"/>
                    <w:tr2bl w:val="nil"/>
                  </w:tcBorders>
                  <w:vAlign w:val="center"/>
                </w:tcPr>
                <w:p>
                  <w:pPr>
                    <w:pStyle w:val="36"/>
                    <w:numPr>
                      <w:ilvl w:val="0"/>
                      <w:numId w:val="0"/>
                    </w:numPr>
                    <w:spacing w:line="240" w:lineRule="auto"/>
                    <w:ind w:left="-84" w:leftChars="-40" w:right="-84" w:rightChars="-40"/>
                    <w:jc w:val="center"/>
                    <w:rPr>
                      <w:kern w:val="2"/>
                      <w:szCs w:val="21"/>
                    </w:rPr>
                  </w:pPr>
                  <w:r>
                    <w:rPr>
                      <w:kern w:val="2"/>
                      <w:szCs w:val="21"/>
                    </w:rPr>
                    <w:t>45</w:t>
                  </w:r>
                </w:p>
              </w:tc>
              <w:tc>
                <w:tcPr>
                  <w:tcW w:w="543" w:type="pct"/>
                  <w:tcBorders>
                    <w:tl2br w:val="nil"/>
                    <w:tr2bl w:val="nil"/>
                  </w:tcBorders>
                  <w:vAlign w:val="center"/>
                </w:tcPr>
                <w:p>
                  <w:pPr>
                    <w:ind w:left="-84" w:leftChars="-40" w:right="-84" w:rightChars="-40"/>
                    <w:jc w:val="center"/>
                    <w:rPr>
                      <w:szCs w:val="21"/>
                    </w:rPr>
                  </w:pPr>
                  <w:r>
                    <w:rPr>
                      <w:szCs w:val="21"/>
                    </w:rPr>
                    <w:t>15</w:t>
                  </w:r>
                </w:p>
              </w:tc>
              <w:tc>
                <w:tcPr>
                  <w:tcW w:w="543" w:type="pct"/>
                  <w:tcBorders>
                    <w:tl2br w:val="nil"/>
                    <w:tr2bl w:val="nil"/>
                  </w:tcBorders>
                  <w:vAlign w:val="center"/>
                </w:tcPr>
                <w:p>
                  <w:pPr>
                    <w:ind w:left="-84" w:leftChars="-40" w:right="-84" w:rightChars="-40"/>
                    <w:jc w:val="center"/>
                    <w:rPr>
                      <w:szCs w:val="21"/>
                    </w:rPr>
                  </w:pPr>
                  <w:r>
                    <w:rPr>
                      <w:rFonts w:hint="eastAsia"/>
                      <w:szCs w:val="21"/>
                    </w:rPr>
                    <w:t>1.2</w:t>
                  </w:r>
                </w:p>
              </w:tc>
              <w:tc>
                <w:tcPr>
                  <w:tcW w:w="1178" w:type="pct"/>
                  <w:gridSpan w:val="2"/>
                  <w:tcBorders>
                    <w:tl2br w:val="nil"/>
                    <w:tr2bl w:val="nil"/>
                  </w:tcBorders>
                  <w:vAlign w:val="center"/>
                </w:tcPr>
                <w:p>
                  <w:pPr>
                    <w:widowControl/>
                    <w:ind w:left="-84" w:leftChars="-40" w:right="-84" w:rightChars="-40"/>
                    <w:jc w:val="center"/>
                    <w:rPr>
                      <w:szCs w:val="21"/>
                    </w:rPr>
                  </w:pPr>
                  <w:r>
                    <w:rPr>
                      <w:szCs w:val="21"/>
                    </w:rPr>
                    <w:t>/</w:t>
                  </w:r>
                </w:p>
              </w:tc>
              <w:tc>
                <w:tcPr>
                  <w:tcW w:w="726" w:type="pct"/>
                  <w:tcBorders>
                    <w:tl2br w:val="nil"/>
                    <w:tr2bl w:val="nil"/>
                  </w:tcBorders>
                  <w:vAlign w:val="center"/>
                </w:tcPr>
                <w:p>
                  <w:pPr>
                    <w:widowControl/>
                    <w:ind w:left="-84" w:leftChars="-40" w:right="-84" w:rightChars="-40"/>
                    <w:jc w:val="center"/>
                    <w:rPr>
                      <w:szCs w:val="21"/>
                    </w:rPr>
                  </w:pPr>
                  <w:r>
                    <w:rPr>
                      <w:szCs w:val="21"/>
                    </w:rPr>
                    <w:t>1.2</w:t>
                  </w:r>
                </w:p>
              </w:tc>
              <w:tc>
                <w:tcPr>
                  <w:tcW w:w="950" w:type="pct"/>
                  <w:vMerge w:val="continue"/>
                  <w:tcBorders>
                    <w:tl2br w:val="nil"/>
                    <w:tr2bl w:val="nil"/>
                  </w:tcBorders>
                  <w:vAlign w:val="center"/>
                </w:tcPr>
                <w:p>
                  <w:pPr>
                    <w:wordWrap w:val="0"/>
                    <w:ind w:left="-84" w:leftChars="-40"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5" w:type="pct"/>
                  <w:vMerge w:val="restart"/>
                  <w:tcBorders>
                    <w:tl2br w:val="nil"/>
                    <w:tr2bl w:val="nil"/>
                  </w:tcBorders>
                  <w:vAlign w:val="center"/>
                </w:tcPr>
                <w:p>
                  <w:pPr>
                    <w:ind w:left="-84" w:leftChars="-40" w:right="-84" w:rightChars="-40"/>
                    <w:jc w:val="center"/>
                    <w:rPr>
                      <w:szCs w:val="21"/>
                    </w:rPr>
                  </w:pPr>
                  <w:r>
                    <w:rPr>
                      <w:szCs w:val="21"/>
                    </w:rPr>
                    <w:t>非甲烷总烃</w:t>
                  </w:r>
                </w:p>
              </w:tc>
              <w:tc>
                <w:tcPr>
                  <w:tcW w:w="571" w:type="pct"/>
                  <w:tcBorders>
                    <w:tl2br w:val="nil"/>
                    <w:tr2bl w:val="nil"/>
                  </w:tcBorders>
                  <w:vAlign w:val="center"/>
                </w:tcPr>
                <w:p>
                  <w:pPr>
                    <w:pStyle w:val="36"/>
                    <w:numPr>
                      <w:ilvl w:val="0"/>
                      <w:numId w:val="0"/>
                    </w:numPr>
                    <w:spacing w:line="240" w:lineRule="auto"/>
                    <w:ind w:left="-84" w:leftChars="-40" w:right="-84" w:rightChars="-40"/>
                    <w:jc w:val="center"/>
                    <w:rPr>
                      <w:kern w:val="2"/>
                      <w:szCs w:val="21"/>
                    </w:rPr>
                  </w:pPr>
                  <w:r>
                    <w:rPr>
                      <w:kern w:val="2"/>
                      <w:szCs w:val="21"/>
                    </w:rPr>
                    <w:t>120</w:t>
                  </w:r>
                </w:p>
              </w:tc>
              <w:tc>
                <w:tcPr>
                  <w:tcW w:w="543" w:type="pct"/>
                  <w:tcBorders>
                    <w:tl2br w:val="nil"/>
                    <w:tr2bl w:val="nil"/>
                  </w:tcBorders>
                  <w:vAlign w:val="center"/>
                </w:tcPr>
                <w:p>
                  <w:pPr>
                    <w:ind w:left="-84" w:leftChars="-40" w:right="-84" w:rightChars="-40"/>
                    <w:jc w:val="center"/>
                    <w:rPr>
                      <w:szCs w:val="21"/>
                    </w:rPr>
                  </w:pPr>
                  <w:r>
                    <w:rPr>
                      <w:szCs w:val="21"/>
                    </w:rPr>
                    <w:t>15</w:t>
                  </w:r>
                </w:p>
              </w:tc>
              <w:tc>
                <w:tcPr>
                  <w:tcW w:w="543" w:type="pct"/>
                  <w:tcBorders>
                    <w:tl2br w:val="nil"/>
                    <w:tr2bl w:val="nil"/>
                  </w:tcBorders>
                  <w:vAlign w:val="center"/>
                </w:tcPr>
                <w:p>
                  <w:pPr>
                    <w:ind w:left="-84" w:leftChars="-40" w:right="-84" w:rightChars="-40"/>
                    <w:jc w:val="center"/>
                    <w:rPr>
                      <w:szCs w:val="21"/>
                    </w:rPr>
                  </w:pPr>
                  <w:r>
                    <w:rPr>
                      <w:rFonts w:hint="eastAsia"/>
                      <w:szCs w:val="21"/>
                    </w:rPr>
                    <w:t>5</w:t>
                  </w:r>
                </w:p>
              </w:tc>
              <w:tc>
                <w:tcPr>
                  <w:tcW w:w="1178" w:type="pct"/>
                  <w:gridSpan w:val="2"/>
                  <w:tcBorders>
                    <w:tl2br w:val="nil"/>
                    <w:tr2bl w:val="nil"/>
                  </w:tcBorders>
                  <w:vAlign w:val="center"/>
                </w:tcPr>
                <w:p>
                  <w:pPr>
                    <w:widowControl/>
                    <w:ind w:left="-84" w:leftChars="-40" w:right="-84" w:rightChars="-40"/>
                    <w:jc w:val="center"/>
                    <w:rPr>
                      <w:szCs w:val="21"/>
                    </w:rPr>
                  </w:pPr>
                  <w:r>
                    <w:rPr>
                      <w:szCs w:val="21"/>
                    </w:rPr>
                    <w:t>/</w:t>
                  </w:r>
                </w:p>
              </w:tc>
              <w:tc>
                <w:tcPr>
                  <w:tcW w:w="726" w:type="pct"/>
                  <w:tcBorders>
                    <w:tl2br w:val="nil"/>
                    <w:tr2bl w:val="nil"/>
                  </w:tcBorders>
                  <w:vAlign w:val="center"/>
                </w:tcPr>
                <w:p>
                  <w:pPr>
                    <w:widowControl/>
                    <w:ind w:left="-84" w:leftChars="-40" w:right="-84" w:rightChars="-40"/>
                    <w:jc w:val="center"/>
                    <w:rPr>
                      <w:szCs w:val="21"/>
                    </w:rPr>
                  </w:pPr>
                  <w:r>
                    <w:rPr>
                      <w:szCs w:val="21"/>
                    </w:rPr>
                    <w:t>4</w:t>
                  </w:r>
                </w:p>
              </w:tc>
              <w:tc>
                <w:tcPr>
                  <w:tcW w:w="950" w:type="pct"/>
                  <w:vMerge w:val="continue"/>
                  <w:tcBorders>
                    <w:tl2br w:val="nil"/>
                    <w:tr2bl w:val="nil"/>
                  </w:tcBorders>
                  <w:vAlign w:val="center"/>
                </w:tcPr>
                <w:p>
                  <w:pPr>
                    <w:wordWrap w:val="0"/>
                    <w:ind w:left="-84" w:leftChars="-40"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5" w:type="pct"/>
                  <w:vMerge w:val="continue"/>
                  <w:tcBorders>
                    <w:tl2br w:val="nil"/>
                    <w:tr2bl w:val="nil"/>
                  </w:tcBorders>
                  <w:vAlign w:val="center"/>
                </w:tcPr>
                <w:p>
                  <w:pPr>
                    <w:ind w:left="-84" w:leftChars="-40" w:right="-84" w:rightChars="-40"/>
                    <w:jc w:val="center"/>
                    <w:rPr>
                      <w:szCs w:val="21"/>
                    </w:rPr>
                  </w:pPr>
                </w:p>
              </w:tc>
              <w:tc>
                <w:tcPr>
                  <w:tcW w:w="571" w:type="pct"/>
                  <w:tcBorders>
                    <w:tl2br w:val="nil"/>
                    <w:tr2bl w:val="nil"/>
                  </w:tcBorders>
                  <w:vAlign w:val="center"/>
                </w:tcPr>
                <w:p>
                  <w:pPr>
                    <w:pStyle w:val="36"/>
                    <w:numPr>
                      <w:ilvl w:val="0"/>
                      <w:numId w:val="0"/>
                    </w:numPr>
                    <w:spacing w:line="240" w:lineRule="auto"/>
                    <w:ind w:left="-84" w:leftChars="-40" w:right="-84" w:rightChars="-40"/>
                    <w:jc w:val="center"/>
                    <w:rPr>
                      <w:kern w:val="2"/>
                      <w:szCs w:val="21"/>
                    </w:rPr>
                  </w:pPr>
                  <w:r>
                    <w:rPr>
                      <w:kern w:val="2"/>
                      <w:szCs w:val="21"/>
                    </w:rPr>
                    <w:t>/</w:t>
                  </w:r>
                </w:p>
              </w:tc>
              <w:tc>
                <w:tcPr>
                  <w:tcW w:w="543" w:type="pct"/>
                  <w:tcBorders>
                    <w:tl2br w:val="nil"/>
                    <w:tr2bl w:val="nil"/>
                  </w:tcBorders>
                  <w:vAlign w:val="center"/>
                </w:tcPr>
                <w:p>
                  <w:pPr>
                    <w:ind w:left="-84" w:leftChars="-40" w:right="-84" w:rightChars="-40"/>
                    <w:jc w:val="center"/>
                    <w:rPr>
                      <w:szCs w:val="21"/>
                    </w:rPr>
                  </w:pPr>
                  <w:r>
                    <w:rPr>
                      <w:szCs w:val="21"/>
                    </w:rPr>
                    <w:t>/</w:t>
                  </w:r>
                </w:p>
              </w:tc>
              <w:tc>
                <w:tcPr>
                  <w:tcW w:w="543" w:type="pct"/>
                  <w:tcBorders>
                    <w:tl2br w:val="nil"/>
                    <w:tr2bl w:val="nil"/>
                  </w:tcBorders>
                  <w:vAlign w:val="center"/>
                </w:tcPr>
                <w:p>
                  <w:pPr>
                    <w:ind w:left="-84" w:leftChars="-40" w:right="-84" w:rightChars="-40"/>
                    <w:jc w:val="center"/>
                    <w:rPr>
                      <w:szCs w:val="21"/>
                    </w:rPr>
                  </w:pPr>
                  <w:r>
                    <w:rPr>
                      <w:szCs w:val="21"/>
                    </w:rPr>
                    <w:t>/</w:t>
                  </w:r>
                </w:p>
              </w:tc>
              <w:tc>
                <w:tcPr>
                  <w:tcW w:w="816" w:type="pct"/>
                  <w:tcBorders>
                    <w:tl2br w:val="nil"/>
                    <w:tr2bl w:val="nil"/>
                  </w:tcBorders>
                  <w:vAlign w:val="center"/>
                </w:tcPr>
                <w:p>
                  <w:pPr>
                    <w:widowControl/>
                    <w:ind w:left="-84" w:leftChars="-40" w:right="-84" w:rightChars="-40"/>
                    <w:jc w:val="center"/>
                    <w:rPr>
                      <w:szCs w:val="21"/>
                    </w:rPr>
                  </w:pPr>
                  <w:r>
                    <w:rPr>
                      <w:sz w:val="20"/>
                      <w:szCs w:val="20"/>
                    </w:rPr>
                    <w:t>监控点处1h平均浓度值</w:t>
                  </w:r>
                </w:p>
              </w:tc>
              <w:tc>
                <w:tcPr>
                  <w:tcW w:w="362" w:type="pct"/>
                  <w:tcBorders>
                    <w:tl2br w:val="nil"/>
                    <w:tr2bl w:val="nil"/>
                  </w:tcBorders>
                  <w:vAlign w:val="center"/>
                </w:tcPr>
                <w:p>
                  <w:pPr>
                    <w:widowControl/>
                    <w:ind w:left="-84" w:leftChars="-40" w:right="-84" w:rightChars="-40"/>
                    <w:jc w:val="center"/>
                    <w:rPr>
                      <w:szCs w:val="21"/>
                    </w:rPr>
                  </w:pPr>
                  <w:r>
                    <w:rPr>
                      <w:sz w:val="20"/>
                      <w:szCs w:val="20"/>
                    </w:rPr>
                    <w:t>6</w:t>
                  </w:r>
                </w:p>
              </w:tc>
              <w:tc>
                <w:tcPr>
                  <w:tcW w:w="726" w:type="pct"/>
                  <w:tcBorders>
                    <w:tl2br w:val="nil"/>
                    <w:tr2bl w:val="nil"/>
                  </w:tcBorders>
                  <w:vAlign w:val="center"/>
                </w:tcPr>
                <w:p>
                  <w:pPr>
                    <w:widowControl/>
                    <w:ind w:left="-84" w:leftChars="-40" w:right="-84" w:rightChars="-40"/>
                    <w:jc w:val="center"/>
                    <w:rPr>
                      <w:szCs w:val="21"/>
                    </w:rPr>
                  </w:pPr>
                  <w:r>
                    <w:rPr>
                      <w:szCs w:val="21"/>
                    </w:rPr>
                    <w:t>/</w:t>
                  </w:r>
                </w:p>
              </w:tc>
              <w:tc>
                <w:tcPr>
                  <w:tcW w:w="950" w:type="pct"/>
                  <w:vMerge w:val="restart"/>
                  <w:tcBorders>
                    <w:tl2br w:val="nil"/>
                    <w:tr2bl w:val="nil"/>
                  </w:tcBorders>
                  <w:vAlign w:val="center"/>
                </w:tcPr>
                <w:p>
                  <w:pPr>
                    <w:wordWrap w:val="0"/>
                    <w:ind w:left="-84" w:leftChars="-40" w:right="-84" w:rightChars="-40"/>
                    <w:rPr>
                      <w:szCs w:val="21"/>
                    </w:rPr>
                  </w:pPr>
                  <w:r>
                    <w:rPr>
                      <w:sz w:val="20"/>
                      <w:szCs w:val="20"/>
                    </w:rPr>
                    <w:t>GB37822-2019《挥发性有机物无组织排放控制标准》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85" w:type="pct"/>
                  <w:vMerge w:val="continue"/>
                  <w:tcBorders>
                    <w:tl2br w:val="nil"/>
                    <w:tr2bl w:val="nil"/>
                  </w:tcBorders>
                  <w:vAlign w:val="center"/>
                </w:tcPr>
                <w:p>
                  <w:pPr>
                    <w:ind w:left="-84" w:leftChars="-40" w:right="-84" w:rightChars="-40"/>
                    <w:jc w:val="center"/>
                    <w:rPr>
                      <w:szCs w:val="21"/>
                    </w:rPr>
                  </w:pPr>
                </w:p>
              </w:tc>
              <w:tc>
                <w:tcPr>
                  <w:tcW w:w="571" w:type="pct"/>
                  <w:tcBorders>
                    <w:tl2br w:val="nil"/>
                    <w:tr2bl w:val="nil"/>
                  </w:tcBorders>
                  <w:vAlign w:val="center"/>
                </w:tcPr>
                <w:p>
                  <w:pPr>
                    <w:pStyle w:val="36"/>
                    <w:numPr>
                      <w:ilvl w:val="0"/>
                      <w:numId w:val="0"/>
                    </w:numPr>
                    <w:spacing w:line="240" w:lineRule="auto"/>
                    <w:ind w:left="-84" w:leftChars="-40" w:right="-84" w:rightChars="-40"/>
                    <w:jc w:val="center"/>
                    <w:rPr>
                      <w:kern w:val="2"/>
                      <w:szCs w:val="21"/>
                    </w:rPr>
                  </w:pPr>
                  <w:r>
                    <w:rPr>
                      <w:kern w:val="2"/>
                      <w:szCs w:val="21"/>
                    </w:rPr>
                    <w:t>/</w:t>
                  </w:r>
                </w:p>
              </w:tc>
              <w:tc>
                <w:tcPr>
                  <w:tcW w:w="543" w:type="pct"/>
                  <w:tcBorders>
                    <w:tl2br w:val="nil"/>
                    <w:tr2bl w:val="nil"/>
                  </w:tcBorders>
                  <w:vAlign w:val="center"/>
                </w:tcPr>
                <w:p>
                  <w:pPr>
                    <w:ind w:left="-84" w:leftChars="-40" w:right="-84" w:rightChars="-40"/>
                    <w:jc w:val="center"/>
                    <w:rPr>
                      <w:szCs w:val="21"/>
                    </w:rPr>
                  </w:pPr>
                  <w:r>
                    <w:rPr>
                      <w:szCs w:val="21"/>
                    </w:rPr>
                    <w:t>/</w:t>
                  </w:r>
                </w:p>
              </w:tc>
              <w:tc>
                <w:tcPr>
                  <w:tcW w:w="543" w:type="pct"/>
                  <w:tcBorders>
                    <w:tl2br w:val="nil"/>
                    <w:tr2bl w:val="nil"/>
                  </w:tcBorders>
                  <w:vAlign w:val="center"/>
                </w:tcPr>
                <w:p>
                  <w:pPr>
                    <w:ind w:left="-84" w:leftChars="-40" w:right="-84" w:rightChars="-40"/>
                    <w:jc w:val="center"/>
                    <w:rPr>
                      <w:szCs w:val="21"/>
                    </w:rPr>
                  </w:pPr>
                  <w:r>
                    <w:rPr>
                      <w:szCs w:val="21"/>
                    </w:rPr>
                    <w:t>/</w:t>
                  </w:r>
                </w:p>
              </w:tc>
              <w:tc>
                <w:tcPr>
                  <w:tcW w:w="816" w:type="pct"/>
                  <w:tcBorders>
                    <w:tl2br w:val="nil"/>
                    <w:tr2bl w:val="nil"/>
                  </w:tcBorders>
                  <w:vAlign w:val="center"/>
                </w:tcPr>
                <w:p>
                  <w:pPr>
                    <w:widowControl/>
                    <w:ind w:left="-84" w:leftChars="-40" w:right="-84" w:rightChars="-40"/>
                    <w:jc w:val="center"/>
                    <w:rPr>
                      <w:szCs w:val="21"/>
                    </w:rPr>
                  </w:pPr>
                  <w:r>
                    <w:rPr>
                      <w:sz w:val="20"/>
                      <w:szCs w:val="20"/>
                    </w:rPr>
                    <w:t>监控点处任意一次浓度值</w:t>
                  </w:r>
                </w:p>
              </w:tc>
              <w:tc>
                <w:tcPr>
                  <w:tcW w:w="362" w:type="pct"/>
                  <w:tcBorders>
                    <w:tl2br w:val="nil"/>
                    <w:tr2bl w:val="nil"/>
                  </w:tcBorders>
                  <w:vAlign w:val="center"/>
                </w:tcPr>
                <w:p>
                  <w:pPr>
                    <w:widowControl/>
                    <w:ind w:left="-84" w:leftChars="-40" w:right="-84" w:rightChars="-40"/>
                    <w:jc w:val="center"/>
                    <w:rPr>
                      <w:szCs w:val="21"/>
                    </w:rPr>
                  </w:pPr>
                  <w:r>
                    <w:rPr>
                      <w:sz w:val="20"/>
                      <w:szCs w:val="20"/>
                    </w:rPr>
                    <w:t>20</w:t>
                  </w:r>
                </w:p>
              </w:tc>
              <w:tc>
                <w:tcPr>
                  <w:tcW w:w="726" w:type="pct"/>
                  <w:tcBorders>
                    <w:tl2br w:val="nil"/>
                    <w:tr2bl w:val="nil"/>
                  </w:tcBorders>
                  <w:vAlign w:val="center"/>
                </w:tcPr>
                <w:p>
                  <w:pPr>
                    <w:widowControl/>
                    <w:ind w:left="-84" w:leftChars="-40" w:right="-84" w:rightChars="-40"/>
                    <w:jc w:val="center"/>
                    <w:rPr>
                      <w:szCs w:val="21"/>
                    </w:rPr>
                  </w:pPr>
                  <w:r>
                    <w:rPr>
                      <w:szCs w:val="21"/>
                    </w:rPr>
                    <w:t>/</w:t>
                  </w:r>
                </w:p>
              </w:tc>
              <w:tc>
                <w:tcPr>
                  <w:tcW w:w="950" w:type="pct"/>
                  <w:vMerge w:val="continue"/>
                  <w:tcBorders>
                    <w:tl2br w:val="nil"/>
                    <w:tr2bl w:val="nil"/>
                  </w:tcBorders>
                  <w:vAlign w:val="center"/>
                </w:tcPr>
                <w:p>
                  <w:pPr>
                    <w:ind w:left="-84" w:leftChars="-40" w:right="-84" w:rightChars="-4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0" w:type="pct"/>
                  <w:gridSpan w:val="8"/>
                  <w:tcBorders>
                    <w:tl2br w:val="nil"/>
                    <w:tr2bl w:val="nil"/>
                  </w:tcBorders>
                  <w:vAlign w:val="center"/>
                </w:tcPr>
                <w:p>
                  <w:pPr>
                    <w:pStyle w:val="62"/>
                    <w:jc w:val="both"/>
                  </w:pPr>
                  <w:r>
                    <w:rPr>
                      <w:rFonts w:hint="eastAsia"/>
                    </w:rPr>
                    <w:t>注：①本项目排气筒高度距离地面为15m，不</w:t>
                  </w:r>
                  <w:r>
                    <w:rPr>
                      <w:rFonts w:hint="eastAsia" w:asciiTheme="minorEastAsia" w:hAnsiTheme="minorEastAsia" w:eastAsiaTheme="minorEastAsia" w:cstheme="minorEastAsia"/>
                    </w:rPr>
                    <w:t>满足“排气筒</w:t>
                  </w:r>
                  <w:r>
                    <w:rPr>
                      <w:rFonts w:hint="eastAsia"/>
                    </w:rPr>
                    <w:t>高度应高出周围</w:t>
                  </w:r>
                  <w:r>
                    <w:t>200m</w:t>
                  </w:r>
                  <w:r>
                    <w:rPr>
                      <w:rFonts w:hint="eastAsia"/>
                    </w:rPr>
                    <w:t>半径范围内的建筑</w:t>
                  </w:r>
                  <w:r>
                    <w:t>5m</w:t>
                  </w:r>
                  <w:r>
                    <w:rPr>
                      <w:rFonts w:hint="eastAsia"/>
                    </w:rPr>
                    <w:t>以</w:t>
                  </w:r>
                  <w:r>
                    <w:rPr>
                      <w:rFonts w:hint="eastAsia" w:asciiTheme="minorEastAsia" w:hAnsiTheme="minorEastAsia" w:eastAsiaTheme="minorEastAsia" w:cstheme="minorEastAsia"/>
                    </w:rPr>
                    <w:t>上”</w:t>
                  </w:r>
                  <w:r>
                    <w:rPr>
                      <w:rFonts w:hint="eastAsia"/>
                    </w:rPr>
                    <w:t>的要求时，排放速率限值严格执行</w:t>
                  </w:r>
                  <w:r>
                    <w:t>50%</w:t>
                  </w:r>
                  <w:r>
                    <w:rPr>
                      <w:rFonts w:hint="eastAsia"/>
                    </w:rPr>
                    <w:t>执行；</w:t>
                  </w:r>
                </w:p>
              </w:tc>
            </w:tr>
          </w:tbl>
          <w:p>
            <w:pPr>
              <w:adjustRightInd w:val="0"/>
              <w:snapToGrid w:val="0"/>
              <w:spacing w:before="120" w:beforeLines="50" w:line="360" w:lineRule="auto"/>
              <w:ind w:left="482"/>
              <w:jc w:val="left"/>
              <w:outlineLvl w:val="0"/>
              <w:rPr>
                <w:sz w:val="24"/>
              </w:rPr>
            </w:pPr>
            <w:bookmarkStart w:id="7" w:name="_Toc14972"/>
            <w:bookmarkStart w:id="8" w:name="_Toc95"/>
            <w:bookmarkStart w:id="9" w:name="_Toc18202"/>
            <w:r>
              <w:rPr>
                <w:b/>
                <w:bCs/>
                <w:sz w:val="24"/>
              </w:rPr>
              <w:t>二、</w:t>
            </w:r>
            <w:r>
              <w:rPr>
                <w:b/>
                <w:bCs/>
                <w:kern w:val="0"/>
                <w:sz w:val="24"/>
              </w:rPr>
              <w:t>废水排放标准</w:t>
            </w:r>
            <w:r>
              <w:rPr>
                <w:sz w:val="24"/>
              </w:rPr>
              <w:t>：</w:t>
            </w:r>
          </w:p>
          <w:p>
            <w:pPr>
              <w:adjustRightInd w:val="0"/>
              <w:snapToGrid w:val="0"/>
              <w:spacing w:line="360" w:lineRule="auto"/>
              <w:ind w:firstLine="480" w:firstLineChars="200"/>
              <w:outlineLvl w:val="0"/>
              <w:rPr>
                <w:b/>
                <w:szCs w:val="21"/>
                <w:lang w:bidi="ar"/>
              </w:rPr>
            </w:pPr>
            <w:r>
              <w:rPr>
                <w:sz w:val="24"/>
              </w:rPr>
              <w:t>项目运营期</w:t>
            </w:r>
            <w:r>
              <w:rPr>
                <w:kern w:val="24"/>
                <w:sz w:val="24"/>
              </w:rPr>
              <w:t>废水排放执行</w:t>
            </w:r>
            <w:r>
              <w:rPr>
                <w:sz w:val="24"/>
              </w:rPr>
              <w:t>《污水综合排放标准》（GB8978-1996）中的三级标准及《污水排入城镇下水道水质标准》（GB/T31962-2015）中的相关标准限值。</w:t>
            </w:r>
            <w:bookmarkEnd w:id="7"/>
            <w:bookmarkEnd w:id="8"/>
            <w:bookmarkEnd w:id="9"/>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表3-7  污水排放标准 单位：mg/m</w:t>
            </w:r>
            <w:r>
              <w:rPr>
                <w:rFonts w:eastAsia="黑体"/>
                <w:b w:val="0"/>
                <w:kern w:val="24"/>
                <w:sz w:val="21"/>
                <w:szCs w:val="21"/>
                <w:vertAlign w:val="superscript"/>
              </w:rPr>
              <w:t>3</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7"/>
              <w:gridCol w:w="1524"/>
              <w:gridCol w:w="141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6" w:type="pct"/>
                  <w:vAlign w:val="center"/>
                </w:tcPr>
                <w:p>
                  <w:pPr>
                    <w:adjustRightInd w:val="0"/>
                    <w:snapToGrid w:val="0"/>
                    <w:jc w:val="center"/>
                    <w:rPr>
                      <w:szCs w:val="21"/>
                    </w:rPr>
                  </w:pPr>
                  <w:r>
                    <w:rPr>
                      <w:szCs w:val="21"/>
                    </w:rPr>
                    <w:t>标准名称</w:t>
                  </w:r>
                </w:p>
              </w:tc>
              <w:tc>
                <w:tcPr>
                  <w:tcW w:w="954" w:type="pct"/>
                  <w:vAlign w:val="center"/>
                </w:tcPr>
                <w:p>
                  <w:pPr>
                    <w:adjustRightInd w:val="0"/>
                    <w:snapToGrid w:val="0"/>
                    <w:jc w:val="center"/>
                    <w:rPr>
                      <w:szCs w:val="21"/>
                    </w:rPr>
                  </w:pPr>
                  <w:r>
                    <w:rPr>
                      <w:szCs w:val="21"/>
                    </w:rPr>
                    <w:t>执行标准</w:t>
                  </w:r>
                </w:p>
              </w:tc>
              <w:tc>
                <w:tcPr>
                  <w:tcW w:w="884" w:type="pct"/>
                  <w:vAlign w:val="center"/>
                </w:tcPr>
                <w:p>
                  <w:pPr>
                    <w:adjustRightInd w:val="0"/>
                    <w:snapToGrid w:val="0"/>
                    <w:jc w:val="center"/>
                    <w:rPr>
                      <w:szCs w:val="21"/>
                    </w:rPr>
                  </w:pPr>
                  <w:r>
                    <w:rPr>
                      <w:szCs w:val="21"/>
                    </w:rPr>
                    <w:t>项目</w:t>
                  </w:r>
                </w:p>
              </w:tc>
              <w:tc>
                <w:tcPr>
                  <w:tcW w:w="884" w:type="pct"/>
                  <w:vAlign w:val="center"/>
                </w:tcPr>
                <w:p>
                  <w:pPr>
                    <w:adjustRightInd w:val="0"/>
                    <w:snapToGrid w:val="0"/>
                    <w:jc w:val="center"/>
                    <w:rPr>
                      <w:szCs w:val="21"/>
                    </w:rPr>
                  </w:pPr>
                  <w:r>
                    <w:rPr>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6" w:type="pct"/>
                  <w:vMerge w:val="restart"/>
                  <w:vAlign w:val="center"/>
                </w:tcPr>
                <w:p>
                  <w:pPr>
                    <w:adjustRightInd w:val="0"/>
                    <w:snapToGrid w:val="0"/>
                    <w:rPr>
                      <w:szCs w:val="21"/>
                    </w:rPr>
                  </w:pPr>
                  <w:r>
                    <w:rPr>
                      <w:szCs w:val="21"/>
                    </w:rPr>
                    <w:t>《污水综合排放标准》</w:t>
                  </w:r>
                  <w:r>
                    <w:rPr>
                      <w:bCs/>
                      <w:szCs w:val="21"/>
                    </w:rPr>
                    <w:t>（GB8978-1996）</w:t>
                  </w:r>
                </w:p>
              </w:tc>
              <w:tc>
                <w:tcPr>
                  <w:tcW w:w="954" w:type="pct"/>
                  <w:vMerge w:val="restart"/>
                  <w:vAlign w:val="center"/>
                </w:tcPr>
                <w:p>
                  <w:pPr>
                    <w:adjustRightInd w:val="0"/>
                    <w:snapToGrid w:val="0"/>
                    <w:jc w:val="center"/>
                    <w:rPr>
                      <w:szCs w:val="21"/>
                    </w:rPr>
                  </w:pPr>
                  <w:r>
                    <w:rPr>
                      <w:szCs w:val="21"/>
                    </w:rPr>
                    <w:t>三级标准</w:t>
                  </w:r>
                </w:p>
              </w:tc>
              <w:tc>
                <w:tcPr>
                  <w:tcW w:w="884" w:type="pct"/>
                  <w:vAlign w:val="center"/>
                </w:tcPr>
                <w:p>
                  <w:pPr>
                    <w:adjustRightInd w:val="0"/>
                    <w:snapToGrid w:val="0"/>
                    <w:jc w:val="center"/>
                    <w:rPr>
                      <w:szCs w:val="21"/>
                    </w:rPr>
                  </w:pPr>
                  <w:r>
                    <w:rPr>
                      <w:szCs w:val="21"/>
                    </w:rPr>
                    <w:t>pH值</w:t>
                  </w:r>
                </w:p>
              </w:tc>
              <w:tc>
                <w:tcPr>
                  <w:tcW w:w="884" w:type="pct"/>
                  <w:vAlign w:val="center"/>
                </w:tcPr>
                <w:p>
                  <w:pPr>
                    <w:adjustRightInd w:val="0"/>
                    <w:snapToGrid w:val="0"/>
                    <w:jc w:val="center"/>
                    <w:rPr>
                      <w:szCs w:val="21"/>
                    </w:rPr>
                  </w:pPr>
                  <w:r>
                    <w:rPr>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6" w:type="pct"/>
                  <w:vMerge w:val="continue"/>
                  <w:vAlign w:val="center"/>
                </w:tcPr>
                <w:p>
                  <w:pPr>
                    <w:adjustRightInd w:val="0"/>
                    <w:snapToGrid w:val="0"/>
                    <w:rPr>
                      <w:szCs w:val="21"/>
                    </w:rPr>
                  </w:pPr>
                </w:p>
              </w:tc>
              <w:tc>
                <w:tcPr>
                  <w:tcW w:w="954" w:type="pct"/>
                  <w:vMerge w:val="continue"/>
                  <w:vAlign w:val="center"/>
                </w:tcPr>
                <w:p>
                  <w:pPr>
                    <w:adjustRightInd w:val="0"/>
                    <w:snapToGrid w:val="0"/>
                    <w:jc w:val="center"/>
                    <w:rPr>
                      <w:szCs w:val="21"/>
                    </w:rPr>
                  </w:pPr>
                </w:p>
              </w:tc>
              <w:tc>
                <w:tcPr>
                  <w:tcW w:w="884" w:type="pct"/>
                  <w:vAlign w:val="center"/>
                </w:tcPr>
                <w:p>
                  <w:pPr>
                    <w:adjustRightInd w:val="0"/>
                    <w:snapToGrid w:val="0"/>
                    <w:jc w:val="center"/>
                    <w:rPr>
                      <w:szCs w:val="21"/>
                    </w:rPr>
                  </w:pPr>
                  <w:r>
                    <w:rPr>
                      <w:szCs w:val="21"/>
                    </w:rPr>
                    <w:t>COD</w:t>
                  </w:r>
                </w:p>
              </w:tc>
              <w:tc>
                <w:tcPr>
                  <w:tcW w:w="884" w:type="pct"/>
                  <w:vAlign w:val="center"/>
                </w:tcPr>
                <w:p>
                  <w:pPr>
                    <w:adjustRightInd w:val="0"/>
                    <w:snapToGrid w:val="0"/>
                    <w:jc w:val="center"/>
                    <w:rPr>
                      <w:szCs w:val="21"/>
                    </w:rPr>
                  </w:pPr>
                  <w:r>
                    <w:rPr>
                      <w:szCs w:val="21"/>
                    </w:rPr>
                    <w:t>500mg/L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6" w:type="pct"/>
                  <w:vMerge w:val="continue"/>
                  <w:vAlign w:val="center"/>
                </w:tcPr>
                <w:p>
                  <w:pPr>
                    <w:adjustRightInd w:val="0"/>
                    <w:snapToGrid w:val="0"/>
                    <w:rPr>
                      <w:szCs w:val="21"/>
                    </w:rPr>
                  </w:pPr>
                </w:p>
              </w:tc>
              <w:tc>
                <w:tcPr>
                  <w:tcW w:w="954" w:type="pct"/>
                  <w:vMerge w:val="continue"/>
                  <w:vAlign w:val="center"/>
                </w:tcPr>
                <w:p>
                  <w:pPr>
                    <w:adjustRightInd w:val="0"/>
                    <w:snapToGrid w:val="0"/>
                    <w:jc w:val="center"/>
                    <w:rPr>
                      <w:szCs w:val="21"/>
                    </w:rPr>
                  </w:pPr>
                </w:p>
              </w:tc>
              <w:tc>
                <w:tcPr>
                  <w:tcW w:w="884" w:type="pct"/>
                  <w:vAlign w:val="center"/>
                </w:tcPr>
                <w:p>
                  <w:pPr>
                    <w:adjustRightInd w:val="0"/>
                    <w:snapToGrid w:val="0"/>
                    <w:jc w:val="center"/>
                    <w:rPr>
                      <w:szCs w:val="21"/>
                    </w:rPr>
                  </w:pPr>
                  <w:r>
                    <w:rPr>
                      <w:szCs w:val="21"/>
                    </w:rPr>
                    <w:t>BOD</w:t>
                  </w:r>
                  <w:r>
                    <w:rPr>
                      <w:szCs w:val="21"/>
                      <w:vertAlign w:val="subscript"/>
                    </w:rPr>
                    <w:t>5</w:t>
                  </w:r>
                </w:p>
              </w:tc>
              <w:tc>
                <w:tcPr>
                  <w:tcW w:w="884" w:type="pct"/>
                  <w:vAlign w:val="center"/>
                </w:tcPr>
                <w:p>
                  <w:pPr>
                    <w:adjustRightInd w:val="0"/>
                    <w:snapToGrid w:val="0"/>
                    <w:jc w:val="center"/>
                    <w:rPr>
                      <w:szCs w:val="21"/>
                    </w:rPr>
                  </w:pPr>
                  <w:r>
                    <w:rPr>
                      <w:szCs w:val="21"/>
                    </w:rPr>
                    <w:t>300mg/L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6" w:type="pct"/>
                  <w:vMerge w:val="continue"/>
                  <w:vAlign w:val="center"/>
                </w:tcPr>
                <w:p>
                  <w:pPr>
                    <w:adjustRightInd w:val="0"/>
                    <w:snapToGrid w:val="0"/>
                    <w:rPr>
                      <w:szCs w:val="21"/>
                    </w:rPr>
                  </w:pPr>
                </w:p>
              </w:tc>
              <w:tc>
                <w:tcPr>
                  <w:tcW w:w="954" w:type="pct"/>
                  <w:vMerge w:val="continue"/>
                  <w:vAlign w:val="center"/>
                </w:tcPr>
                <w:p>
                  <w:pPr>
                    <w:adjustRightInd w:val="0"/>
                    <w:snapToGrid w:val="0"/>
                    <w:jc w:val="center"/>
                    <w:rPr>
                      <w:szCs w:val="21"/>
                    </w:rPr>
                  </w:pPr>
                </w:p>
              </w:tc>
              <w:tc>
                <w:tcPr>
                  <w:tcW w:w="884" w:type="pct"/>
                  <w:vAlign w:val="center"/>
                </w:tcPr>
                <w:p>
                  <w:pPr>
                    <w:adjustRightInd w:val="0"/>
                    <w:snapToGrid w:val="0"/>
                    <w:jc w:val="center"/>
                    <w:rPr>
                      <w:szCs w:val="21"/>
                    </w:rPr>
                  </w:pPr>
                  <w:r>
                    <w:rPr>
                      <w:szCs w:val="21"/>
                    </w:rPr>
                    <w:t>SS</w:t>
                  </w:r>
                </w:p>
              </w:tc>
              <w:tc>
                <w:tcPr>
                  <w:tcW w:w="884" w:type="pct"/>
                  <w:vAlign w:val="center"/>
                </w:tcPr>
                <w:p>
                  <w:pPr>
                    <w:adjustRightInd w:val="0"/>
                    <w:snapToGrid w:val="0"/>
                    <w:jc w:val="center"/>
                    <w:rPr>
                      <w:szCs w:val="21"/>
                    </w:rPr>
                  </w:pPr>
                  <w:r>
                    <w:rPr>
                      <w:szCs w:val="21"/>
                    </w:rPr>
                    <w:t>400mg/L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276" w:type="pct"/>
                  <w:vAlign w:val="center"/>
                </w:tcPr>
                <w:p>
                  <w:pPr>
                    <w:wordWrap w:val="0"/>
                    <w:adjustRightInd w:val="0"/>
                    <w:snapToGrid w:val="0"/>
                    <w:jc w:val="left"/>
                    <w:rPr>
                      <w:szCs w:val="21"/>
                    </w:rPr>
                  </w:pPr>
                  <w:r>
                    <w:rPr>
                      <w:szCs w:val="21"/>
                    </w:rPr>
                    <w:t>《污水排入城镇下水道水质标准》（GB/T31962-2015）</w:t>
                  </w:r>
                </w:p>
              </w:tc>
              <w:tc>
                <w:tcPr>
                  <w:tcW w:w="954" w:type="pct"/>
                  <w:vAlign w:val="center"/>
                </w:tcPr>
                <w:p>
                  <w:pPr>
                    <w:adjustRightInd w:val="0"/>
                    <w:snapToGrid w:val="0"/>
                    <w:jc w:val="center"/>
                    <w:rPr>
                      <w:szCs w:val="21"/>
                    </w:rPr>
                  </w:pPr>
                  <w:r>
                    <w:rPr>
                      <w:szCs w:val="21"/>
                    </w:rPr>
                    <w:t>B级标准</w:t>
                  </w:r>
                </w:p>
              </w:tc>
              <w:tc>
                <w:tcPr>
                  <w:tcW w:w="884" w:type="pct"/>
                  <w:vAlign w:val="center"/>
                </w:tcPr>
                <w:p>
                  <w:pPr>
                    <w:adjustRightInd w:val="0"/>
                    <w:snapToGrid w:val="0"/>
                    <w:jc w:val="center"/>
                    <w:rPr>
                      <w:szCs w:val="21"/>
                    </w:rPr>
                  </w:pPr>
                  <w:r>
                    <w:rPr>
                      <w:szCs w:val="21"/>
                    </w:rPr>
                    <w:t>氨氮</w:t>
                  </w:r>
                </w:p>
              </w:tc>
              <w:tc>
                <w:tcPr>
                  <w:tcW w:w="884" w:type="pct"/>
                  <w:vAlign w:val="center"/>
                </w:tcPr>
                <w:p>
                  <w:pPr>
                    <w:adjustRightInd w:val="0"/>
                    <w:snapToGrid w:val="0"/>
                    <w:jc w:val="center"/>
                    <w:rPr>
                      <w:szCs w:val="21"/>
                    </w:rPr>
                  </w:pPr>
                  <w:r>
                    <w:rPr>
                      <w:szCs w:val="21"/>
                    </w:rPr>
                    <w:t>45mg/L</w:t>
                  </w:r>
                </w:p>
              </w:tc>
            </w:tr>
          </w:tbl>
          <w:p>
            <w:pPr>
              <w:tabs>
                <w:tab w:val="left" w:pos="0"/>
              </w:tabs>
              <w:spacing w:before="120" w:beforeLines="50" w:line="360" w:lineRule="auto"/>
              <w:ind w:firstLine="482" w:firstLineChars="200"/>
              <w:rPr>
                <w:b/>
                <w:bCs/>
                <w:sz w:val="24"/>
                <w:lang w:bidi="ar"/>
              </w:rPr>
            </w:pPr>
            <w:r>
              <w:rPr>
                <w:b/>
                <w:bCs/>
                <w:sz w:val="24"/>
                <w:lang w:bidi="ar"/>
              </w:rPr>
              <w:t>三、噪声排放标准：</w:t>
            </w:r>
          </w:p>
          <w:p>
            <w:pPr>
              <w:tabs>
                <w:tab w:val="left" w:pos="0"/>
              </w:tabs>
              <w:spacing w:line="360" w:lineRule="auto"/>
              <w:ind w:firstLine="480" w:firstLineChars="200"/>
            </w:pPr>
            <w:r>
              <w:rPr>
                <w:sz w:val="24"/>
                <w:lang w:bidi="ar"/>
              </w:rPr>
              <w:t>运营期厂界噪声执行《工业企业厂界环境噪声排放标准》（GB12348-2008）中3类标准</w:t>
            </w:r>
            <w:r>
              <w:rPr>
                <w:sz w:val="24"/>
              </w:rPr>
              <w:t>。</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表3-8  工业企业厂界环境噪声排放限值</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Layout w:type="autofit"/>
              <w:tblCellMar>
                <w:top w:w="0" w:type="dxa"/>
                <w:left w:w="108" w:type="dxa"/>
                <w:bottom w:w="0" w:type="dxa"/>
                <w:right w:w="108" w:type="dxa"/>
              </w:tblCellMar>
            </w:tblPr>
            <w:tblGrid>
              <w:gridCol w:w="882"/>
              <w:gridCol w:w="722"/>
              <w:gridCol w:w="1160"/>
              <w:gridCol w:w="865"/>
              <w:gridCol w:w="786"/>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108" w:type="dxa"/>
                  <w:bottom w:w="0" w:type="dxa"/>
                  <w:right w:w="108" w:type="dxa"/>
                </w:tblCellMar>
              </w:tblPrEx>
              <w:trPr>
                <w:cantSplit/>
                <w:trHeight w:val="211" w:hRule="atLeast"/>
                <w:jc w:val="center"/>
              </w:trPr>
              <w:tc>
                <w:tcPr>
                  <w:tcW w:w="552" w:type="pct"/>
                  <w:vMerge w:val="restart"/>
                  <w:tcBorders>
                    <w:tl2br w:val="nil"/>
                    <w:tr2bl w:val="nil"/>
                  </w:tcBorders>
                  <w:vAlign w:val="center"/>
                </w:tcPr>
                <w:p>
                  <w:pPr>
                    <w:snapToGrid w:val="0"/>
                    <w:jc w:val="center"/>
                    <w:rPr>
                      <w:bCs/>
                      <w:szCs w:val="21"/>
                    </w:rPr>
                  </w:pPr>
                  <w:r>
                    <w:rPr>
                      <w:bCs/>
                      <w:szCs w:val="21"/>
                      <w:lang w:bidi="ar"/>
                    </w:rPr>
                    <w:t>监测点</w:t>
                  </w:r>
                </w:p>
              </w:tc>
              <w:tc>
                <w:tcPr>
                  <w:tcW w:w="452" w:type="pct"/>
                  <w:vMerge w:val="restart"/>
                  <w:tcBorders>
                    <w:tl2br w:val="nil"/>
                    <w:tr2bl w:val="nil"/>
                  </w:tcBorders>
                  <w:vAlign w:val="center"/>
                </w:tcPr>
                <w:p>
                  <w:pPr>
                    <w:snapToGrid w:val="0"/>
                    <w:jc w:val="center"/>
                    <w:rPr>
                      <w:bCs/>
                      <w:szCs w:val="21"/>
                    </w:rPr>
                  </w:pPr>
                  <w:r>
                    <w:rPr>
                      <w:bCs/>
                      <w:szCs w:val="21"/>
                      <w:lang w:bidi="ar"/>
                    </w:rPr>
                    <w:t>级别</w:t>
                  </w:r>
                </w:p>
              </w:tc>
              <w:tc>
                <w:tcPr>
                  <w:tcW w:w="726" w:type="pct"/>
                  <w:vMerge w:val="restart"/>
                  <w:tcBorders>
                    <w:tl2br w:val="nil"/>
                    <w:tr2bl w:val="nil"/>
                  </w:tcBorders>
                  <w:vAlign w:val="center"/>
                </w:tcPr>
                <w:p>
                  <w:pPr>
                    <w:snapToGrid w:val="0"/>
                    <w:jc w:val="center"/>
                    <w:rPr>
                      <w:bCs/>
                      <w:szCs w:val="21"/>
                    </w:rPr>
                  </w:pPr>
                  <w:r>
                    <w:rPr>
                      <w:bCs/>
                      <w:szCs w:val="21"/>
                      <w:lang w:bidi="ar"/>
                    </w:rPr>
                    <w:t>单位</w:t>
                  </w:r>
                </w:p>
              </w:tc>
              <w:tc>
                <w:tcPr>
                  <w:tcW w:w="1033" w:type="pct"/>
                  <w:gridSpan w:val="2"/>
                  <w:tcBorders>
                    <w:tl2br w:val="nil"/>
                    <w:tr2bl w:val="nil"/>
                  </w:tcBorders>
                  <w:vAlign w:val="center"/>
                </w:tcPr>
                <w:p>
                  <w:pPr>
                    <w:snapToGrid w:val="0"/>
                    <w:jc w:val="center"/>
                    <w:rPr>
                      <w:bCs/>
                      <w:szCs w:val="21"/>
                    </w:rPr>
                  </w:pPr>
                  <w:r>
                    <w:rPr>
                      <w:bCs/>
                      <w:szCs w:val="21"/>
                      <w:lang w:bidi="ar"/>
                    </w:rPr>
                    <w:t>标准限值</w:t>
                  </w:r>
                </w:p>
              </w:tc>
              <w:tc>
                <w:tcPr>
                  <w:tcW w:w="2235" w:type="pct"/>
                  <w:vMerge w:val="restart"/>
                  <w:tcBorders>
                    <w:tl2br w:val="nil"/>
                    <w:tr2bl w:val="nil"/>
                  </w:tcBorders>
                  <w:vAlign w:val="center"/>
                </w:tcPr>
                <w:p>
                  <w:pPr>
                    <w:snapToGrid w:val="0"/>
                    <w:jc w:val="center"/>
                    <w:rPr>
                      <w:bCs/>
                      <w:szCs w:val="21"/>
                    </w:rPr>
                  </w:pPr>
                  <w:r>
                    <w:rPr>
                      <w:bCs/>
                      <w:szCs w:val="21"/>
                      <w:lang w:bidi="ar"/>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108" w:type="dxa"/>
                  <w:bottom w:w="0" w:type="dxa"/>
                  <w:right w:w="108" w:type="dxa"/>
                </w:tblCellMar>
              </w:tblPrEx>
              <w:trPr>
                <w:cantSplit/>
                <w:trHeight w:val="211" w:hRule="atLeast"/>
                <w:jc w:val="center"/>
              </w:trPr>
              <w:tc>
                <w:tcPr>
                  <w:tcW w:w="552" w:type="pct"/>
                  <w:vMerge w:val="continue"/>
                  <w:tcBorders>
                    <w:tl2br w:val="nil"/>
                    <w:tr2bl w:val="nil"/>
                  </w:tcBorders>
                  <w:vAlign w:val="center"/>
                </w:tcPr>
                <w:p>
                  <w:pPr>
                    <w:rPr>
                      <w:szCs w:val="21"/>
                    </w:rPr>
                  </w:pPr>
                </w:p>
              </w:tc>
              <w:tc>
                <w:tcPr>
                  <w:tcW w:w="452" w:type="pct"/>
                  <w:vMerge w:val="continue"/>
                  <w:tcBorders>
                    <w:tl2br w:val="nil"/>
                    <w:tr2bl w:val="nil"/>
                  </w:tcBorders>
                  <w:vAlign w:val="center"/>
                </w:tcPr>
                <w:p>
                  <w:pPr>
                    <w:rPr>
                      <w:szCs w:val="21"/>
                    </w:rPr>
                  </w:pPr>
                </w:p>
              </w:tc>
              <w:tc>
                <w:tcPr>
                  <w:tcW w:w="726" w:type="pct"/>
                  <w:vMerge w:val="continue"/>
                  <w:tcBorders>
                    <w:tl2br w:val="nil"/>
                    <w:tr2bl w:val="nil"/>
                  </w:tcBorders>
                  <w:vAlign w:val="center"/>
                </w:tcPr>
                <w:p>
                  <w:pPr>
                    <w:rPr>
                      <w:szCs w:val="21"/>
                    </w:rPr>
                  </w:pPr>
                </w:p>
              </w:tc>
              <w:tc>
                <w:tcPr>
                  <w:tcW w:w="541" w:type="pct"/>
                  <w:tcBorders>
                    <w:tl2br w:val="nil"/>
                    <w:tr2bl w:val="nil"/>
                  </w:tcBorders>
                  <w:vAlign w:val="center"/>
                </w:tcPr>
                <w:p>
                  <w:pPr>
                    <w:snapToGrid w:val="0"/>
                    <w:jc w:val="center"/>
                    <w:rPr>
                      <w:bCs/>
                      <w:szCs w:val="21"/>
                    </w:rPr>
                  </w:pPr>
                  <w:r>
                    <w:rPr>
                      <w:bCs/>
                      <w:szCs w:val="21"/>
                      <w:lang w:bidi="ar"/>
                    </w:rPr>
                    <w:t>昼间</w:t>
                  </w:r>
                </w:p>
              </w:tc>
              <w:tc>
                <w:tcPr>
                  <w:tcW w:w="492" w:type="pct"/>
                  <w:tcBorders>
                    <w:tl2br w:val="nil"/>
                    <w:tr2bl w:val="nil"/>
                  </w:tcBorders>
                  <w:vAlign w:val="center"/>
                </w:tcPr>
                <w:p>
                  <w:pPr>
                    <w:snapToGrid w:val="0"/>
                    <w:jc w:val="center"/>
                    <w:rPr>
                      <w:bCs/>
                      <w:szCs w:val="21"/>
                    </w:rPr>
                  </w:pPr>
                  <w:r>
                    <w:rPr>
                      <w:bCs/>
                      <w:szCs w:val="21"/>
                      <w:lang w:bidi="ar"/>
                    </w:rPr>
                    <w:t>夜间</w:t>
                  </w:r>
                </w:p>
              </w:tc>
              <w:tc>
                <w:tcPr>
                  <w:tcW w:w="2235" w:type="pct"/>
                  <w:vMerge w:val="continue"/>
                  <w:tcBorders>
                    <w:tl2br w:val="nil"/>
                    <w:tr2bl w:val="nil"/>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2" w:space="0"/>
                </w:tblBorders>
                <w:tblCellMar>
                  <w:top w:w="0" w:type="dxa"/>
                  <w:left w:w="108" w:type="dxa"/>
                  <w:bottom w:w="0" w:type="dxa"/>
                  <w:right w:w="108" w:type="dxa"/>
                </w:tblCellMar>
              </w:tblPrEx>
              <w:trPr>
                <w:cantSplit/>
                <w:trHeight w:val="403" w:hRule="atLeast"/>
                <w:jc w:val="center"/>
              </w:trPr>
              <w:tc>
                <w:tcPr>
                  <w:tcW w:w="552" w:type="pct"/>
                  <w:tcBorders>
                    <w:tl2br w:val="nil"/>
                    <w:tr2bl w:val="nil"/>
                  </w:tcBorders>
                  <w:vAlign w:val="center"/>
                </w:tcPr>
                <w:p>
                  <w:pPr>
                    <w:snapToGrid w:val="0"/>
                    <w:jc w:val="center"/>
                    <w:rPr>
                      <w:bCs/>
                      <w:szCs w:val="21"/>
                    </w:rPr>
                  </w:pPr>
                  <w:r>
                    <w:rPr>
                      <w:bCs/>
                      <w:szCs w:val="21"/>
                      <w:lang w:bidi="ar"/>
                    </w:rPr>
                    <w:t>厂界</w:t>
                  </w:r>
                </w:p>
              </w:tc>
              <w:tc>
                <w:tcPr>
                  <w:tcW w:w="452" w:type="pct"/>
                  <w:tcBorders>
                    <w:tl2br w:val="nil"/>
                    <w:tr2bl w:val="nil"/>
                  </w:tcBorders>
                  <w:vAlign w:val="center"/>
                </w:tcPr>
                <w:p>
                  <w:pPr>
                    <w:snapToGrid w:val="0"/>
                    <w:jc w:val="center"/>
                    <w:rPr>
                      <w:bCs/>
                      <w:szCs w:val="21"/>
                    </w:rPr>
                  </w:pPr>
                  <w:r>
                    <w:rPr>
                      <w:bCs/>
                      <w:szCs w:val="21"/>
                      <w:lang w:bidi="ar"/>
                    </w:rPr>
                    <w:t>3类</w:t>
                  </w:r>
                </w:p>
              </w:tc>
              <w:tc>
                <w:tcPr>
                  <w:tcW w:w="726" w:type="pct"/>
                  <w:tcBorders>
                    <w:tl2br w:val="nil"/>
                    <w:tr2bl w:val="nil"/>
                  </w:tcBorders>
                  <w:vAlign w:val="center"/>
                </w:tcPr>
                <w:p>
                  <w:pPr>
                    <w:snapToGrid w:val="0"/>
                    <w:jc w:val="center"/>
                    <w:rPr>
                      <w:bCs/>
                      <w:szCs w:val="21"/>
                    </w:rPr>
                  </w:pPr>
                  <w:r>
                    <w:rPr>
                      <w:bCs/>
                      <w:szCs w:val="21"/>
                      <w:lang w:bidi="ar"/>
                    </w:rPr>
                    <w:t>dB（A）</w:t>
                  </w:r>
                </w:p>
              </w:tc>
              <w:tc>
                <w:tcPr>
                  <w:tcW w:w="541" w:type="pct"/>
                  <w:tcBorders>
                    <w:tl2br w:val="nil"/>
                    <w:tr2bl w:val="nil"/>
                  </w:tcBorders>
                  <w:vAlign w:val="center"/>
                </w:tcPr>
                <w:p>
                  <w:pPr>
                    <w:snapToGrid w:val="0"/>
                    <w:jc w:val="center"/>
                    <w:rPr>
                      <w:bCs/>
                      <w:szCs w:val="21"/>
                    </w:rPr>
                  </w:pPr>
                  <w:r>
                    <w:rPr>
                      <w:bCs/>
                      <w:szCs w:val="21"/>
                    </w:rPr>
                    <w:t>65</w:t>
                  </w:r>
                </w:p>
              </w:tc>
              <w:tc>
                <w:tcPr>
                  <w:tcW w:w="492" w:type="pct"/>
                  <w:tcBorders>
                    <w:tl2br w:val="nil"/>
                    <w:tr2bl w:val="nil"/>
                  </w:tcBorders>
                  <w:vAlign w:val="center"/>
                </w:tcPr>
                <w:p>
                  <w:pPr>
                    <w:snapToGrid w:val="0"/>
                    <w:jc w:val="center"/>
                    <w:rPr>
                      <w:bCs/>
                      <w:szCs w:val="21"/>
                    </w:rPr>
                  </w:pPr>
                  <w:r>
                    <w:rPr>
                      <w:bCs/>
                      <w:szCs w:val="21"/>
                    </w:rPr>
                    <w:t>55</w:t>
                  </w:r>
                </w:p>
              </w:tc>
              <w:tc>
                <w:tcPr>
                  <w:tcW w:w="2235" w:type="pct"/>
                  <w:tcBorders>
                    <w:tl2br w:val="nil"/>
                    <w:tr2bl w:val="nil"/>
                  </w:tcBorders>
                  <w:vAlign w:val="center"/>
                </w:tcPr>
                <w:p>
                  <w:pPr>
                    <w:snapToGrid w:val="0"/>
                    <w:jc w:val="left"/>
                    <w:rPr>
                      <w:bCs/>
                      <w:szCs w:val="21"/>
                    </w:rPr>
                  </w:pPr>
                  <w:r>
                    <w:rPr>
                      <w:bCs/>
                      <w:szCs w:val="21"/>
                      <w:lang w:bidi="ar"/>
                    </w:rPr>
                    <w:t>《工业企业厂界环境噪声排放标准》（GB12348-2008）</w:t>
                  </w:r>
                </w:p>
              </w:tc>
            </w:tr>
          </w:tbl>
          <w:p>
            <w:pPr>
              <w:adjustRightInd w:val="0"/>
              <w:snapToGrid w:val="0"/>
              <w:spacing w:before="120" w:beforeLines="50" w:line="360" w:lineRule="auto"/>
              <w:ind w:firstLine="482" w:firstLineChars="200"/>
              <w:rPr>
                <w:b/>
                <w:bCs/>
                <w:sz w:val="24"/>
                <w:lang w:bidi="ar"/>
              </w:rPr>
            </w:pPr>
            <w:r>
              <w:rPr>
                <w:b/>
                <w:bCs/>
                <w:sz w:val="24"/>
                <w:lang w:bidi="ar"/>
              </w:rPr>
              <w:t>四、固体废物排放标准：</w:t>
            </w:r>
          </w:p>
          <w:p>
            <w:pPr>
              <w:tabs>
                <w:tab w:val="left" w:pos="0"/>
              </w:tabs>
              <w:spacing w:line="360" w:lineRule="auto"/>
              <w:ind w:firstLine="480" w:firstLineChars="200"/>
              <w:rPr>
                <w:kern w:val="0"/>
                <w:sz w:val="24"/>
              </w:rPr>
            </w:pPr>
            <w:r>
              <w:rPr>
                <w:sz w:val="24"/>
                <w:lang w:bidi="ar"/>
              </w:rPr>
              <w:t>一般固体废物排放执行</w:t>
            </w:r>
            <w:r>
              <w:rPr>
                <w:rFonts w:hint="eastAsia"/>
                <w:sz w:val="24"/>
                <w:lang w:bidi="ar"/>
              </w:rPr>
              <w:t>《一般工业固体废物贮存和填埋污染控制标准》（</w:t>
            </w:r>
            <w:r>
              <w:rPr>
                <w:sz w:val="24"/>
                <w:lang w:bidi="ar"/>
              </w:rPr>
              <w:t>GB18599-20</w:t>
            </w:r>
            <w:r>
              <w:rPr>
                <w:rFonts w:hint="eastAsia"/>
                <w:sz w:val="24"/>
                <w:lang w:bidi="ar"/>
              </w:rPr>
              <w:t>20）</w:t>
            </w:r>
            <w:r>
              <w:rPr>
                <w:sz w:val="24"/>
                <w:lang w:bidi="ar"/>
              </w:rPr>
              <w:t>的相关规定；危险废物执行《危险废物贮存污染控制标准》（GB18597-202</w:t>
            </w:r>
            <w:r>
              <w:rPr>
                <w:sz w:val="24"/>
              </w:rPr>
              <w:t>3）及其修改单的相关规定。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00" w:type="dxa"/>
            <w:vAlign w:val="center"/>
          </w:tcPr>
          <w:p>
            <w:pPr>
              <w:adjustRightInd w:val="0"/>
              <w:snapToGrid w:val="0"/>
              <w:rPr>
                <w:kern w:val="0"/>
                <w:sz w:val="24"/>
              </w:rPr>
            </w:pPr>
            <w:r>
              <w:rPr>
                <w:kern w:val="0"/>
                <w:sz w:val="24"/>
              </w:rPr>
              <w:t>总量</w:t>
            </w:r>
          </w:p>
          <w:p>
            <w:pPr>
              <w:adjustRightInd w:val="0"/>
              <w:snapToGrid w:val="0"/>
              <w:rPr>
                <w:kern w:val="0"/>
                <w:sz w:val="24"/>
              </w:rPr>
            </w:pPr>
            <w:r>
              <w:rPr>
                <w:kern w:val="0"/>
                <w:sz w:val="24"/>
              </w:rPr>
              <w:t>控制</w:t>
            </w:r>
          </w:p>
          <w:p>
            <w:pPr>
              <w:adjustRightInd w:val="0"/>
              <w:snapToGrid w:val="0"/>
              <w:rPr>
                <w:kern w:val="0"/>
                <w:sz w:val="24"/>
              </w:rPr>
            </w:pPr>
            <w:r>
              <w:rPr>
                <w:kern w:val="0"/>
                <w:sz w:val="24"/>
              </w:rPr>
              <w:t>指标</w:t>
            </w:r>
          </w:p>
        </w:tc>
        <w:tc>
          <w:tcPr>
            <w:tcW w:w="8190" w:type="dxa"/>
          </w:tcPr>
          <w:p>
            <w:pPr>
              <w:adjustRightInd w:val="0"/>
              <w:snapToGrid w:val="0"/>
              <w:spacing w:before="120" w:beforeLines="50" w:line="360" w:lineRule="auto"/>
              <w:ind w:firstLine="480" w:firstLineChars="200"/>
              <w:rPr>
                <w:kern w:val="0"/>
                <w:sz w:val="24"/>
              </w:rPr>
            </w:pPr>
            <w:r>
              <w:rPr>
                <w:kern w:val="0"/>
                <w:sz w:val="24"/>
              </w:rPr>
              <w:t>项目建议申请总量指标挥发性有机物（包含非甲烷总烃、甲苯和二氯甲烷）为0.2152t/a，COD为0.0809t/a，氨氮为0.0058t/a。</w:t>
            </w:r>
          </w:p>
        </w:tc>
      </w:tr>
    </w:tbl>
    <w:p>
      <w:pPr>
        <w:pStyle w:val="21"/>
        <w:jc w:val="center"/>
        <w:outlineLvl w:val="0"/>
        <w:rPr>
          <w:rFonts w:ascii="Times New Roman" w:hAnsi="Times New Roman" w:eastAsia="黑体"/>
          <w:snapToGrid w:val="0"/>
          <w:sz w:val="30"/>
          <w:szCs w:val="30"/>
        </w:rPr>
      </w:pPr>
      <w:r>
        <w:rPr>
          <w:rFonts w:ascii="Times New Roman" w:hAnsi="Times New Roman" w:eastAsia="黑体"/>
          <w:snapToGrid w:val="0"/>
          <w:sz w:val="36"/>
          <w:szCs w:val="36"/>
        </w:rPr>
        <w:br w:type="page"/>
      </w:r>
      <w:bookmarkStart w:id="10" w:name="_Toc117495861"/>
      <w:r>
        <w:rPr>
          <w:rFonts w:ascii="Times New Roman" w:hAnsi="Times New Roman" w:eastAsia="黑体"/>
          <w:snapToGrid w:val="0"/>
          <w:sz w:val="30"/>
          <w:szCs w:val="30"/>
        </w:rPr>
        <w:t>四、主要环境影响和保护措施</w:t>
      </w:r>
      <w:bookmarkEnd w:id="10"/>
    </w:p>
    <w:tbl>
      <w:tblPr>
        <w:tblStyle w:val="24"/>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46" w:type="dxa"/>
            <w:tcMar>
              <w:left w:w="28" w:type="dxa"/>
              <w:right w:w="28" w:type="dxa"/>
            </w:tcMar>
            <w:vAlign w:val="center"/>
          </w:tcPr>
          <w:p>
            <w:pPr>
              <w:pStyle w:val="21"/>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施工</w:t>
            </w:r>
          </w:p>
          <w:p>
            <w:pPr>
              <w:pStyle w:val="21"/>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期环</w:t>
            </w:r>
          </w:p>
          <w:p>
            <w:pPr>
              <w:pStyle w:val="21"/>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境保</w:t>
            </w:r>
          </w:p>
          <w:p>
            <w:pPr>
              <w:pStyle w:val="21"/>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护措</w:t>
            </w:r>
          </w:p>
          <w:p>
            <w:pPr>
              <w:pStyle w:val="21"/>
              <w:adjustRightInd w:val="0"/>
              <w:snapToGrid w:val="0"/>
              <w:spacing w:before="0" w:beforeAutospacing="0" w:after="0" w:afterAutospacing="0"/>
              <w:jc w:val="center"/>
              <w:rPr>
                <w:rFonts w:ascii="Times New Roman" w:hAnsi="Times New Roman"/>
                <w:bCs/>
                <w:kern w:val="2"/>
                <w:szCs w:val="24"/>
              </w:rPr>
            </w:pPr>
            <w:r>
              <w:rPr>
                <w:rFonts w:ascii="Times New Roman" w:hAnsi="Times New Roman"/>
                <w:kern w:val="2"/>
                <w:szCs w:val="24"/>
              </w:rPr>
              <w:t>施</w:t>
            </w:r>
          </w:p>
        </w:tc>
        <w:tc>
          <w:tcPr>
            <w:tcW w:w="8162" w:type="dxa"/>
            <w:vAlign w:val="center"/>
          </w:tcPr>
          <w:p>
            <w:pPr>
              <w:adjustRightInd w:val="0"/>
              <w:snapToGrid w:val="0"/>
              <w:spacing w:line="360" w:lineRule="auto"/>
              <w:ind w:firstLine="482" w:firstLineChars="200"/>
              <w:rPr>
                <w:b/>
                <w:bCs/>
                <w:snapToGrid w:val="0"/>
                <w:sz w:val="24"/>
              </w:rPr>
            </w:pPr>
            <w:r>
              <w:rPr>
                <w:b/>
                <w:bCs/>
                <w:snapToGrid w:val="0"/>
                <w:sz w:val="24"/>
              </w:rPr>
              <w:t>一、施工期大气环境影响和保护措施</w:t>
            </w:r>
          </w:p>
          <w:p>
            <w:pPr>
              <w:spacing w:line="360" w:lineRule="auto"/>
              <w:ind w:firstLine="480" w:firstLineChars="200"/>
              <w:rPr>
                <w:sz w:val="24"/>
              </w:rPr>
            </w:pPr>
            <w:r>
              <w:rPr>
                <w:sz w:val="24"/>
              </w:rPr>
              <w:t>1、装修废气</w:t>
            </w:r>
          </w:p>
          <w:p>
            <w:pPr>
              <w:spacing w:line="360" w:lineRule="auto"/>
              <w:ind w:firstLine="480" w:firstLineChars="200"/>
              <w:rPr>
                <w:sz w:val="24"/>
              </w:rPr>
            </w:pPr>
            <w:r>
              <w:rPr>
                <w:sz w:val="24"/>
              </w:rPr>
              <w:t>本项目装修期间涂地表环氧漆将会有油漆废气产生，由于废气属无组织排放，且使用功能不同装修油漆消耗量和选用的油漆品牌也不一样，加之装修时间也有先后差异，因此该废气的排放对周围环境的影响也较难预测。有油漆废气挥发产生的有机溶剂废气在室内累积并向室外弥散，将对周围环境空气产生一定的不利影响。</w:t>
            </w:r>
          </w:p>
          <w:p>
            <w:pPr>
              <w:spacing w:line="360" w:lineRule="auto"/>
              <w:ind w:firstLine="480" w:firstLineChars="200"/>
              <w:rPr>
                <w:sz w:val="24"/>
              </w:rPr>
            </w:pPr>
            <w:r>
              <w:rPr>
                <w:sz w:val="24"/>
              </w:rPr>
              <w:t>本环评要求装修期间应严格选用环保型油漆，使室内空气中各项污染指标达到《室内空气质量标准》（GB/T18883-2002）及《民用建筑工程室内环境污染控制规范》限值要求，避免对室内环境造成污染。</w:t>
            </w:r>
          </w:p>
          <w:p>
            <w:pPr>
              <w:spacing w:line="360" w:lineRule="auto"/>
              <w:ind w:firstLine="480" w:firstLineChars="200"/>
            </w:pPr>
            <w:r>
              <w:rPr>
                <w:sz w:val="24"/>
              </w:rPr>
              <w:t>2、扬尘</w:t>
            </w:r>
          </w:p>
          <w:p>
            <w:pPr>
              <w:spacing w:line="360" w:lineRule="auto"/>
              <w:ind w:firstLine="480" w:firstLineChars="200"/>
              <w:rPr>
                <w:sz w:val="24"/>
                <w:szCs w:val="20"/>
              </w:rPr>
            </w:pPr>
            <w:r>
              <w:rPr>
                <w:sz w:val="24"/>
                <w:szCs w:val="20"/>
              </w:rPr>
              <w:t>施工扬尘的主要来源有：</w:t>
            </w:r>
          </w:p>
          <w:p>
            <w:pPr>
              <w:spacing w:line="360" w:lineRule="auto"/>
              <w:ind w:firstLine="480" w:firstLineChars="200"/>
              <w:rPr>
                <w:sz w:val="24"/>
                <w:szCs w:val="20"/>
              </w:rPr>
            </w:pPr>
            <w:r>
              <w:rPr>
                <w:rFonts w:hint="eastAsia" w:ascii="宋体" w:hAnsi="宋体" w:cs="宋体"/>
                <w:sz w:val="24"/>
                <w:szCs w:val="20"/>
              </w:rPr>
              <w:t>①</w:t>
            </w:r>
            <w:r>
              <w:rPr>
                <w:sz w:val="24"/>
                <w:szCs w:val="20"/>
              </w:rPr>
              <w:t>装修过程中对墙体、地面处理产生的扬尘；</w:t>
            </w:r>
          </w:p>
          <w:p>
            <w:pPr>
              <w:spacing w:line="360" w:lineRule="auto"/>
              <w:ind w:firstLine="480" w:firstLineChars="200"/>
              <w:rPr>
                <w:sz w:val="24"/>
                <w:szCs w:val="20"/>
              </w:rPr>
            </w:pPr>
            <w:r>
              <w:rPr>
                <w:rFonts w:hint="eastAsia" w:ascii="宋体" w:hAnsi="宋体" w:cs="宋体"/>
                <w:sz w:val="24"/>
                <w:szCs w:val="20"/>
              </w:rPr>
              <w:t>②</w:t>
            </w:r>
            <w:r>
              <w:rPr>
                <w:sz w:val="24"/>
                <w:szCs w:val="20"/>
              </w:rPr>
              <w:t>运输车辆往来产生的扬尘；</w:t>
            </w:r>
          </w:p>
          <w:p>
            <w:pPr>
              <w:spacing w:line="360" w:lineRule="auto"/>
              <w:ind w:firstLine="480" w:firstLineChars="200"/>
            </w:pPr>
            <w:r>
              <w:rPr>
                <w:rFonts w:hint="eastAsia" w:ascii="宋体" w:hAnsi="宋体" w:cs="宋体"/>
                <w:sz w:val="24"/>
                <w:szCs w:val="20"/>
              </w:rPr>
              <w:t>③</w:t>
            </w:r>
            <w:r>
              <w:rPr>
                <w:sz w:val="24"/>
                <w:szCs w:val="20"/>
              </w:rPr>
              <w:t>施工垃圾堆放和清运过程中产生的扬尘；</w:t>
            </w:r>
          </w:p>
          <w:p>
            <w:pPr>
              <w:spacing w:line="360" w:lineRule="auto"/>
              <w:ind w:firstLine="480" w:firstLineChars="200"/>
              <w:rPr>
                <w:sz w:val="24"/>
                <w:szCs w:val="20"/>
              </w:rPr>
            </w:pPr>
            <w:r>
              <w:rPr>
                <w:sz w:val="24"/>
                <w:szCs w:val="20"/>
              </w:rPr>
              <w:t>本项目所在地地处平原地区，大气扩散条件好，扬尘污染范围小。评价要求项目在施工期设置固定的垃圾存放点并及时清运。施工期造成的扬尘污染是短期的、局部的影响，工程竣工后即可消失，故对施工扬尘在采取有效的防治措施后，</w:t>
            </w:r>
            <w:r>
              <w:rPr>
                <w:sz w:val="24"/>
              </w:rPr>
              <w:t>扬尘排放量角度，</w:t>
            </w:r>
            <w:r>
              <w:rPr>
                <w:sz w:val="24"/>
                <w:szCs w:val="20"/>
              </w:rPr>
              <w:t>对周围环境产生的影响较小。</w:t>
            </w:r>
          </w:p>
          <w:p>
            <w:pPr>
              <w:adjustRightInd w:val="0"/>
              <w:snapToGrid w:val="0"/>
              <w:spacing w:line="360" w:lineRule="auto"/>
              <w:ind w:firstLine="482" w:firstLineChars="200"/>
              <w:rPr>
                <w:b/>
                <w:bCs/>
                <w:snapToGrid w:val="0"/>
                <w:sz w:val="24"/>
              </w:rPr>
            </w:pPr>
            <w:r>
              <w:rPr>
                <w:b/>
                <w:bCs/>
                <w:snapToGrid w:val="0"/>
                <w:sz w:val="24"/>
              </w:rPr>
              <w:t>二、施工期废水环境影响和保护措施</w:t>
            </w:r>
          </w:p>
          <w:p>
            <w:pPr>
              <w:spacing w:line="360" w:lineRule="auto"/>
              <w:ind w:firstLine="480" w:firstLineChars="200"/>
              <w:rPr>
                <w:sz w:val="24"/>
              </w:rPr>
            </w:pPr>
            <w:r>
              <w:rPr>
                <w:sz w:val="24"/>
              </w:rPr>
              <w:t>本项目施工期主要是施工人员的生活污水。项目施工期施工人员生活污水依托园区现有化粪池处理后，排入西安市第九污水处理厂进行处理。在采取措施后，施工期生活污水，对周边环境影响较小，且随施工期的结束而消失。</w:t>
            </w:r>
          </w:p>
          <w:p>
            <w:pPr>
              <w:adjustRightInd w:val="0"/>
              <w:snapToGrid w:val="0"/>
              <w:spacing w:line="360" w:lineRule="auto"/>
              <w:ind w:firstLine="482" w:firstLineChars="200"/>
              <w:rPr>
                <w:b/>
                <w:bCs/>
                <w:snapToGrid w:val="0"/>
                <w:sz w:val="24"/>
              </w:rPr>
            </w:pPr>
            <w:r>
              <w:rPr>
                <w:b/>
                <w:bCs/>
                <w:snapToGrid w:val="0"/>
                <w:sz w:val="24"/>
              </w:rPr>
              <w:t>三、施工期噪声环境影响和保护措施</w:t>
            </w:r>
          </w:p>
          <w:p>
            <w:pPr>
              <w:spacing w:line="360" w:lineRule="auto"/>
              <w:ind w:firstLine="480" w:firstLineChars="200"/>
              <w:rPr>
                <w:sz w:val="24"/>
              </w:rPr>
            </w:pPr>
            <w:r>
              <w:rPr>
                <w:sz w:val="24"/>
              </w:rPr>
              <w:t>本项目施工期主要是进行简单装修和设备安装，施工期噪声主要来源于装修过程中产生的设备安装噪声。为尽量减少施工噪声对周围环境的影响，评价要求装修单位文明施工，施工夜间停止装修，选用低噪设备施工。在采取措施并经距离衰减后，施工噪声对周边环境影响较小，且随施工期的结束而消失。</w:t>
            </w:r>
          </w:p>
          <w:p>
            <w:pPr>
              <w:adjustRightInd w:val="0"/>
              <w:snapToGrid w:val="0"/>
              <w:spacing w:line="360" w:lineRule="auto"/>
              <w:ind w:firstLine="482" w:firstLineChars="200"/>
              <w:rPr>
                <w:b/>
                <w:bCs/>
                <w:snapToGrid w:val="0"/>
                <w:sz w:val="24"/>
              </w:rPr>
            </w:pPr>
            <w:r>
              <w:rPr>
                <w:b/>
                <w:bCs/>
                <w:snapToGrid w:val="0"/>
                <w:sz w:val="24"/>
              </w:rPr>
              <w:t>四、施工期固体废物环境影响和保护措施</w:t>
            </w:r>
          </w:p>
          <w:p>
            <w:pPr>
              <w:spacing w:line="360" w:lineRule="auto"/>
              <w:ind w:firstLine="480" w:firstLineChars="200"/>
              <w:rPr>
                <w:sz w:val="24"/>
              </w:rPr>
            </w:pPr>
            <w:r>
              <w:rPr>
                <w:sz w:val="24"/>
              </w:rPr>
              <w:t>本项目施工期的固体废物主要包括装修材料和设备的废弃包装物和施工人员的生活垃圾等。废弃包装物统一收集后外售给废品回收站；施工人员的生活垃圾利用袋装、垃圾桶等收集后统一由环卫部门处理。</w:t>
            </w:r>
          </w:p>
          <w:p>
            <w:pPr>
              <w:spacing w:line="360" w:lineRule="auto"/>
              <w:ind w:firstLine="480" w:firstLineChars="200"/>
              <w:rPr>
                <w:sz w:val="24"/>
              </w:rPr>
            </w:pPr>
            <w:r>
              <w:rPr>
                <w:sz w:val="24"/>
              </w:rPr>
              <w:t>在采取以上措施后，施工期固体废物对周边环境影响较小，且随着施工期的结束而消失。</w:t>
            </w:r>
          </w:p>
          <w:p>
            <w:pPr>
              <w:widowControl/>
              <w:spacing w:line="360" w:lineRule="auto"/>
              <w:ind w:firstLine="480" w:firstLineChars="200"/>
              <w:jc w:val="left"/>
              <w:rPr>
                <w:sz w:val="24"/>
                <w:szCs w:val="32"/>
              </w:rPr>
            </w:pPr>
            <w:r>
              <w:rPr>
                <w:sz w:val="24"/>
                <w:szCs w:val="32"/>
              </w:rPr>
              <w:t>综上所述，若施工各环节采取有效控制，可将施工期的影响控制到可接受程度，且上述影响都是暂时的，随着施工期的结束而消失。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tcMar>
              <w:left w:w="28" w:type="dxa"/>
              <w:right w:w="28" w:type="dxa"/>
            </w:tcMar>
            <w:vAlign w:val="center"/>
          </w:tcPr>
          <w:p>
            <w:pPr>
              <w:adjustRightInd w:val="0"/>
              <w:snapToGrid w:val="0"/>
              <w:jc w:val="center"/>
              <w:rPr>
                <w:bCs/>
                <w:sz w:val="24"/>
              </w:rPr>
            </w:pPr>
            <w:r>
              <w:rPr>
                <w:bCs/>
                <w:sz w:val="24"/>
              </w:rPr>
              <w:t>运营</w:t>
            </w:r>
          </w:p>
          <w:p>
            <w:pPr>
              <w:adjustRightInd w:val="0"/>
              <w:snapToGrid w:val="0"/>
              <w:jc w:val="center"/>
              <w:rPr>
                <w:bCs/>
                <w:sz w:val="24"/>
              </w:rPr>
            </w:pPr>
            <w:r>
              <w:rPr>
                <w:bCs/>
                <w:sz w:val="24"/>
              </w:rPr>
              <w:t>期环</w:t>
            </w:r>
          </w:p>
          <w:p>
            <w:pPr>
              <w:adjustRightInd w:val="0"/>
              <w:snapToGrid w:val="0"/>
              <w:jc w:val="center"/>
              <w:rPr>
                <w:bCs/>
                <w:sz w:val="24"/>
              </w:rPr>
            </w:pPr>
            <w:r>
              <w:rPr>
                <w:bCs/>
                <w:sz w:val="24"/>
              </w:rPr>
              <w:t>境影</w:t>
            </w:r>
          </w:p>
          <w:p>
            <w:pPr>
              <w:adjustRightInd w:val="0"/>
              <w:snapToGrid w:val="0"/>
              <w:jc w:val="center"/>
              <w:rPr>
                <w:bCs/>
                <w:sz w:val="24"/>
              </w:rPr>
            </w:pPr>
            <w:r>
              <w:rPr>
                <w:bCs/>
                <w:sz w:val="24"/>
              </w:rPr>
              <w:t>响和</w:t>
            </w:r>
          </w:p>
          <w:p>
            <w:pPr>
              <w:adjustRightInd w:val="0"/>
              <w:snapToGrid w:val="0"/>
              <w:jc w:val="center"/>
              <w:rPr>
                <w:bCs/>
                <w:sz w:val="24"/>
              </w:rPr>
            </w:pPr>
            <w:r>
              <w:rPr>
                <w:bCs/>
                <w:sz w:val="24"/>
              </w:rPr>
              <w:t>保护</w:t>
            </w:r>
          </w:p>
          <w:p>
            <w:pPr>
              <w:adjustRightInd w:val="0"/>
              <w:snapToGrid w:val="0"/>
              <w:jc w:val="center"/>
              <w:rPr>
                <w:bCs/>
                <w:sz w:val="24"/>
              </w:rPr>
            </w:pPr>
            <w:r>
              <w:rPr>
                <w:bCs/>
                <w:sz w:val="24"/>
              </w:rPr>
              <w:t>措施</w:t>
            </w:r>
          </w:p>
        </w:tc>
        <w:tc>
          <w:tcPr>
            <w:tcW w:w="8162" w:type="dxa"/>
            <w:vAlign w:val="center"/>
          </w:tcPr>
          <w:p>
            <w:pPr>
              <w:widowControl/>
              <w:spacing w:before="120" w:beforeLines="50" w:line="360" w:lineRule="auto"/>
              <w:ind w:firstLine="482" w:firstLineChars="200"/>
              <w:jc w:val="left"/>
              <w:rPr>
                <w:b/>
                <w:bCs/>
                <w:sz w:val="24"/>
                <w:szCs w:val="32"/>
              </w:rPr>
            </w:pPr>
            <w:r>
              <w:rPr>
                <w:b/>
                <w:bCs/>
                <w:sz w:val="24"/>
                <w:szCs w:val="32"/>
              </w:rPr>
              <w:t>一、废气</w:t>
            </w:r>
          </w:p>
          <w:p>
            <w:pPr>
              <w:widowControl/>
              <w:spacing w:line="360" w:lineRule="auto"/>
              <w:ind w:firstLine="480" w:firstLineChars="200"/>
              <w:jc w:val="left"/>
              <w:rPr>
                <w:sz w:val="24"/>
                <w:szCs w:val="32"/>
              </w:rPr>
            </w:pPr>
            <w:r>
              <w:rPr>
                <w:sz w:val="24"/>
                <w:szCs w:val="32"/>
              </w:rPr>
              <w:t>1、污染工序及源强分析</w:t>
            </w:r>
          </w:p>
          <w:p>
            <w:pPr>
              <w:widowControl/>
              <w:spacing w:line="360" w:lineRule="auto"/>
              <w:ind w:firstLine="480" w:firstLineChars="200"/>
              <w:jc w:val="left"/>
              <w:rPr>
                <w:sz w:val="24"/>
                <w:szCs w:val="32"/>
              </w:rPr>
            </w:pPr>
            <w:r>
              <w:rPr>
                <w:sz w:val="24"/>
              </w:rPr>
              <w:t>本项目运营期废气主要为有机废气</w:t>
            </w:r>
            <w:r>
              <w:rPr>
                <w:sz w:val="24"/>
                <w:szCs w:val="32"/>
              </w:rPr>
              <w:t>、酸雾。项目每个实验室操作台上方设置通风橱，</w:t>
            </w:r>
            <w:r>
              <w:rPr>
                <w:sz w:val="24"/>
              </w:rPr>
              <w:t>废气</w:t>
            </w:r>
            <w:r>
              <w:rPr>
                <w:rFonts w:hint="eastAsia"/>
                <w:sz w:val="24"/>
              </w:rPr>
              <w:t>通过通风橱收集后，由</w:t>
            </w:r>
            <w:r>
              <w:rPr>
                <w:sz w:val="24"/>
              </w:rPr>
              <w:t>活性炭吸附装置进行处理</w:t>
            </w:r>
            <w:r>
              <w:rPr>
                <w:sz w:val="24"/>
                <w:szCs w:val="32"/>
              </w:rPr>
              <w:t>后</w:t>
            </w:r>
            <w:r>
              <w:rPr>
                <w:rFonts w:hint="eastAsia"/>
                <w:sz w:val="24"/>
                <w:szCs w:val="32"/>
              </w:rPr>
              <w:t>经</w:t>
            </w:r>
            <w:r>
              <w:rPr>
                <w:sz w:val="24"/>
                <w:szCs w:val="32"/>
              </w:rPr>
              <w:t>排气筒排放</w:t>
            </w:r>
            <w:r>
              <w:rPr>
                <w:rFonts w:hint="eastAsia"/>
                <w:sz w:val="24"/>
                <w:szCs w:val="32"/>
              </w:rPr>
              <w:t>，</w:t>
            </w:r>
            <w:r>
              <w:rPr>
                <w:sz w:val="24"/>
              </w:rPr>
              <w:t>排气筒高度15m（距地面高度）。</w:t>
            </w:r>
          </w:p>
          <w:p>
            <w:pPr>
              <w:widowControl/>
              <w:spacing w:line="360" w:lineRule="auto"/>
              <w:ind w:firstLine="480" w:firstLineChars="200"/>
              <w:rPr>
                <w:sz w:val="24"/>
                <w:szCs w:val="32"/>
              </w:rPr>
            </w:pPr>
            <w:r>
              <w:rPr>
                <w:sz w:val="24"/>
                <w:szCs w:val="32"/>
              </w:rPr>
              <w:t>（1）有机废气</w:t>
            </w:r>
          </w:p>
          <w:p>
            <w:pPr>
              <w:adjustRightInd w:val="0"/>
              <w:snapToGrid w:val="0"/>
              <w:spacing w:line="360" w:lineRule="auto"/>
              <w:ind w:firstLine="480" w:firstLineChars="200"/>
              <w:outlineLvl w:val="0"/>
              <w:rPr>
                <w:kern w:val="0"/>
                <w:sz w:val="24"/>
                <w:lang w:bidi="ar"/>
              </w:rPr>
            </w:pPr>
            <w:r>
              <w:rPr>
                <w:kern w:val="0"/>
                <w:sz w:val="24"/>
                <w:lang w:bidi="ar"/>
              </w:rPr>
              <w:t>本项目有机废气主要来源于实验室有机溶剂的挥发，有机溶剂主要包括</w:t>
            </w:r>
            <w:r>
              <w:rPr>
                <w:sz w:val="24"/>
              </w:rPr>
              <w:t>甲醇、乙醇、石油醚</w:t>
            </w:r>
            <w:r>
              <w:rPr>
                <w:kern w:val="0"/>
                <w:sz w:val="24"/>
                <w:lang w:bidi="ar"/>
              </w:rPr>
              <w:t>等，有机溶剂在样品进行萃取（提取）等前处理及仪器分析过程中少量挥发，项目产生的有机废气总量以非甲烷总烃计。根据建设单位</w:t>
            </w:r>
            <w:r>
              <w:rPr>
                <w:rFonts w:hint="eastAsia"/>
                <w:kern w:val="0"/>
                <w:sz w:val="24"/>
                <w:lang w:bidi="ar"/>
              </w:rPr>
              <w:t>提供的</w:t>
            </w:r>
            <w:r>
              <w:rPr>
                <w:kern w:val="0"/>
                <w:sz w:val="24"/>
                <w:lang w:bidi="ar"/>
              </w:rPr>
              <w:t>所属总公司同类项目的相关资料，项目共使用有机溶剂（除甲苯、二氯甲烷）总量为2.71t/a，实验过程中间断性挥发产生的有机废气</w:t>
            </w:r>
            <w:r>
              <w:rPr>
                <w:sz w:val="24"/>
              </w:rPr>
              <w:t>挥发量约为使用量的10%，则项目有机废气的产生量为0.27t/a，</w:t>
            </w:r>
            <w:r>
              <w:rPr>
                <w:kern w:val="0"/>
                <w:sz w:val="24"/>
                <w:lang w:bidi="ar"/>
              </w:rPr>
              <w:t>每天使用有机溶剂的有效时间合计约为3h。</w:t>
            </w:r>
          </w:p>
          <w:p>
            <w:pPr>
              <w:adjustRightInd w:val="0"/>
              <w:snapToGrid w:val="0"/>
              <w:spacing w:line="360" w:lineRule="auto"/>
              <w:ind w:firstLine="480" w:firstLineChars="200"/>
              <w:outlineLvl w:val="0"/>
              <w:rPr>
                <w:sz w:val="24"/>
              </w:rPr>
            </w:pPr>
            <w:r>
              <w:rPr>
                <w:sz w:val="24"/>
              </w:rPr>
              <w:t>本项目用于实验操作的通风橱有26个</w:t>
            </w:r>
            <w:r>
              <w:rPr>
                <w:rFonts w:hint="eastAsia"/>
                <w:sz w:val="24"/>
              </w:rPr>
              <w:t>，</w:t>
            </w:r>
            <w:r>
              <w:rPr>
                <w:sz w:val="24"/>
              </w:rPr>
              <w:t>产生的有机废气收集后采用活性炭吸附装置进行处理，处理后引至楼顶排气筒排放，排气筒排放高度15m（从地面计算）。</w:t>
            </w:r>
            <w:r>
              <w:rPr>
                <w:rFonts w:hint="eastAsia"/>
                <w:sz w:val="24"/>
              </w:rPr>
              <w:t>本项目所采用的</w:t>
            </w:r>
            <w:r>
              <w:rPr>
                <w:sz w:val="24"/>
              </w:rPr>
              <w:t>通风橱</w:t>
            </w:r>
            <w:r>
              <w:rPr>
                <w:rFonts w:hint="eastAsia"/>
                <w:sz w:val="24"/>
              </w:rPr>
              <w:t>为</w:t>
            </w:r>
            <w:r>
              <w:rPr>
                <w:sz w:val="24"/>
              </w:rPr>
              <w:t>三面围挡一面装有操作拉门的柜式通风橱</w:t>
            </w:r>
            <w:r>
              <w:rPr>
                <w:rFonts w:hint="eastAsia"/>
                <w:sz w:val="24"/>
              </w:rPr>
              <w:t>，其</w:t>
            </w:r>
            <w:r>
              <w:rPr>
                <w:sz w:val="24"/>
              </w:rPr>
              <w:t>收集效率（以下收集效率均参考此文件）参</w:t>
            </w:r>
            <w:r>
              <w:rPr>
                <w:rFonts w:asciiTheme="minorEastAsia" w:hAnsiTheme="minorEastAsia" w:eastAsiaTheme="minorEastAsia"/>
                <w:sz w:val="24"/>
              </w:rPr>
              <w:t>考“环</w:t>
            </w:r>
            <w:r>
              <w:rPr>
                <w:sz w:val="24"/>
              </w:rPr>
              <w:t>办综合函[2022]350号关于印发《主要污染物总量减排核算技术指南（2022年修订）》的</w:t>
            </w:r>
            <w:r>
              <w:rPr>
                <w:rFonts w:asciiTheme="minorEastAsia" w:hAnsiTheme="minorEastAsia" w:eastAsiaTheme="minorEastAsia"/>
                <w:sz w:val="24"/>
              </w:rPr>
              <w:t>通知”</w:t>
            </w:r>
            <w:r>
              <w:rPr>
                <w:rFonts w:hint="eastAsia" w:asciiTheme="minorEastAsia" w:hAnsiTheme="minorEastAsia" w:eastAsiaTheme="minorEastAsia"/>
                <w:sz w:val="24"/>
              </w:rPr>
              <w:t>中“半密闭集气罩（含排气柜）”</w:t>
            </w:r>
            <w:r>
              <w:rPr>
                <w:sz w:val="24"/>
              </w:rPr>
              <w:t>，</w:t>
            </w:r>
            <w:r>
              <w:rPr>
                <w:rFonts w:hint="eastAsia"/>
                <w:sz w:val="24"/>
              </w:rPr>
              <w:t>因此</w:t>
            </w:r>
            <w:r>
              <w:rPr>
                <w:sz w:val="24"/>
              </w:rPr>
              <w:t>收集率取65%</w:t>
            </w:r>
            <w:r>
              <w:rPr>
                <w:rFonts w:hint="eastAsia"/>
                <w:sz w:val="24"/>
              </w:rPr>
              <w:t>。</w:t>
            </w:r>
            <w:r>
              <w:rPr>
                <w:sz w:val="24"/>
              </w:rPr>
              <w:t>共设4个风机并列布置，单个风量为20000m</w:t>
            </w:r>
            <w:r>
              <w:rPr>
                <w:sz w:val="24"/>
                <w:vertAlign w:val="superscript"/>
              </w:rPr>
              <w:t>3</w:t>
            </w:r>
            <w:r>
              <w:rPr>
                <w:sz w:val="24"/>
              </w:rPr>
              <w:t>/h，风机总风量为80000m</w:t>
            </w:r>
            <w:r>
              <w:rPr>
                <w:sz w:val="24"/>
                <w:vertAlign w:val="superscript"/>
              </w:rPr>
              <w:t>3</w:t>
            </w:r>
            <w:r>
              <w:rPr>
                <w:sz w:val="24"/>
              </w:rPr>
              <w:t>/h，非甲烷总烃的处理效率按70%计，则非甲烷总烃有组织排放量约为0.053t/a，排放浓度为0.734mg/m</w:t>
            </w:r>
            <w:r>
              <w:rPr>
                <w:sz w:val="24"/>
                <w:vertAlign w:val="superscript"/>
              </w:rPr>
              <w:t>3</w:t>
            </w:r>
            <w:r>
              <w:rPr>
                <w:sz w:val="24"/>
              </w:rPr>
              <w:t>，排放速率为0.059kg/h。无组织排放的非甲烷总烃约为0.095t/a，0.105kg/h。</w:t>
            </w:r>
          </w:p>
          <w:p>
            <w:pPr>
              <w:widowControl/>
              <w:spacing w:line="360" w:lineRule="auto"/>
              <w:ind w:firstLine="480" w:firstLineChars="200"/>
              <w:rPr>
                <w:sz w:val="24"/>
                <w:szCs w:val="32"/>
              </w:rPr>
            </w:pPr>
            <w:r>
              <w:rPr>
                <w:sz w:val="24"/>
                <w:szCs w:val="32"/>
              </w:rPr>
              <w:t>（2）甲苯</w:t>
            </w:r>
          </w:p>
          <w:p>
            <w:pPr>
              <w:pStyle w:val="31"/>
              <w:ind w:firstLine="480" w:firstLineChars="200"/>
              <w:jc w:val="both"/>
              <w:rPr>
                <w:rFonts w:ascii="Times New Roman" w:cs="Times New Roman"/>
                <w:color w:val="auto"/>
              </w:rPr>
            </w:pPr>
            <w:r>
              <w:rPr>
                <w:rFonts w:ascii="Times New Roman" w:cs="Times New Roman"/>
                <w:color w:val="auto"/>
              </w:rPr>
              <w:t>实验研发所使用的甲苯通常情况下保存在密封容器中，除取样产生的少量挥发外，主要产生环节为实验过程挥发的甲苯，甲苯废气挥发量根据《环境统计手册》中有害物质敞漏存放时的散发量计算公式（如下）计算。</w:t>
            </w:r>
          </w:p>
          <w:p>
            <w:pPr>
              <w:pStyle w:val="31"/>
              <w:ind w:firstLine="480" w:firstLineChars="200"/>
              <w:rPr>
                <w:rFonts w:ascii="Times New Roman" w:cs="Times New Roman"/>
                <w:color w:val="auto"/>
              </w:rPr>
            </w:pPr>
            <w:r>
              <w:rPr>
                <w:rFonts w:ascii="Times New Roman" w:cs="Times New Roman"/>
                <w:color w:val="auto"/>
              </w:rPr>
              <w:t>Gs=（5.38+4.1V）P</w:t>
            </w:r>
            <w:r>
              <w:rPr>
                <w:rFonts w:ascii="Times New Roman" w:cs="Times New Roman"/>
                <w:color w:val="auto"/>
                <w:vertAlign w:val="subscript"/>
              </w:rPr>
              <w:t>H</w:t>
            </w:r>
            <w:r>
              <w:rPr>
                <w:rFonts w:ascii="Times New Roman" w:cs="Times New Roman"/>
                <w:color w:val="auto"/>
              </w:rPr>
              <w:t>·F·（M）</w:t>
            </w:r>
            <w:r>
              <w:rPr>
                <w:rFonts w:ascii="Times New Roman" w:cs="Times New Roman"/>
                <w:color w:val="auto"/>
                <w:vertAlign w:val="superscript"/>
              </w:rPr>
              <w:t>0.5</w:t>
            </w:r>
          </w:p>
          <w:p>
            <w:pPr>
              <w:pStyle w:val="31"/>
              <w:ind w:firstLine="480" w:firstLineChars="200"/>
              <w:jc w:val="both"/>
              <w:rPr>
                <w:rFonts w:ascii="Times New Roman" w:cs="Times New Roman"/>
                <w:color w:val="auto"/>
              </w:rPr>
            </w:pPr>
            <w:r>
              <w:rPr>
                <w:rFonts w:ascii="Times New Roman" w:cs="Times New Roman"/>
                <w:color w:val="auto"/>
              </w:rPr>
              <w:t>式中</w:t>
            </w:r>
            <w:r>
              <w:rPr>
                <w:rFonts w:hint="eastAsia" w:ascii="Times New Roman" w:cs="Times New Roman"/>
                <w:color w:val="auto"/>
              </w:rPr>
              <w:t>：</w:t>
            </w:r>
            <w:r>
              <w:rPr>
                <w:rFonts w:ascii="Times New Roman" w:cs="Times New Roman"/>
                <w:color w:val="auto"/>
              </w:rPr>
              <w:t>Gs——有害物质的散发量，g/h；</w:t>
            </w:r>
          </w:p>
          <w:p>
            <w:pPr>
              <w:pStyle w:val="31"/>
              <w:ind w:left="735" w:leftChars="350" w:firstLine="480" w:firstLineChars="200"/>
              <w:jc w:val="both"/>
              <w:rPr>
                <w:rFonts w:ascii="Times New Roman" w:cs="Times New Roman"/>
                <w:color w:val="auto"/>
              </w:rPr>
            </w:pPr>
            <w:r>
              <w:rPr>
                <w:rFonts w:ascii="Times New Roman" w:cs="Times New Roman"/>
                <w:color w:val="auto"/>
              </w:rPr>
              <w:t>V——车间或室内风速，m/s，一般可取0.2-0.5，本次取0.5；</w:t>
            </w:r>
          </w:p>
          <w:p>
            <w:pPr>
              <w:pStyle w:val="31"/>
              <w:ind w:left="735" w:leftChars="350" w:firstLine="480" w:firstLineChars="200"/>
              <w:jc w:val="both"/>
              <w:rPr>
                <w:rFonts w:ascii="Times New Roman" w:cs="Times New Roman"/>
                <w:color w:val="auto"/>
              </w:rPr>
            </w:pPr>
            <w:r>
              <w:rPr>
                <w:rFonts w:ascii="Times New Roman" w:cs="Times New Roman"/>
                <w:color w:val="auto"/>
              </w:rPr>
              <w:t>P</w:t>
            </w:r>
            <w:r>
              <w:rPr>
                <w:rFonts w:ascii="Times New Roman" w:cs="Times New Roman"/>
                <w:color w:val="auto"/>
                <w:vertAlign w:val="subscript"/>
              </w:rPr>
              <w:t>H</w:t>
            </w:r>
            <w:r>
              <w:rPr>
                <w:rFonts w:ascii="Times New Roman" w:cs="Times New Roman"/>
                <w:color w:val="auto"/>
              </w:rPr>
              <w:t>——有害物质在室温时的饱和蒸气压力，mmHg，99.98；</w:t>
            </w:r>
          </w:p>
          <w:p>
            <w:pPr>
              <w:pStyle w:val="31"/>
              <w:ind w:left="735" w:leftChars="350" w:firstLine="480" w:firstLineChars="200"/>
              <w:jc w:val="both"/>
              <w:rPr>
                <w:rFonts w:ascii="Times New Roman" w:cs="Times New Roman"/>
                <w:color w:val="auto"/>
              </w:rPr>
            </w:pPr>
            <w:r>
              <w:rPr>
                <w:rFonts w:ascii="Times New Roman" w:cs="Times New Roman"/>
                <w:color w:val="auto"/>
              </w:rPr>
              <w:t>F——有害物质的敞露面积，m</w:t>
            </w:r>
            <w:r>
              <w:rPr>
                <w:rFonts w:ascii="Times New Roman" w:cs="Times New Roman"/>
                <w:color w:val="auto"/>
                <w:vertAlign w:val="superscript"/>
              </w:rPr>
              <w:t>2</w:t>
            </w:r>
            <w:r>
              <w:rPr>
                <w:rFonts w:ascii="Times New Roman" w:cs="Times New Roman"/>
                <w:color w:val="auto"/>
              </w:rPr>
              <w:t>，面积按照0.0028计算；</w:t>
            </w:r>
          </w:p>
          <w:p>
            <w:pPr>
              <w:pStyle w:val="31"/>
              <w:ind w:left="735" w:leftChars="350" w:firstLine="480" w:firstLineChars="200"/>
              <w:jc w:val="both"/>
              <w:rPr>
                <w:rFonts w:ascii="Times New Roman" w:cs="Times New Roman"/>
                <w:color w:val="auto"/>
              </w:rPr>
            </w:pPr>
            <w:r>
              <w:rPr>
                <w:rFonts w:ascii="Times New Roman" w:cs="Times New Roman"/>
                <w:color w:val="auto"/>
              </w:rPr>
              <w:t>M——有害物质的分子量，92.14。</w:t>
            </w:r>
          </w:p>
          <w:p>
            <w:pPr>
              <w:adjustRightInd w:val="0"/>
              <w:spacing w:line="360" w:lineRule="auto"/>
              <w:ind w:firstLine="480" w:firstLineChars="200"/>
              <w:outlineLvl w:val="0"/>
              <w:rPr>
                <w:sz w:val="24"/>
              </w:rPr>
            </w:pPr>
            <w:r>
              <w:rPr>
                <w:sz w:val="24"/>
              </w:rPr>
              <w:t>本项目甲苯挥发产生量约为19.97g/h，项目年工作300天，每天使用甲苯的有效时间合计约为3h。甲苯年挥发产生量约为0.018t/a。</w:t>
            </w:r>
          </w:p>
          <w:p>
            <w:pPr>
              <w:adjustRightInd w:val="0"/>
              <w:snapToGrid w:val="0"/>
              <w:spacing w:line="360" w:lineRule="auto"/>
              <w:ind w:firstLine="480" w:firstLineChars="200"/>
              <w:outlineLvl w:val="0"/>
              <w:rPr>
                <w:sz w:val="24"/>
              </w:rPr>
            </w:pPr>
            <w:r>
              <w:rPr>
                <w:sz w:val="24"/>
              </w:rPr>
              <w:t>本项目产生的甲苯与有机废气采用同一套活性炭吸附装置处理后经同一排气筒（排气筒高度离地面15m）排放。集气效率按65%计，共设4个风机并列布置，单个风量为20000m</w:t>
            </w:r>
            <w:r>
              <w:rPr>
                <w:sz w:val="24"/>
                <w:vertAlign w:val="superscript"/>
              </w:rPr>
              <w:t>3</w:t>
            </w:r>
            <w:r>
              <w:rPr>
                <w:sz w:val="24"/>
              </w:rPr>
              <w:t>/h，风机总风量为80000m</w:t>
            </w:r>
            <w:r>
              <w:rPr>
                <w:sz w:val="24"/>
                <w:vertAlign w:val="superscript"/>
              </w:rPr>
              <w:t>3</w:t>
            </w:r>
            <w:r>
              <w:rPr>
                <w:sz w:val="24"/>
              </w:rPr>
              <w:t>/h，甲苯的处理效率按70%计，则甲苯有组织排放量约为0.0035t/a，排放浓度为0.0488mg/m</w:t>
            </w:r>
            <w:r>
              <w:rPr>
                <w:sz w:val="24"/>
                <w:vertAlign w:val="superscript"/>
              </w:rPr>
              <w:t>3</w:t>
            </w:r>
            <w:r>
              <w:rPr>
                <w:sz w:val="24"/>
              </w:rPr>
              <w:t>，排放速率为0.0039kg/h。则无组织排放的甲苯为0.006t/a，0.007kg/h。</w:t>
            </w:r>
          </w:p>
          <w:p>
            <w:pPr>
              <w:widowControl/>
              <w:spacing w:line="360" w:lineRule="auto"/>
              <w:ind w:firstLine="480" w:firstLineChars="200"/>
              <w:rPr>
                <w:sz w:val="24"/>
                <w:szCs w:val="32"/>
              </w:rPr>
            </w:pPr>
            <w:r>
              <w:rPr>
                <w:sz w:val="24"/>
                <w:szCs w:val="32"/>
              </w:rPr>
              <w:t>（3）酸雾</w:t>
            </w:r>
          </w:p>
          <w:p>
            <w:pPr>
              <w:adjustRightInd w:val="0"/>
              <w:snapToGrid w:val="0"/>
              <w:spacing w:line="360" w:lineRule="auto"/>
              <w:ind w:firstLine="480" w:firstLineChars="200"/>
              <w:outlineLvl w:val="0"/>
              <w:rPr>
                <w:sz w:val="24"/>
              </w:rPr>
            </w:pPr>
            <w:r>
              <w:rPr>
                <w:sz w:val="24"/>
              </w:rPr>
              <w:t>实验研发所使用的硫酸、盐酸等通常情况下保存在密封容器中，除取样产生的少量挥发外，主要产生环节为实验过程挥发的硫酸雾、氯化氢，项目年工作300天，每天使用硫酸、盐酸的有效时间合计约为4h。</w:t>
            </w:r>
            <w:r>
              <w:rPr>
                <w:kern w:val="0"/>
                <w:sz w:val="24"/>
                <w:lang w:bidi="ar"/>
              </w:rPr>
              <w:t>根据建设单位</w:t>
            </w:r>
            <w:r>
              <w:rPr>
                <w:rFonts w:hint="eastAsia"/>
                <w:kern w:val="0"/>
                <w:sz w:val="24"/>
                <w:lang w:bidi="ar"/>
              </w:rPr>
              <w:t>提供的</w:t>
            </w:r>
            <w:r>
              <w:rPr>
                <w:kern w:val="0"/>
                <w:sz w:val="24"/>
                <w:lang w:bidi="ar"/>
              </w:rPr>
              <w:t>所属总公司同类项目的相关资料</w:t>
            </w:r>
            <w:r>
              <w:rPr>
                <w:sz w:val="24"/>
              </w:rPr>
              <w:t>，硫酸雾蒸发量按照总量的10%计</w:t>
            </w:r>
            <w:r>
              <w:rPr>
                <w:rFonts w:hint="eastAsia"/>
                <w:sz w:val="24"/>
              </w:rPr>
              <w:t>，</w:t>
            </w:r>
            <w:r>
              <w:rPr>
                <w:sz w:val="24"/>
              </w:rPr>
              <w:t>盐酸挥发量按照总量的20%计，则项目硫酸雾的产生量约为0.00092t/a，氯化氢的产生量约为0.006t/a。</w:t>
            </w:r>
          </w:p>
          <w:p>
            <w:pPr>
              <w:widowControl/>
              <w:spacing w:line="360" w:lineRule="auto"/>
              <w:ind w:firstLine="480" w:firstLineChars="200"/>
              <w:rPr>
                <w:sz w:val="24"/>
              </w:rPr>
            </w:pPr>
            <w:r>
              <w:rPr>
                <w:sz w:val="24"/>
              </w:rPr>
              <w:t>实验过程中产生的酸雾产生量较小，产生浓度低，废气达标排放且排放强度低，硫酸雾、氯化氢</w:t>
            </w:r>
            <w:r>
              <w:rPr>
                <w:rFonts w:hint="eastAsia"/>
                <w:sz w:val="24"/>
              </w:rPr>
              <w:t>由</w:t>
            </w:r>
            <w:r>
              <w:rPr>
                <w:sz w:val="24"/>
              </w:rPr>
              <w:t>通风橱收集后经活性炭箱后经排气筒（排气筒高度离地面15m）排放，共设4个风机并列布置，单个风量为20000m</w:t>
            </w:r>
            <w:r>
              <w:rPr>
                <w:sz w:val="24"/>
                <w:vertAlign w:val="superscript"/>
              </w:rPr>
              <w:t>3</w:t>
            </w:r>
            <w:r>
              <w:rPr>
                <w:sz w:val="24"/>
              </w:rPr>
              <w:t>/h，风机总风量为80000m</w:t>
            </w:r>
            <w:r>
              <w:rPr>
                <w:sz w:val="24"/>
                <w:vertAlign w:val="superscript"/>
              </w:rPr>
              <w:t>3</w:t>
            </w:r>
            <w:r>
              <w:rPr>
                <w:sz w:val="24"/>
              </w:rPr>
              <w:t>/h，集气效率按65%计。则项目排气筒（DA001）硫酸雾排放量分别为0.0006t/a，排放浓度分别为0.00623mg/m</w:t>
            </w:r>
            <w:r>
              <w:rPr>
                <w:sz w:val="24"/>
                <w:vertAlign w:val="superscript"/>
              </w:rPr>
              <w:t>3</w:t>
            </w:r>
            <w:r>
              <w:rPr>
                <w:sz w:val="24"/>
              </w:rPr>
              <w:t>，排放速率分别为0.0005kg/h；氯化氢排放量分别为0.0039t/a，排放浓度分别为0.0406mg/m</w:t>
            </w:r>
            <w:r>
              <w:rPr>
                <w:sz w:val="24"/>
                <w:vertAlign w:val="superscript"/>
              </w:rPr>
              <w:t>3</w:t>
            </w:r>
            <w:r>
              <w:rPr>
                <w:sz w:val="24"/>
              </w:rPr>
              <w:t>，排放速率分别为0.00325kg/h。无组织逸出的硫酸雾为0.00032t/a，0.00027kg/h；无组织逸出的氯化氢为0.0021t/a，0.00175kg/h。</w:t>
            </w:r>
          </w:p>
          <w:p>
            <w:pPr>
              <w:widowControl/>
              <w:spacing w:line="360" w:lineRule="auto"/>
              <w:ind w:left="420" w:leftChars="200"/>
              <w:rPr>
                <w:sz w:val="24"/>
              </w:rPr>
            </w:pPr>
            <w:r>
              <w:rPr>
                <w:sz w:val="24"/>
              </w:rPr>
              <w:t>（4）二氯甲烷</w:t>
            </w:r>
          </w:p>
          <w:p>
            <w:pPr>
              <w:adjustRightInd w:val="0"/>
              <w:snapToGrid w:val="0"/>
              <w:spacing w:line="360" w:lineRule="auto"/>
              <w:ind w:firstLine="480" w:firstLineChars="200"/>
              <w:outlineLvl w:val="0"/>
              <w:rPr>
                <w:kern w:val="0"/>
                <w:sz w:val="24"/>
                <w:lang w:bidi="ar"/>
              </w:rPr>
            </w:pPr>
            <w:r>
              <w:rPr>
                <w:kern w:val="0"/>
                <w:sz w:val="24"/>
                <w:lang w:bidi="ar"/>
              </w:rPr>
              <w:t>本项目二氯甲烷在样品进行萃取（提取）等前处理及仪器分析过程中少量挥发，项目共使用二氯甲烷总量为1.99t/a，实验过程中间断性挥发产生的有机废气</w:t>
            </w:r>
            <w:r>
              <w:rPr>
                <w:sz w:val="24"/>
              </w:rPr>
              <w:t>挥发量约为使用量的10%，则项目二氯甲烷的产生量为0.2t/a，</w:t>
            </w:r>
            <w:r>
              <w:rPr>
                <w:kern w:val="0"/>
                <w:sz w:val="24"/>
                <w:lang w:bidi="ar"/>
              </w:rPr>
              <w:t>每天使用有机溶剂的有效时间合计约为3h。</w:t>
            </w:r>
          </w:p>
          <w:p>
            <w:pPr>
              <w:adjustRightInd w:val="0"/>
              <w:snapToGrid w:val="0"/>
              <w:spacing w:line="360" w:lineRule="auto"/>
              <w:ind w:firstLine="480" w:firstLineChars="200"/>
              <w:outlineLvl w:val="0"/>
              <w:rPr>
                <w:sz w:val="24"/>
              </w:rPr>
            </w:pPr>
            <w:r>
              <w:rPr>
                <w:sz w:val="24"/>
              </w:rPr>
              <w:t>产生的二氯甲烷与有机废气收集后采用活性炭吸附装置进行处理，处理后引至楼顶排气筒排放，排气筒排放高度15m（从地面计算）。集气效率按</w:t>
            </w:r>
            <w:r>
              <w:rPr>
                <w:rFonts w:hint="eastAsia"/>
                <w:sz w:val="24"/>
              </w:rPr>
              <w:t>65</w:t>
            </w:r>
            <w:r>
              <w:rPr>
                <w:sz w:val="24"/>
              </w:rPr>
              <w:t>%计，共设4个风机并列布置，单个风量为20000m</w:t>
            </w:r>
            <w:r>
              <w:rPr>
                <w:sz w:val="24"/>
                <w:vertAlign w:val="superscript"/>
              </w:rPr>
              <w:t>3</w:t>
            </w:r>
            <w:r>
              <w:rPr>
                <w:sz w:val="24"/>
              </w:rPr>
              <w:t>/h，风机总风量为80000m</w:t>
            </w:r>
            <w:r>
              <w:rPr>
                <w:sz w:val="24"/>
                <w:vertAlign w:val="superscript"/>
              </w:rPr>
              <w:t>3</w:t>
            </w:r>
            <w:r>
              <w:rPr>
                <w:sz w:val="24"/>
              </w:rPr>
              <w:t>/h，处理效率按70%计，则二氯甲烷有组织排放量约为0.039t/a，排放浓度为0.542mg/m</w:t>
            </w:r>
            <w:r>
              <w:rPr>
                <w:sz w:val="24"/>
                <w:vertAlign w:val="superscript"/>
              </w:rPr>
              <w:t>3</w:t>
            </w:r>
            <w:r>
              <w:rPr>
                <w:sz w:val="24"/>
              </w:rPr>
              <w:t>，排放速率为0.043kg/h。无组织排放的二氯甲烷约为0.07t/a，0.077kg/h。</w:t>
            </w:r>
          </w:p>
          <w:p>
            <w:pPr>
              <w:adjustRightInd w:val="0"/>
              <w:snapToGrid w:val="0"/>
              <w:spacing w:line="360" w:lineRule="auto"/>
              <w:ind w:firstLine="480" w:firstLineChars="200"/>
              <w:outlineLvl w:val="0"/>
              <w:rPr>
                <w:sz w:val="24"/>
              </w:rPr>
            </w:pPr>
            <w:r>
              <w:rPr>
                <w:rFonts w:hint="eastAsia"/>
                <w:sz w:val="24"/>
              </w:rPr>
              <w:t>（5）通风橱最小控制风速</w:t>
            </w:r>
          </w:p>
          <w:p>
            <w:pPr>
              <w:adjustRightInd w:val="0"/>
              <w:snapToGrid w:val="0"/>
              <w:spacing w:line="360" w:lineRule="auto"/>
              <w:ind w:firstLine="480" w:firstLineChars="200"/>
              <w:outlineLvl w:val="0"/>
              <w:rPr>
                <w:sz w:val="24"/>
              </w:rPr>
            </w:pPr>
            <w:r>
              <w:rPr>
                <w:sz w:val="24"/>
              </w:rPr>
              <w:t>本项目</w:t>
            </w:r>
            <w:r>
              <w:rPr>
                <w:rFonts w:hint="eastAsia"/>
                <w:sz w:val="24"/>
              </w:rPr>
              <w:t>通风橱最小控制风速根据《大气污染控制工程》（第三版）中集气罩风量计算公式进行计算。</w:t>
            </w:r>
          </w:p>
          <w:p>
            <w:pPr>
              <w:adjustRightInd w:val="0"/>
              <w:snapToGrid w:val="0"/>
              <w:spacing w:line="360" w:lineRule="auto"/>
              <w:ind w:firstLine="480" w:firstLineChars="200"/>
              <w:jc w:val="center"/>
              <w:outlineLvl w:val="0"/>
              <w:rPr>
                <w:sz w:val="24"/>
              </w:rPr>
            </w:pPr>
            <w:r>
              <w:rPr>
                <w:sz w:val="24"/>
              </w:rPr>
              <w:t>Q=0.75</w:t>
            </w:r>
            <w:r>
              <w:rPr>
                <w:rFonts w:hint="eastAsia"/>
                <w:sz w:val="24"/>
              </w:rPr>
              <w:t>（</w:t>
            </w:r>
            <w:r>
              <w:rPr>
                <w:sz w:val="24"/>
              </w:rPr>
              <w:t>10X</w:t>
            </w:r>
            <w:r>
              <w:rPr>
                <w:sz w:val="24"/>
                <w:vertAlign w:val="superscript"/>
              </w:rPr>
              <w:t>2</w:t>
            </w:r>
            <w:r>
              <w:rPr>
                <w:sz w:val="24"/>
              </w:rPr>
              <w:t>+A</w:t>
            </w:r>
            <w:r>
              <w:rPr>
                <w:rFonts w:hint="eastAsia"/>
                <w:sz w:val="24"/>
              </w:rPr>
              <w:t>）</w:t>
            </w:r>
            <w:r>
              <w:rPr>
                <w:sz w:val="24"/>
              </w:rPr>
              <w:t>×Vx</w:t>
            </w:r>
          </w:p>
          <w:p>
            <w:pPr>
              <w:adjustRightInd w:val="0"/>
              <w:snapToGrid w:val="0"/>
              <w:spacing w:line="360" w:lineRule="auto"/>
              <w:ind w:firstLine="480" w:firstLineChars="200"/>
              <w:outlineLvl w:val="0"/>
              <w:rPr>
                <w:sz w:val="24"/>
              </w:rPr>
            </w:pPr>
            <w:r>
              <w:rPr>
                <w:rFonts w:hint="eastAsia"/>
                <w:sz w:val="24"/>
              </w:rPr>
              <w:t>式中：Q-集气罩排风量，m</w:t>
            </w:r>
            <w:r>
              <w:rPr>
                <w:rFonts w:hint="eastAsia"/>
                <w:sz w:val="24"/>
                <w:vertAlign w:val="superscript"/>
              </w:rPr>
              <w:t>3</w:t>
            </w:r>
            <w:r>
              <w:rPr>
                <w:sz w:val="24"/>
              </w:rPr>
              <w:t>/</w:t>
            </w:r>
            <w:r>
              <w:rPr>
                <w:rFonts w:hint="eastAsia"/>
                <w:sz w:val="24"/>
              </w:rPr>
              <w:t>s；</w:t>
            </w:r>
          </w:p>
          <w:p>
            <w:pPr>
              <w:adjustRightInd w:val="0"/>
              <w:snapToGrid w:val="0"/>
              <w:spacing w:line="360" w:lineRule="auto"/>
              <w:ind w:left="735" w:leftChars="350" w:firstLine="480" w:firstLineChars="200"/>
              <w:outlineLvl w:val="0"/>
              <w:rPr>
                <w:sz w:val="24"/>
              </w:rPr>
            </w:pPr>
            <w:r>
              <w:rPr>
                <w:rFonts w:hint="eastAsia"/>
                <w:sz w:val="24"/>
              </w:rPr>
              <w:t>X-污染物产生点至集气罩口的距离，m，本项目取0.55m；</w:t>
            </w:r>
          </w:p>
          <w:p>
            <w:pPr>
              <w:adjustRightInd w:val="0"/>
              <w:snapToGrid w:val="0"/>
              <w:spacing w:line="360" w:lineRule="auto"/>
              <w:ind w:left="735" w:leftChars="350" w:firstLine="480" w:firstLineChars="200"/>
              <w:outlineLvl w:val="0"/>
              <w:rPr>
                <w:sz w:val="24"/>
              </w:rPr>
            </w:pPr>
            <w:r>
              <w:rPr>
                <w:rFonts w:hint="eastAsia"/>
                <w:sz w:val="24"/>
              </w:rPr>
              <w:t>A-集气罩口面积，m</w:t>
            </w:r>
            <w:r>
              <w:rPr>
                <w:rFonts w:hint="eastAsia"/>
                <w:sz w:val="24"/>
                <w:vertAlign w:val="superscript"/>
              </w:rPr>
              <w:t>2</w:t>
            </w:r>
            <w:r>
              <w:rPr>
                <w:rFonts w:hint="eastAsia"/>
                <w:sz w:val="24"/>
              </w:rPr>
              <w:t>；</w:t>
            </w:r>
          </w:p>
          <w:p>
            <w:pPr>
              <w:adjustRightInd w:val="0"/>
              <w:snapToGrid w:val="0"/>
              <w:spacing w:line="360" w:lineRule="auto"/>
              <w:ind w:left="735" w:leftChars="350" w:firstLine="480" w:firstLineChars="200"/>
              <w:outlineLvl w:val="0"/>
              <w:rPr>
                <w:sz w:val="24"/>
              </w:rPr>
            </w:pPr>
            <w:r>
              <w:rPr>
                <w:rFonts w:hint="eastAsia"/>
                <w:sz w:val="24"/>
              </w:rPr>
              <w:t>Vx-最小控制风速m</w:t>
            </w:r>
            <w:r>
              <w:rPr>
                <w:sz w:val="24"/>
              </w:rPr>
              <w:t>/</w:t>
            </w:r>
            <w:r>
              <w:rPr>
                <w:rFonts w:hint="eastAsia"/>
                <w:sz w:val="24"/>
              </w:rPr>
              <w:t>s。</w:t>
            </w:r>
          </w:p>
          <w:p>
            <w:pPr>
              <w:widowControl/>
              <w:spacing w:line="360" w:lineRule="auto"/>
              <w:ind w:firstLine="480" w:firstLineChars="200"/>
              <w:rPr>
                <w:sz w:val="24"/>
              </w:rPr>
            </w:pPr>
            <w:r>
              <w:rPr>
                <w:rFonts w:hint="eastAsia"/>
                <w:sz w:val="24"/>
              </w:rPr>
              <w:t>本项目</w:t>
            </w:r>
            <w:r>
              <w:rPr>
                <w:sz w:val="24"/>
              </w:rPr>
              <w:t>用于实验操作的通风橱有26个</w:t>
            </w:r>
            <w:r>
              <w:rPr>
                <w:rFonts w:hint="eastAsia"/>
                <w:sz w:val="24"/>
              </w:rPr>
              <w:t>，4个风机，</w:t>
            </w:r>
            <w:r>
              <w:rPr>
                <w:sz w:val="24"/>
              </w:rPr>
              <w:t>单个风量为20000m</w:t>
            </w:r>
            <w:r>
              <w:rPr>
                <w:sz w:val="24"/>
                <w:vertAlign w:val="superscript"/>
              </w:rPr>
              <w:t>3</w:t>
            </w:r>
            <w:r>
              <w:rPr>
                <w:sz w:val="24"/>
              </w:rPr>
              <w:t>/h，风机总风量为80000m</w:t>
            </w:r>
            <w:r>
              <w:rPr>
                <w:sz w:val="24"/>
                <w:vertAlign w:val="superscript"/>
              </w:rPr>
              <w:t>3</w:t>
            </w:r>
            <w:r>
              <w:rPr>
                <w:sz w:val="24"/>
              </w:rPr>
              <w:t>/h，</w:t>
            </w:r>
            <w:r>
              <w:rPr>
                <w:rFonts w:hint="eastAsia"/>
                <w:sz w:val="24"/>
              </w:rPr>
              <w:t>单个通风橱集气罩口面积约为1</w:t>
            </w:r>
            <w:r>
              <w:rPr>
                <w:sz w:val="24"/>
              </w:rPr>
              <w:t>.275m</w:t>
            </w:r>
            <w:r>
              <w:rPr>
                <w:sz w:val="24"/>
                <w:vertAlign w:val="superscript"/>
              </w:rPr>
              <w:t>2</w:t>
            </w:r>
            <w:r>
              <w:rPr>
                <w:rFonts w:hint="eastAsia"/>
                <w:sz w:val="24"/>
              </w:rPr>
              <w:t>，根据上述公式计算可知本项目最小控制风速Vx为0.</w:t>
            </w:r>
            <w:r>
              <w:rPr>
                <w:sz w:val="24"/>
              </w:rPr>
              <w:t>819m/s</w:t>
            </w:r>
            <w:r>
              <w:rPr>
                <w:rFonts w:hint="eastAsia"/>
                <w:sz w:val="24"/>
              </w:rPr>
              <w:t>。满足</w:t>
            </w:r>
            <w:r>
              <w:rPr>
                <w:sz w:val="24"/>
              </w:rPr>
              <w:t>《西安市挥发性有机物污染整治专项实施方案(2023-2027年)》</w:t>
            </w:r>
            <w:r>
              <w:rPr>
                <w:rFonts w:hint="eastAsia"/>
                <w:sz w:val="24"/>
              </w:rPr>
              <w:t>中“</w:t>
            </w:r>
            <w:r>
              <w:rPr>
                <w:sz w:val="24"/>
              </w:rPr>
              <w:t>采用局部集气罩的，距集气罩开口面最远处的VOCs无组织排放位置控制风速应不低于0.3米/秒</w:t>
            </w:r>
            <w:r>
              <w:rPr>
                <w:rFonts w:hint="eastAsia"/>
                <w:sz w:val="24"/>
              </w:rPr>
              <w:t>”的要求。</w:t>
            </w:r>
          </w:p>
          <w:p>
            <w:pPr>
              <w:widowControl/>
              <w:spacing w:line="360" w:lineRule="auto"/>
              <w:ind w:firstLine="480" w:firstLineChars="200"/>
              <w:rPr>
                <w:sz w:val="24"/>
              </w:rPr>
            </w:pPr>
            <w:r>
              <w:rPr>
                <w:rFonts w:hint="eastAsia"/>
                <w:sz w:val="24"/>
              </w:rPr>
              <w:t>（6）无组织废气</w:t>
            </w:r>
          </w:p>
          <w:p>
            <w:pPr>
              <w:widowControl/>
              <w:spacing w:line="360" w:lineRule="auto"/>
              <w:ind w:firstLine="480" w:firstLineChars="200"/>
              <w:rPr>
                <w:sz w:val="24"/>
              </w:rPr>
            </w:pPr>
            <w:r>
              <w:rPr>
                <w:rFonts w:hint="eastAsia"/>
                <w:sz w:val="24"/>
              </w:rPr>
              <w:t>本项目产生的</w:t>
            </w:r>
            <w:r>
              <w:rPr>
                <w:sz w:val="24"/>
              </w:rPr>
              <w:t>非甲烷总烃</w:t>
            </w:r>
            <w:r>
              <w:rPr>
                <w:rFonts w:hint="eastAsia"/>
                <w:sz w:val="24"/>
              </w:rPr>
              <w:t>、</w:t>
            </w:r>
            <w:r>
              <w:rPr>
                <w:sz w:val="24"/>
              </w:rPr>
              <w:t>甲苯、二氯甲烷、硫酸雾</w:t>
            </w:r>
            <w:r>
              <w:rPr>
                <w:rFonts w:hint="eastAsia"/>
                <w:sz w:val="24"/>
              </w:rPr>
              <w:t>及</w:t>
            </w:r>
            <w:r>
              <w:rPr>
                <w:sz w:val="24"/>
              </w:rPr>
              <w:t>氯化氢</w:t>
            </w:r>
            <w:r>
              <w:rPr>
                <w:rFonts w:hint="eastAsia"/>
                <w:sz w:val="24"/>
              </w:rPr>
              <w:t>6</w:t>
            </w:r>
            <w:r>
              <w:rPr>
                <w:sz w:val="24"/>
              </w:rPr>
              <w:t>5</w:t>
            </w:r>
            <w:r>
              <w:rPr>
                <w:rFonts w:hint="eastAsia"/>
                <w:sz w:val="24"/>
              </w:rPr>
              <w:t>%被通风橱收集，剩余3</w:t>
            </w:r>
            <w:r>
              <w:rPr>
                <w:sz w:val="24"/>
              </w:rPr>
              <w:t>5</w:t>
            </w:r>
            <w:r>
              <w:rPr>
                <w:rFonts w:hint="eastAsia"/>
                <w:sz w:val="24"/>
              </w:rPr>
              <w:t>%未被收集呈无组织排放，由于厂房阻隔作用，阻隔效率取3</w:t>
            </w:r>
            <w:r>
              <w:rPr>
                <w:sz w:val="24"/>
              </w:rPr>
              <w:t>0</w:t>
            </w:r>
            <w:r>
              <w:rPr>
                <w:rFonts w:hint="eastAsia"/>
                <w:sz w:val="24"/>
              </w:rPr>
              <w:t>%，故</w:t>
            </w:r>
            <w:r>
              <w:rPr>
                <w:sz w:val="24"/>
              </w:rPr>
              <w:t>7</w:t>
            </w:r>
            <w:r>
              <w:rPr>
                <w:rFonts w:hint="eastAsia"/>
                <w:sz w:val="24"/>
              </w:rPr>
              <w:t>0%排放至大气环境。</w:t>
            </w:r>
            <w:r>
              <w:rPr>
                <w:sz w:val="24"/>
              </w:rPr>
              <w:t>无组织</w:t>
            </w:r>
            <w:r>
              <w:rPr>
                <w:rFonts w:hint="eastAsia"/>
                <w:sz w:val="24"/>
              </w:rPr>
              <w:t>废气排放至大气环境的排放量为非甲烷总烃0.0665t/a（0.0735kg/h）、甲苯0.0042t/a（0.0049kg/h）、二氯甲烷0.0490t/a（0.0539kg/h）、硫酸雾0.0002t/a（0.0002kg/h）、氯化氢0.0015t/a（0.0012kg/h）。</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4-1  废气污染源源强核算结果及相关参数一览表</w:t>
            </w:r>
          </w:p>
          <w:tbl>
            <w:tblPr>
              <w:tblStyle w:val="25"/>
              <w:tblW w:w="7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789"/>
              <w:gridCol w:w="912"/>
              <w:gridCol w:w="505"/>
              <w:gridCol w:w="487"/>
              <w:gridCol w:w="851"/>
              <w:gridCol w:w="788"/>
              <w:gridCol w:w="851"/>
              <w:gridCol w:w="85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dxa"/>
                  <w:vMerge w:val="restart"/>
                  <w:vAlign w:val="center"/>
                </w:tcPr>
                <w:p>
                  <w:pPr>
                    <w:ind w:left="-84" w:leftChars="-40" w:right="-84" w:rightChars="-40"/>
                    <w:jc w:val="center"/>
                    <w:rPr>
                      <w:szCs w:val="21"/>
                    </w:rPr>
                  </w:pPr>
                  <w:r>
                    <w:rPr>
                      <w:szCs w:val="21"/>
                    </w:rPr>
                    <w:t>污染因子</w:t>
                  </w:r>
                </w:p>
              </w:tc>
              <w:tc>
                <w:tcPr>
                  <w:tcW w:w="1701" w:type="dxa"/>
                  <w:gridSpan w:val="2"/>
                  <w:vAlign w:val="center"/>
                </w:tcPr>
                <w:p>
                  <w:pPr>
                    <w:ind w:left="-84" w:leftChars="-40" w:right="-84" w:rightChars="-40"/>
                    <w:jc w:val="center"/>
                    <w:rPr>
                      <w:szCs w:val="21"/>
                    </w:rPr>
                  </w:pPr>
                  <w:r>
                    <w:rPr>
                      <w:szCs w:val="21"/>
                    </w:rPr>
                    <w:t>产生情况</w:t>
                  </w:r>
                </w:p>
              </w:tc>
              <w:tc>
                <w:tcPr>
                  <w:tcW w:w="505" w:type="dxa"/>
                  <w:vMerge w:val="restart"/>
                  <w:vAlign w:val="center"/>
                </w:tcPr>
                <w:p>
                  <w:pPr>
                    <w:ind w:left="-84" w:leftChars="-40" w:right="-84" w:rightChars="-40"/>
                    <w:jc w:val="center"/>
                    <w:rPr>
                      <w:szCs w:val="21"/>
                    </w:rPr>
                  </w:pPr>
                  <w:r>
                    <w:rPr>
                      <w:szCs w:val="21"/>
                    </w:rPr>
                    <w:t>收集</w:t>
                  </w:r>
                </w:p>
                <w:p>
                  <w:pPr>
                    <w:ind w:left="-84" w:leftChars="-40" w:right="-84" w:rightChars="-40"/>
                    <w:jc w:val="center"/>
                    <w:rPr>
                      <w:szCs w:val="21"/>
                    </w:rPr>
                  </w:pPr>
                  <w:r>
                    <w:rPr>
                      <w:szCs w:val="21"/>
                    </w:rPr>
                    <w:t>效率</w:t>
                  </w:r>
                </w:p>
              </w:tc>
              <w:tc>
                <w:tcPr>
                  <w:tcW w:w="487" w:type="dxa"/>
                  <w:vMerge w:val="restart"/>
                  <w:vAlign w:val="center"/>
                </w:tcPr>
                <w:p>
                  <w:pPr>
                    <w:ind w:left="-84" w:leftChars="-40" w:right="-84" w:rightChars="-40"/>
                    <w:jc w:val="center"/>
                    <w:rPr>
                      <w:szCs w:val="21"/>
                    </w:rPr>
                  </w:pPr>
                  <w:r>
                    <w:rPr>
                      <w:szCs w:val="21"/>
                    </w:rPr>
                    <w:t>排放</w:t>
                  </w:r>
                </w:p>
                <w:p>
                  <w:pPr>
                    <w:ind w:left="-84" w:leftChars="-40" w:right="-84" w:rightChars="-40"/>
                    <w:jc w:val="center"/>
                    <w:rPr>
                      <w:szCs w:val="21"/>
                    </w:rPr>
                  </w:pPr>
                  <w:r>
                    <w:rPr>
                      <w:szCs w:val="21"/>
                    </w:rPr>
                    <w:t>方式</w:t>
                  </w:r>
                </w:p>
              </w:tc>
              <w:tc>
                <w:tcPr>
                  <w:tcW w:w="4157" w:type="dxa"/>
                  <w:gridSpan w:val="5"/>
                  <w:vAlign w:val="center"/>
                </w:tcPr>
                <w:p>
                  <w:pPr>
                    <w:ind w:left="-84" w:leftChars="-40" w:right="-84" w:rightChars="-40"/>
                    <w:jc w:val="center"/>
                    <w:rPr>
                      <w:szCs w:val="21"/>
                    </w:rPr>
                  </w:pPr>
                  <w:r>
                    <w:rPr>
                      <w:szCs w:val="21"/>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dxa"/>
                  <w:vMerge w:val="continue"/>
                  <w:vAlign w:val="center"/>
                </w:tcPr>
                <w:p>
                  <w:pPr>
                    <w:ind w:left="-84" w:leftChars="-40" w:right="-84" w:rightChars="-40"/>
                    <w:jc w:val="center"/>
                    <w:rPr>
                      <w:szCs w:val="21"/>
                    </w:rPr>
                  </w:pPr>
                </w:p>
              </w:tc>
              <w:tc>
                <w:tcPr>
                  <w:tcW w:w="789" w:type="dxa"/>
                  <w:vAlign w:val="center"/>
                </w:tcPr>
                <w:p>
                  <w:pPr>
                    <w:ind w:left="-84" w:leftChars="-40" w:right="-84" w:rightChars="-40"/>
                    <w:jc w:val="center"/>
                    <w:rPr>
                      <w:szCs w:val="21"/>
                    </w:rPr>
                  </w:pPr>
                  <w:r>
                    <w:rPr>
                      <w:szCs w:val="21"/>
                    </w:rPr>
                    <w:t>总量t/a</w:t>
                  </w:r>
                </w:p>
              </w:tc>
              <w:tc>
                <w:tcPr>
                  <w:tcW w:w="912" w:type="dxa"/>
                  <w:vAlign w:val="center"/>
                </w:tcPr>
                <w:p>
                  <w:pPr>
                    <w:ind w:left="-84" w:leftChars="-40" w:right="-84" w:rightChars="-40"/>
                    <w:jc w:val="center"/>
                    <w:rPr>
                      <w:szCs w:val="21"/>
                    </w:rPr>
                  </w:pPr>
                  <w:r>
                    <w:rPr>
                      <w:szCs w:val="21"/>
                    </w:rPr>
                    <w:t>速率kg/h</w:t>
                  </w:r>
                </w:p>
              </w:tc>
              <w:tc>
                <w:tcPr>
                  <w:tcW w:w="505" w:type="dxa"/>
                  <w:vMerge w:val="continue"/>
                  <w:vAlign w:val="center"/>
                </w:tcPr>
                <w:p>
                  <w:pPr>
                    <w:ind w:left="-84" w:leftChars="-40" w:right="-84" w:rightChars="-40"/>
                    <w:jc w:val="center"/>
                    <w:rPr>
                      <w:szCs w:val="21"/>
                    </w:rPr>
                  </w:pPr>
                </w:p>
              </w:tc>
              <w:tc>
                <w:tcPr>
                  <w:tcW w:w="487" w:type="dxa"/>
                  <w:vMerge w:val="continue"/>
                  <w:vAlign w:val="center"/>
                </w:tcPr>
                <w:p>
                  <w:pPr>
                    <w:ind w:left="-84" w:leftChars="-40" w:right="-84" w:rightChars="-40"/>
                    <w:jc w:val="center"/>
                    <w:rPr>
                      <w:szCs w:val="21"/>
                    </w:rPr>
                  </w:pPr>
                </w:p>
              </w:tc>
              <w:tc>
                <w:tcPr>
                  <w:tcW w:w="851" w:type="dxa"/>
                  <w:vAlign w:val="center"/>
                </w:tcPr>
                <w:p>
                  <w:pPr>
                    <w:ind w:left="-84" w:leftChars="-40" w:right="-84" w:rightChars="-40"/>
                    <w:jc w:val="center"/>
                    <w:rPr>
                      <w:szCs w:val="21"/>
                    </w:rPr>
                  </w:pPr>
                  <w:r>
                    <w:rPr>
                      <w:szCs w:val="21"/>
                    </w:rPr>
                    <w:t>有组织排放量t/a</w:t>
                  </w:r>
                </w:p>
              </w:tc>
              <w:tc>
                <w:tcPr>
                  <w:tcW w:w="788" w:type="dxa"/>
                  <w:vAlign w:val="center"/>
                </w:tcPr>
                <w:p>
                  <w:pPr>
                    <w:ind w:left="-84" w:leftChars="-40" w:right="-84" w:rightChars="-40"/>
                    <w:jc w:val="center"/>
                    <w:rPr>
                      <w:szCs w:val="21"/>
                    </w:rPr>
                  </w:pPr>
                  <w:r>
                    <w:rPr>
                      <w:szCs w:val="21"/>
                    </w:rPr>
                    <w:t>无组织排放量t/a</w:t>
                  </w:r>
                </w:p>
              </w:tc>
              <w:tc>
                <w:tcPr>
                  <w:tcW w:w="851" w:type="dxa"/>
                  <w:vAlign w:val="center"/>
                </w:tcPr>
                <w:p>
                  <w:pPr>
                    <w:ind w:left="-84" w:leftChars="-40" w:right="-84" w:rightChars="-40"/>
                    <w:jc w:val="center"/>
                    <w:rPr>
                      <w:szCs w:val="21"/>
                    </w:rPr>
                  </w:pPr>
                  <w:r>
                    <w:rPr>
                      <w:szCs w:val="21"/>
                    </w:rPr>
                    <w:t>有组织排放浓度mg/m</w:t>
                  </w:r>
                  <w:r>
                    <w:rPr>
                      <w:szCs w:val="21"/>
                      <w:vertAlign w:val="superscript"/>
                    </w:rPr>
                    <w:t>3</w:t>
                  </w:r>
                </w:p>
              </w:tc>
              <w:tc>
                <w:tcPr>
                  <w:tcW w:w="850" w:type="dxa"/>
                  <w:vAlign w:val="center"/>
                </w:tcPr>
                <w:p>
                  <w:pPr>
                    <w:ind w:left="-84" w:leftChars="-40" w:right="-84" w:rightChars="-40"/>
                    <w:jc w:val="center"/>
                    <w:rPr>
                      <w:szCs w:val="21"/>
                    </w:rPr>
                  </w:pPr>
                  <w:r>
                    <w:rPr>
                      <w:szCs w:val="21"/>
                    </w:rPr>
                    <w:t>有组织</w:t>
                  </w:r>
                  <w:r>
                    <w:rPr>
                      <w:rFonts w:hint="eastAsia"/>
                      <w:szCs w:val="21"/>
                    </w:rPr>
                    <w:t>排放</w:t>
                  </w:r>
                  <w:r>
                    <w:rPr>
                      <w:szCs w:val="21"/>
                    </w:rPr>
                    <w:t>kg/h</w:t>
                  </w:r>
                </w:p>
              </w:tc>
              <w:tc>
                <w:tcPr>
                  <w:tcW w:w="817" w:type="dxa"/>
                  <w:vAlign w:val="center"/>
                </w:tcPr>
                <w:p>
                  <w:pPr>
                    <w:ind w:left="-84" w:leftChars="-40" w:right="-84" w:rightChars="-40"/>
                    <w:jc w:val="center"/>
                    <w:rPr>
                      <w:szCs w:val="21"/>
                    </w:rPr>
                  </w:pPr>
                  <w:r>
                    <w:rPr>
                      <w:szCs w:val="21"/>
                    </w:rPr>
                    <w:t>无组织</w:t>
                  </w:r>
                  <w:r>
                    <w:rPr>
                      <w:rFonts w:hint="eastAsia"/>
                      <w:szCs w:val="21"/>
                    </w:rPr>
                    <w:t>排放</w:t>
                  </w:r>
                  <w:r>
                    <w:rPr>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dxa"/>
                  <w:vAlign w:val="center"/>
                </w:tcPr>
                <w:p>
                  <w:pPr>
                    <w:ind w:left="-84" w:leftChars="-40" w:right="-84" w:rightChars="-40"/>
                    <w:jc w:val="center"/>
                    <w:rPr>
                      <w:szCs w:val="21"/>
                    </w:rPr>
                  </w:pPr>
                  <w:r>
                    <w:rPr>
                      <w:szCs w:val="21"/>
                    </w:rPr>
                    <w:t>非甲烷总烃</w:t>
                  </w:r>
                </w:p>
              </w:tc>
              <w:tc>
                <w:tcPr>
                  <w:tcW w:w="789" w:type="dxa"/>
                  <w:vAlign w:val="center"/>
                </w:tcPr>
                <w:p>
                  <w:pPr>
                    <w:ind w:left="-84" w:leftChars="-40" w:right="-84" w:rightChars="-40"/>
                    <w:jc w:val="center"/>
                    <w:rPr>
                      <w:szCs w:val="21"/>
                    </w:rPr>
                  </w:pPr>
                  <w:r>
                    <w:rPr>
                      <w:szCs w:val="21"/>
                    </w:rPr>
                    <w:t>0.27</w:t>
                  </w:r>
                </w:p>
              </w:tc>
              <w:tc>
                <w:tcPr>
                  <w:tcW w:w="912" w:type="dxa"/>
                  <w:vAlign w:val="center"/>
                </w:tcPr>
                <w:p>
                  <w:pPr>
                    <w:ind w:left="-84" w:leftChars="-40" w:right="-84" w:rightChars="-40"/>
                    <w:jc w:val="center"/>
                    <w:rPr>
                      <w:szCs w:val="21"/>
                    </w:rPr>
                  </w:pPr>
                  <w:r>
                    <w:rPr>
                      <w:szCs w:val="21"/>
                    </w:rPr>
                    <w:t>0.3</w:t>
                  </w:r>
                </w:p>
              </w:tc>
              <w:tc>
                <w:tcPr>
                  <w:tcW w:w="505" w:type="dxa"/>
                  <w:vMerge w:val="restart"/>
                  <w:vAlign w:val="center"/>
                </w:tcPr>
                <w:p>
                  <w:pPr>
                    <w:ind w:left="-84" w:leftChars="-40" w:right="-84" w:rightChars="-40"/>
                    <w:jc w:val="center"/>
                    <w:rPr>
                      <w:szCs w:val="21"/>
                    </w:rPr>
                  </w:pPr>
                  <w:r>
                    <w:rPr>
                      <w:szCs w:val="21"/>
                    </w:rPr>
                    <w:t>65%</w:t>
                  </w:r>
                </w:p>
              </w:tc>
              <w:tc>
                <w:tcPr>
                  <w:tcW w:w="487" w:type="dxa"/>
                  <w:vMerge w:val="restart"/>
                  <w:vAlign w:val="center"/>
                </w:tcPr>
                <w:p>
                  <w:pPr>
                    <w:ind w:left="-84" w:leftChars="-40" w:right="-84" w:rightChars="-40"/>
                    <w:jc w:val="center"/>
                    <w:rPr>
                      <w:szCs w:val="21"/>
                    </w:rPr>
                  </w:pPr>
                  <w:r>
                    <w:rPr>
                      <w:szCs w:val="21"/>
                    </w:rPr>
                    <w:t>连续</w:t>
                  </w:r>
                </w:p>
                <w:p>
                  <w:pPr>
                    <w:ind w:left="-84" w:leftChars="-40" w:right="-84" w:rightChars="-40"/>
                    <w:jc w:val="center"/>
                    <w:rPr>
                      <w:szCs w:val="21"/>
                    </w:rPr>
                  </w:pPr>
                  <w:r>
                    <w:rPr>
                      <w:szCs w:val="21"/>
                    </w:rPr>
                    <w:t>排放</w:t>
                  </w:r>
                </w:p>
              </w:tc>
              <w:tc>
                <w:tcPr>
                  <w:tcW w:w="851" w:type="dxa"/>
                  <w:vAlign w:val="center"/>
                </w:tcPr>
                <w:p>
                  <w:pPr>
                    <w:ind w:left="-84" w:leftChars="-40" w:right="-84" w:rightChars="-40"/>
                    <w:jc w:val="center"/>
                    <w:rPr>
                      <w:szCs w:val="21"/>
                    </w:rPr>
                  </w:pPr>
                  <w:r>
                    <w:rPr>
                      <w:szCs w:val="21"/>
                    </w:rPr>
                    <w:t>0.053</w:t>
                  </w:r>
                </w:p>
              </w:tc>
              <w:tc>
                <w:tcPr>
                  <w:tcW w:w="788" w:type="dxa"/>
                  <w:vAlign w:val="center"/>
                </w:tcPr>
                <w:p>
                  <w:pPr>
                    <w:ind w:left="-84" w:leftChars="-40" w:right="-84" w:rightChars="-40"/>
                    <w:jc w:val="center"/>
                    <w:rPr>
                      <w:szCs w:val="21"/>
                    </w:rPr>
                  </w:pPr>
                  <w:r>
                    <w:rPr>
                      <w:rFonts w:hint="eastAsia"/>
                      <w:szCs w:val="21"/>
                    </w:rPr>
                    <w:t>0.0665</w:t>
                  </w:r>
                </w:p>
              </w:tc>
              <w:tc>
                <w:tcPr>
                  <w:tcW w:w="851" w:type="dxa"/>
                  <w:vAlign w:val="center"/>
                </w:tcPr>
                <w:p>
                  <w:pPr>
                    <w:ind w:left="-84" w:leftChars="-40" w:right="-84" w:rightChars="-40"/>
                    <w:jc w:val="center"/>
                    <w:rPr>
                      <w:szCs w:val="21"/>
                    </w:rPr>
                  </w:pPr>
                  <w:r>
                    <w:rPr>
                      <w:szCs w:val="21"/>
                    </w:rPr>
                    <w:t>0.734</w:t>
                  </w:r>
                </w:p>
              </w:tc>
              <w:tc>
                <w:tcPr>
                  <w:tcW w:w="850" w:type="dxa"/>
                  <w:vAlign w:val="center"/>
                </w:tcPr>
                <w:p>
                  <w:pPr>
                    <w:ind w:left="-84" w:leftChars="-40" w:right="-84" w:rightChars="-40"/>
                    <w:jc w:val="center"/>
                    <w:rPr>
                      <w:szCs w:val="21"/>
                    </w:rPr>
                  </w:pPr>
                  <w:r>
                    <w:rPr>
                      <w:szCs w:val="21"/>
                    </w:rPr>
                    <w:t>0.059</w:t>
                  </w:r>
                </w:p>
              </w:tc>
              <w:tc>
                <w:tcPr>
                  <w:tcW w:w="817" w:type="dxa"/>
                  <w:vAlign w:val="center"/>
                </w:tcPr>
                <w:p>
                  <w:pPr>
                    <w:ind w:left="-84" w:leftChars="-40" w:right="-84" w:rightChars="-40"/>
                    <w:jc w:val="center"/>
                    <w:rPr>
                      <w:szCs w:val="21"/>
                    </w:rPr>
                  </w:pPr>
                  <w:r>
                    <w:rPr>
                      <w:rFonts w:hint="eastAsia"/>
                      <w:szCs w:val="21"/>
                    </w:rPr>
                    <w:t>0.0735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dxa"/>
                  <w:vAlign w:val="center"/>
                </w:tcPr>
                <w:p>
                  <w:pPr>
                    <w:ind w:left="-84" w:leftChars="-40" w:right="-84" w:rightChars="-40"/>
                    <w:jc w:val="center"/>
                    <w:rPr>
                      <w:szCs w:val="21"/>
                    </w:rPr>
                  </w:pPr>
                  <w:r>
                    <w:rPr>
                      <w:szCs w:val="21"/>
                    </w:rPr>
                    <w:t>甲苯</w:t>
                  </w:r>
                </w:p>
              </w:tc>
              <w:tc>
                <w:tcPr>
                  <w:tcW w:w="789" w:type="dxa"/>
                  <w:vAlign w:val="center"/>
                </w:tcPr>
                <w:p>
                  <w:pPr>
                    <w:ind w:left="-84" w:leftChars="-40" w:right="-84" w:rightChars="-40"/>
                    <w:jc w:val="center"/>
                    <w:rPr>
                      <w:szCs w:val="21"/>
                    </w:rPr>
                  </w:pPr>
                  <w:r>
                    <w:rPr>
                      <w:szCs w:val="21"/>
                    </w:rPr>
                    <w:t>0.018</w:t>
                  </w:r>
                </w:p>
              </w:tc>
              <w:tc>
                <w:tcPr>
                  <w:tcW w:w="912" w:type="dxa"/>
                  <w:vAlign w:val="center"/>
                </w:tcPr>
                <w:p>
                  <w:pPr>
                    <w:ind w:left="-84" w:leftChars="-40" w:right="-84" w:rightChars="-40"/>
                    <w:jc w:val="center"/>
                    <w:rPr>
                      <w:szCs w:val="21"/>
                    </w:rPr>
                  </w:pPr>
                  <w:r>
                    <w:rPr>
                      <w:szCs w:val="21"/>
                    </w:rPr>
                    <w:t>0.02</w:t>
                  </w:r>
                </w:p>
              </w:tc>
              <w:tc>
                <w:tcPr>
                  <w:tcW w:w="505" w:type="dxa"/>
                  <w:vMerge w:val="continue"/>
                  <w:vAlign w:val="center"/>
                </w:tcPr>
                <w:p>
                  <w:pPr>
                    <w:ind w:left="-84" w:leftChars="-40" w:right="-84" w:rightChars="-40"/>
                    <w:jc w:val="center"/>
                    <w:rPr>
                      <w:szCs w:val="21"/>
                    </w:rPr>
                  </w:pPr>
                </w:p>
              </w:tc>
              <w:tc>
                <w:tcPr>
                  <w:tcW w:w="487" w:type="dxa"/>
                  <w:vMerge w:val="continue"/>
                  <w:vAlign w:val="center"/>
                </w:tcPr>
                <w:p>
                  <w:pPr>
                    <w:ind w:left="-84" w:leftChars="-40" w:right="-84" w:rightChars="-40"/>
                    <w:jc w:val="center"/>
                    <w:rPr>
                      <w:szCs w:val="21"/>
                    </w:rPr>
                  </w:pPr>
                </w:p>
              </w:tc>
              <w:tc>
                <w:tcPr>
                  <w:tcW w:w="851" w:type="dxa"/>
                  <w:vAlign w:val="center"/>
                </w:tcPr>
                <w:p>
                  <w:pPr>
                    <w:ind w:left="-84" w:leftChars="-40" w:right="-84" w:rightChars="-40"/>
                    <w:jc w:val="center"/>
                    <w:rPr>
                      <w:szCs w:val="21"/>
                    </w:rPr>
                  </w:pPr>
                  <w:r>
                    <w:rPr>
                      <w:szCs w:val="21"/>
                    </w:rPr>
                    <w:t>0.0035</w:t>
                  </w:r>
                </w:p>
              </w:tc>
              <w:tc>
                <w:tcPr>
                  <w:tcW w:w="788" w:type="dxa"/>
                  <w:vAlign w:val="center"/>
                </w:tcPr>
                <w:p>
                  <w:pPr>
                    <w:ind w:left="-84" w:leftChars="-40" w:right="-84" w:rightChars="-40"/>
                    <w:jc w:val="center"/>
                    <w:rPr>
                      <w:szCs w:val="21"/>
                    </w:rPr>
                  </w:pPr>
                  <w:r>
                    <w:rPr>
                      <w:rFonts w:hint="eastAsia"/>
                      <w:szCs w:val="21"/>
                    </w:rPr>
                    <w:t>0.0042</w:t>
                  </w:r>
                </w:p>
              </w:tc>
              <w:tc>
                <w:tcPr>
                  <w:tcW w:w="851" w:type="dxa"/>
                  <w:vAlign w:val="center"/>
                </w:tcPr>
                <w:p>
                  <w:pPr>
                    <w:ind w:left="-84" w:leftChars="-40" w:right="-84" w:rightChars="-40"/>
                    <w:jc w:val="center"/>
                    <w:rPr>
                      <w:szCs w:val="21"/>
                    </w:rPr>
                  </w:pPr>
                  <w:r>
                    <w:rPr>
                      <w:szCs w:val="21"/>
                    </w:rPr>
                    <w:t>0.048</w:t>
                  </w:r>
                </w:p>
              </w:tc>
              <w:tc>
                <w:tcPr>
                  <w:tcW w:w="850" w:type="dxa"/>
                  <w:vAlign w:val="center"/>
                </w:tcPr>
                <w:p>
                  <w:pPr>
                    <w:ind w:left="-84" w:leftChars="-40" w:right="-84" w:rightChars="-40"/>
                    <w:jc w:val="center"/>
                    <w:rPr>
                      <w:szCs w:val="21"/>
                    </w:rPr>
                  </w:pPr>
                  <w:r>
                    <w:rPr>
                      <w:szCs w:val="21"/>
                    </w:rPr>
                    <w:t>0.0039</w:t>
                  </w:r>
                </w:p>
              </w:tc>
              <w:tc>
                <w:tcPr>
                  <w:tcW w:w="817" w:type="dxa"/>
                  <w:vAlign w:val="center"/>
                </w:tcPr>
                <w:p>
                  <w:pPr>
                    <w:ind w:left="-84" w:leftChars="-40" w:right="-84" w:rightChars="-40"/>
                    <w:jc w:val="center"/>
                    <w:rPr>
                      <w:szCs w:val="21"/>
                    </w:rPr>
                  </w:pPr>
                  <w:r>
                    <w:rPr>
                      <w:rFonts w:hint="eastAsia"/>
                      <w:szCs w:val="21"/>
                    </w:rPr>
                    <w:t>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dxa"/>
                  <w:vAlign w:val="center"/>
                </w:tcPr>
                <w:p>
                  <w:pPr>
                    <w:ind w:left="-84" w:leftChars="-40" w:right="-84" w:rightChars="-40"/>
                    <w:jc w:val="center"/>
                    <w:rPr>
                      <w:szCs w:val="21"/>
                    </w:rPr>
                  </w:pPr>
                  <w:r>
                    <w:rPr>
                      <w:szCs w:val="21"/>
                    </w:rPr>
                    <w:t>二氯甲烷</w:t>
                  </w:r>
                </w:p>
              </w:tc>
              <w:tc>
                <w:tcPr>
                  <w:tcW w:w="789" w:type="dxa"/>
                  <w:vAlign w:val="center"/>
                </w:tcPr>
                <w:p>
                  <w:pPr>
                    <w:ind w:left="-84" w:leftChars="-40" w:right="-84" w:rightChars="-40"/>
                    <w:jc w:val="center"/>
                    <w:rPr>
                      <w:szCs w:val="21"/>
                    </w:rPr>
                  </w:pPr>
                  <w:r>
                    <w:rPr>
                      <w:szCs w:val="21"/>
                    </w:rPr>
                    <w:t>0.2</w:t>
                  </w:r>
                </w:p>
              </w:tc>
              <w:tc>
                <w:tcPr>
                  <w:tcW w:w="912" w:type="dxa"/>
                  <w:vAlign w:val="center"/>
                </w:tcPr>
                <w:p>
                  <w:pPr>
                    <w:ind w:left="-84" w:leftChars="-40" w:right="-84" w:rightChars="-40"/>
                    <w:jc w:val="center"/>
                    <w:rPr>
                      <w:szCs w:val="21"/>
                    </w:rPr>
                  </w:pPr>
                  <w:r>
                    <w:rPr>
                      <w:szCs w:val="21"/>
                    </w:rPr>
                    <w:t>0.22</w:t>
                  </w:r>
                </w:p>
              </w:tc>
              <w:tc>
                <w:tcPr>
                  <w:tcW w:w="505" w:type="dxa"/>
                  <w:vMerge w:val="continue"/>
                  <w:vAlign w:val="center"/>
                </w:tcPr>
                <w:p>
                  <w:pPr>
                    <w:ind w:left="-84" w:leftChars="-40" w:right="-84" w:rightChars="-40"/>
                    <w:jc w:val="center"/>
                    <w:rPr>
                      <w:szCs w:val="21"/>
                    </w:rPr>
                  </w:pPr>
                </w:p>
              </w:tc>
              <w:tc>
                <w:tcPr>
                  <w:tcW w:w="487" w:type="dxa"/>
                  <w:vMerge w:val="continue"/>
                  <w:vAlign w:val="center"/>
                </w:tcPr>
                <w:p>
                  <w:pPr>
                    <w:ind w:left="-84" w:leftChars="-40" w:right="-84" w:rightChars="-40"/>
                    <w:jc w:val="center"/>
                    <w:rPr>
                      <w:szCs w:val="21"/>
                    </w:rPr>
                  </w:pPr>
                </w:p>
              </w:tc>
              <w:tc>
                <w:tcPr>
                  <w:tcW w:w="851" w:type="dxa"/>
                  <w:vAlign w:val="center"/>
                </w:tcPr>
                <w:p>
                  <w:pPr>
                    <w:ind w:left="-84" w:leftChars="-40" w:right="-84" w:rightChars="-40"/>
                    <w:jc w:val="center"/>
                    <w:rPr>
                      <w:szCs w:val="21"/>
                    </w:rPr>
                  </w:pPr>
                  <w:r>
                    <w:rPr>
                      <w:szCs w:val="21"/>
                    </w:rPr>
                    <w:t>0.039</w:t>
                  </w:r>
                </w:p>
              </w:tc>
              <w:tc>
                <w:tcPr>
                  <w:tcW w:w="788" w:type="dxa"/>
                  <w:vAlign w:val="center"/>
                </w:tcPr>
                <w:p>
                  <w:pPr>
                    <w:ind w:left="-84" w:leftChars="-40" w:right="-84" w:rightChars="-40"/>
                    <w:jc w:val="center"/>
                    <w:rPr>
                      <w:szCs w:val="21"/>
                    </w:rPr>
                  </w:pPr>
                  <w:r>
                    <w:rPr>
                      <w:rFonts w:hint="eastAsia"/>
                      <w:szCs w:val="21"/>
                    </w:rPr>
                    <w:t>0.0490</w:t>
                  </w:r>
                </w:p>
              </w:tc>
              <w:tc>
                <w:tcPr>
                  <w:tcW w:w="851" w:type="dxa"/>
                  <w:vAlign w:val="center"/>
                </w:tcPr>
                <w:p>
                  <w:pPr>
                    <w:ind w:left="-84" w:leftChars="-40" w:right="-84" w:rightChars="-40"/>
                    <w:jc w:val="center"/>
                    <w:rPr>
                      <w:szCs w:val="21"/>
                    </w:rPr>
                  </w:pPr>
                  <w:r>
                    <w:rPr>
                      <w:szCs w:val="21"/>
                    </w:rPr>
                    <w:t>0.542</w:t>
                  </w:r>
                </w:p>
              </w:tc>
              <w:tc>
                <w:tcPr>
                  <w:tcW w:w="850" w:type="dxa"/>
                  <w:vAlign w:val="center"/>
                </w:tcPr>
                <w:p>
                  <w:pPr>
                    <w:ind w:left="-84" w:leftChars="-40" w:right="-84" w:rightChars="-40"/>
                    <w:jc w:val="center"/>
                    <w:rPr>
                      <w:szCs w:val="21"/>
                    </w:rPr>
                  </w:pPr>
                  <w:r>
                    <w:rPr>
                      <w:szCs w:val="21"/>
                    </w:rPr>
                    <w:t>0.043</w:t>
                  </w:r>
                </w:p>
              </w:tc>
              <w:tc>
                <w:tcPr>
                  <w:tcW w:w="817" w:type="dxa"/>
                  <w:vAlign w:val="center"/>
                </w:tcPr>
                <w:p>
                  <w:pPr>
                    <w:ind w:left="-84" w:leftChars="-40" w:right="-84" w:rightChars="-40"/>
                    <w:jc w:val="center"/>
                    <w:rPr>
                      <w:szCs w:val="21"/>
                    </w:rPr>
                  </w:pPr>
                  <w:r>
                    <w:rPr>
                      <w:rFonts w:hint="eastAsia"/>
                      <w:szCs w:val="21"/>
                    </w:rPr>
                    <w:t>0.0539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dxa"/>
                  <w:vAlign w:val="center"/>
                </w:tcPr>
                <w:p>
                  <w:pPr>
                    <w:ind w:left="-84" w:leftChars="-40" w:right="-84" w:rightChars="-40"/>
                    <w:jc w:val="center"/>
                    <w:rPr>
                      <w:szCs w:val="21"/>
                    </w:rPr>
                  </w:pPr>
                  <w:r>
                    <w:rPr>
                      <w:szCs w:val="21"/>
                    </w:rPr>
                    <w:t>硫酸雾</w:t>
                  </w:r>
                </w:p>
              </w:tc>
              <w:tc>
                <w:tcPr>
                  <w:tcW w:w="789" w:type="dxa"/>
                  <w:vAlign w:val="center"/>
                </w:tcPr>
                <w:p>
                  <w:pPr>
                    <w:ind w:left="-84" w:leftChars="-40" w:right="-84" w:rightChars="-40"/>
                    <w:jc w:val="center"/>
                    <w:rPr>
                      <w:szCs w:val="21"/>
                    </w:rPr>
                  </w:pPr>
                  <w:r>
                    <w:rPr>
                      <w:szCs w:val="21"/>
                    </w:rPr>
                    <w:t>0.009</w:t>
                  </w:r>
                </w:p>
              </w:tc>
              <w:tc>
                <w:tcPr>
                  <w:tcW w:w="912" w:type="dxa"/>
                  <w:vAlign w:val="center"/>
                </w:tcPr>
                <w:p>
                  <w:pPr>
                    <w:ind w:left="-84" w:leftChars="-40" w:right="-84" w:rightChars="-40"/>
                    <w:jc w:val="center"/>
                    <w:rPr>
                      <w:szCs w:val="21"/>
                    </w:rPr>
                  </w:pPr>
                  <w:r>
                    <w:rPr>
                      <w:szCs w:val="21"/>
                    </w:rPr>
                    <w:t>0.0075</w:t>
                  </w:r>
                </w:p>
              </w:tc>
              <w:tc>
                <w:tcPr>
                  <w:tcW w:w="505" w:type="dxa"/>
                  <w:vMerge w:val="continue"/>
                  <w:vAlign w:val="center"/>
                </w:tcPr>
                <w:p>
                  <w:pPr>
                    <w:ind w:left="-84" w:leftChars="-40" w:right="-84" w:rightChars="-40"/>
                    <w:jc w:val="center"/>
                    <w:rPr>
                      <w:szCs w:val="21"/>
                    </w:rPr>
                  </w:pPr>
                </w:p>
              </w:tc>
              <w:tc>
                <w:tcPr>
                  <w:tcW w:w="487" w:type="dxa"/>
                  <w:vMerge w:val="continue"/>
                  <w:vAlign w:val="center"/>
                </w:tcPr>
                <w:p>
                  <w:pPr>
                    <w:ind w:left="-84" w:leftChars="-40" w:right="-84" w:rightChars="-40"/>
                    <w:jc w:val="center"/>
                    <w:rPr>
                      <w:szCs w:val="21"/>
                    </w:rPr>
                  </w:pPr>
                </w:p>
              </w:tc>
              <w:tc>
                <w:tcPr>
                  <w:tcW w:w="851" w:type="dxa"/>
                  <w:vAlign w:val="center"/>
                </w:tcPr>
                <w:p>
                  <w:pPr>
                    <w:ind w:left="-84" w:leftChars="-40" w:right="-84" w:rightChars="-40"/>
                    <w:jc w:val="center"/>
                    <w:rPr>
                      <w:szCs w:val="21"/>
                    </w:rPr>
                  </w:pPr>
                  <w:r>
                    <w:rPr>
                      <w:szCs w:val="21"/>
                    </w:rPr>
                    <w:t>0.0006</w:t>
                  </w:r>
                </w:p>
              </w:tc>
              <w:tc>
                <w:tcPr>
                  <w:tcW w:w="788" w:type="dxa"/>
                  <w:vAlign w:val="center"/>
                </w:tcPr>
                <w:p>
                  <w:pPr>
                    <w:ind w:left="-84" w:leftChars="-40" w:right="-84" w:rightChars="-40"/>
                    <w:jc w:val="center"/>
                    <w:rPr>
                      <w:szCs w:val="21"/>
                    </w:rPr>
                  </w:pPr>
                  <w:r>
                    <w:rPr>
                      <w:rFonts w:hint="eastAsia"/>
                      <w:szCs w:val="21"/>
                    </w:rPr>
                    <w:t>0.0002</w:t>
                  </w:r>
                </w:p>
              </w:tc>
              <w:tc>
                <w:tcPr>
                  <w:tcW w:w="851" w:type="dxa"/>
                  <w:vAlign w:val="center"/>
                </w:tcPr>
                <w:p>
                  <w:pPr>
                    <w:ind w:left="-84" w:leftChars="-40" w:right="-84" w:rightChars="-40"/>
                    <w:jc w:val="center"/>
                    <w:rPr>
                      <w:szCs w:val="21"/>
                    </w:rPr>
                  </w:pPr>
                  <w:r>
                    <w:rPr>
                      <w:szCs w:val="21"/>
                    </w:rPr>
                    <w:t>0.00623</w:t>
                  </w:r>
                </w:p>
              </w:tc>
              <w:tc>
                <w:tcPr>
                  <w:tcW w:w="850" w:type="dxa"/>
                  <w:vAlign w:val="center"/>
                </w:tcPr>
                <w:p>
                  <w:pPr>
                    <w:ind w:left="-84" w:leftChars="-40" w:right="-84" w:rightChars="-40"/>
                    <w:jc w:val="center"/>
                    <w:rPr>
                      <w:szCs w:val="21"/>
                    </w:rPr>
                  </w:pPr>
                  <w:r>
                    <w:rPr>
                      <w:szCs w:val="21"/>
                    </w:rPr>
                    <w:t>0.0005</w:t>
                  </w:r>
                </w:p>
              </w:tc>
              <w:tc>
                <w:tcPr>
                  <w:tcW w:w="817" w:type="dxa"/>
                  <w:vAlign w:val="center"/>
                </w:tcPr>
                <w:p>
                  <w:pPr>
                    <w:ind w:left="-84" w:leftChars="-40" w:right="-84" w:rightChars="-40"/>
                    <w:jc w:val="center"/>
                    <w:rPr>
                      <w:szCs w:val="21"/>
                    </w:rPr>
                  </w:pPr>
                  <w:r>
                    <w:rPr>
                      <w:rFonts w:hint="eastAsia"/>
                      <w:szCs w:val="21"/>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dxa"/>
                  <w:vAlign w:val="center"/>
                </w:tcPr>
                <w:p>
                  <w:pPr>
                    <w:ind w:left="-84" w:leftChars="-40" w:right="-84" w:rightChars="-40"/>
                    <w:jc w:val="center"/>
                    <w:rPr>
                      <w:szCs w:val="21"/>
                    </w:rPr>
                  </w:pPr>
                  <w:r>
                    <w:rPr>
                      <w:szCs w:val="21"/>
                    </w:rPr>
                    <w:t>氯化氢</w:t>
                  </w:r>
                </w:p>
              </w:tc>
              <w:tc>
                <w:tcPr>
                  <w:tcW w:w="789" w:type="dxa"/>
                  <w:vAlign w:val="center"/>
                </w:tcPr>
                <w:p>
                  <w:pPr>
                    <w:ind w:left="-84" w:leftChars="-40" w:right="-84" w:rightChars="-40"/>
                    <w:jc w:val="center"/>
                    <w:rPr>
                      <w:szCs w:val="21"/>
                    </w:rPr>
                  </w:pPr>
                  <w:r>
                    <w:rPr>
                      <w:szCs w:val="21"/>
                    </w:rPr>
                    <w:t>0.03</w:t>
                  </w:r>
                </w:p>
              </w:tc>
              <w:tc>
                <w:tcPr>
                  <w:tcW w:w="912" w:type="dxa"/>
                  <w:vAlign w:val="center"/>
                </w:tcPr>
                <w:p>
                  <w:pPr>
                    <w:ind w:left="-84" w:leftChars="-40" w:right="-84" w:rightChars="-40"/>
                    <w:jc w:val="center"/>
                    <w:rPr>
                      <w:szCs w:val="21"/>
                    </w:rPr>
                  </w:pPr>
                  <w:r>
                    <w:rPr>
                      <w:szCs w:val="21"/>
                    </w:rPr>
                    <w:t>0.025</w:t>
                  </w:r>
                </w:p>
              </w:tc>
              <w:tc>
                <w:tcPr>
                  <w:tcW w:w="505" w:type="dxa"/>
                  <w:vMerge w:val="continue"/>
                  <w:vAlign w:val="center"/>
                </w:tcPr>
                <w:p>
                  <w:pPr>
                    <w:ind w:left="-84" w:leftChars="-40" w:right="-84" w:rightChars="-40"/>
                    <w:jc w:val="center"/>
                    <w:rPr>
                      <w:szCs w:val="21"/>
                    </w:rPr>
                  </w:pPr>
                </w:p>
              </w:tc>
              <w:tc>
                <w:tcPr>
                  <w:tcW w:w="487" w:type="dxa"/>
                  <w:vMerge w:val="continue"/>
                  <w:vAlign w:val="center"/>
                </w:tcPr>
                <w:p>
                  <w:pPr>
                    <w:ind w:left="-84" w:leftChars="-40" w:right="-84" w:rightChars="-40"/>
                    <w:jc w:val="center"/>
                    <w:rPr>
                      <w:szCs w:val="21"/>
                    </w:rPr>
                  </w:pPr>
                </w:p>
              </w:tc>
              <w:tc>
                <w:tcPr>
                  <w:tcW w:w="851" w:type="dxa"/>
                  <w:vAlign w:val="center"/>
                </w:tcPr>
                <w:p>
                  <w:pPr>
                    <w:ind w:left="-84" w:leftChars="-40" w:right="-84" w:rightChars="-40"/>
                    <w:jc w:val="center"/>
                    <w:rPr>
                      <w:szCs w:val="21"/>
                    </w:rPr>
                  </w:pPr>
                  <w:r>
                    <w:rPr>
                      <w:szCs w:val="21"/>
                    </w:rPr>
                    <w:t>0.0039</w:t>
                  </w:r>
                </w:p>
              </w:tc>
              <w:tc>
                <w:tcPr>
                  <w:tcW w:w="788" w:type="dxa"/>
                  <w:vAlign w:val="center"/>
                </w:tcPr>
                <w:p>
                  <w:pPr>
                    <w:ind w:left="-84" w:leftChars="-40" w:right="-84" w:rightChars="-40"/>
                    <w:jc w:val="center"/>
                    <w:rPr>
                      <w:szCs w:val="21"/>
                    </w:rPr>
                  </w:pPr>
                  <w:r>
                    <w:rPr>
                      <w:rFonts w:hint="eastAsia"/>
                      <w:szCs w:val="21"/>
                    </w:rPr>
                    <w:t>0.0015</w:t>
                  </w:r>
                </w:p>
              </w:tc>
              <w:tc>
                <w:tcPr>
                  <w:tcW w:w="851" w:type="dxa"/>
                  <w:vAlign w:val="center"/>
                </w:tcPr>
                <w:p>
                  <w:pPr>
                    <w:ind w:left="-84" w:leftChars="-40" w:right="-84" w:rightChars="-40"/>
                    <w:jc w:val="center"/>
                    <w:rPr>
                      <w:szCs w:val="21"/>
                    </w:rPr>
                  </w:pPr>
                  <w:r>
                    <w:rPr>
                      <w:szCs w:val="21"/>
                    </w:rPr>
                    <w:t>0.0406</w:t>
                  </w:r>
                </w:p>
              </w:tc>
              <w:tc>
                <w:tcPr>
                  <w:tcW w:w="850" w:type="dxa"/>
                  <w:vAlign w:val="center"/>
                </w:tcPr>
                <w:p>
                  <w:pPr>
                    <w:ind w:left="-84" w:leftChars="-40" w:right="-84" w:rightChars="-40"/>
                    <w:jc w:val="center"/>
                    <w:rPr>
                      <w:szCs w:val="21"/>
                    </w:rPr>
                  </w:pPr>
                  <w:r>
                    <w:rPr>
                      <w:szCs w:val="21"/>
                    </w:rPr>
                    <w:t>0.00325</w:t>
                  </w:r>
                </w:p>
              </w:tc>
              <w:tc>
                <w:tcPr>
                  <w:tcW w:w="817" w:type="dxa"/>
                  <w:vAlign w:val="center"/>
                </w:tcPr>
                <w:p>
                  <w:pPr>
                    <w:ind w:left="-84" w:leftChars="-40" w:right="-84" w:rightChars="-40"/>
                    <w:jc w:val="center"/>
                    <w:rPr>
                      <w:szCs w:val="21"/>
                    </w:rPr>
                  </w:pPr>
                  <w:r>
                    <w:rPr>
                      <w:rFonts w:hint="eastAsia"/>
                      <w:szCs w:val="21"/>
                    </w:rPr>
                    <w:t>0.0012</w:t>
                  </w:r>
                </w:p>
              </w:tc>
            </w:tr>
          </w:tbl>
          <w:p>
            <w:pPr>
              <w:widowControl/>
              <w:spacing w:before="120" w:beforeLines="50" w:line="360" w:lineRule="auto"/>
              <w:ind w:firstLine="480" w:firstLineChars="200"/>
              <w:rPr>
                <w:sz w:val="24"/>
                <w:szCs w:val="32"/>
              </w:rPr>
            </w:pPr>
            <w:r>
              <w:rPr>
                <w:sz w:val="24"/>
                <w:szCs w:val="32"/>
              </w:rPr>
              <w:t>在采取上述环保措施后，本项目废气均能做到达标排放，对周围环境影响较小。</w:t>
            </w:r>
          </w:p>
          <w:p>
            <w:pPr>
              <w:pStyle w:val="31"/>
              <w:autoSpaceDE/>
              <w:autoSpaceDN/>
              <w:adjustRightInd/>
              <w:ind w:firstLine="480" w:firstLineChars="200"/>
              <w:jc w:val="both"/>
              <w:rPr>
                <w:rFonts w:ascii="Times New Roman" w:cs="Times New Roman"/>
                <w:color w:val="auto"/>
              </w:rPr>
            </w:pPr>
            <w:r>
              <w:rPr>
                <w:rFonts w:ascii="Times New Roman" w:cs="Times New Roman"/>
                <w:color w:val="auto"/>
              </w:rPr>
              <w:t>2、废气防治措施可行性及达标分析</w:t>
            </w:r>
          </w:p>
          <w:p>
            <w:pPr>
              <w:adjustRightInd w:val="0"/>
              <w:snapToGrid w:val="0"/>
              <w:spacing w:line="360" w:lineRule="auto"/>
              <w:ind w:firstLine="496" w:firstLineChars="200"/>
              <w:outlineLvl w:val="0"/>
              <w:rPr>
                <w:sz w:val="24"/>
              </w:rPr>
            </w:pPr>
            <w:r>
              <w:rPr>
                <w:spacing w:val="4"/>
                <w:sz w:val="24"/>
              </w:rPr>
              <w:t>本项目运营期</w:t>
            </w:r>
            <w:r>
              <w:rPr>
                <w:sz w:val="24"/>
              </w:rPr>
              <w:t>实验研发过程中产生的非甲烷总烃、二氯甲烷</w:t>
            </w:r>
            <w:r>
              <w:rPr>
                <w:rFonts w:hint="eastAsia"/>
                <w:sz w:val="24"/>
              </w:rPr>
              <w:t>、</w:t>
            </w:r>
            <w:r>
              <w:rPr>
                <w:sz w:val="24"/>
              </w:rPr>
              <w:t>甲苯</w:t>
            </w:r>
            <w:r>
              <w:rPr>
                <w:rFonts w:hint="eastAsia"/>
                <w:sz w:val="24"/>
              </w:rPr>
              <w:t>、</w:t>
            </w:r>
            <w:r>
              <w:rPr>
                <w:sz w:val="24"/>
              </w:rPr>
              <w:t>硫酸雾、氯化氢通过通风橱收集，采用活性炭吸附装置进行处理，处理后引至楼顶排气筒（排气筒高度离地面15m）排放，</w:t>
            </w:r>
            <w:r>
              <w:rPr>
                <w:spacing w:val="4"/>
                <w:sz w:val="24"/>
              </w:rPr>
              <w:t>活性炭吸附装置为《排污许可证申请与核发技术规范 总则（HJ942-2018）》中的可行技术</w:t>
            </w:r>
            <w:r>
              <w:rPr>
                <w:sz w:val="24"/>
              </w:rPr>
              <w:t>。</w:t>
            </w:r>
          </w:p>
          <w:p>
            <w:pPr>
              <w:adjustRightInd w:val="0"/>
              <w:snapToGrid w:val="0"/>
              <w:spacing w:line="360" w:lineRule="auto"/>
              <w:ind w:firstLine="480" w:firstLineChars="200"/>
              <w:outlineLvl w:val="0"/>
              <w:rPr>
                <w:sz w:val="24"/>
              </w:rPr>
            </w:pPr>
            <w:r>
              <w:rPr>
                <w:sz w:val="24"/>
              </w:rPr>
              <w:t>经计算可知，非甲烷总烃</w:t>
            </w:r>
            <w:r>
              <w:rPr>
                <w:rFonts w:hint="eastAsia"/>
                <w:sz w:val="24"/>
              </w:rPr>
              <w:t>、</w:t>
            </w:r>
            <w:r>
              <w:rPr>
                <w:sz w:val="24"/>
              </w:rPr>
              <w:t>甲苯、二氯甲烷、硫酸雾</w:t>
            </w:r>
            <w:r>
              <w:rPr>
                <w:rFonts w:hint="eastAsia"/>
                <w:sz w:val="24"/>
              </w:rPr>
              <w:t>及</w:t>
            </w:r>
            <w:r>
              <w:rPr>
                <w:sz w:val="24"/>
              </w:rPr>
              <w:t>氯化氢排放浓度满足《大气污染物综合排放标准》（GB16297-1996）表2中的排放浓度限值要求，处理措施可行。根据《大气污染物综合排放标准》（GB16297-1996）7.1“排气筒高度高出周围200m半径范围的建筑5 m以上，不能达到该要求的排气筒，应按其高度对应的表列排放速率标准值严格50%执行”，本项目排气筒高度为15m，但排气筒高度不满足高于周围200m半径范围内建筑物5m以上要求，污染物排放速率严格50%执行。</w:t>
            </w:r>
          </w:p>
          <w:p>
            <w:pPr>
              <w:spacing w:line="360" w:lineRule="auto"/>
              <w:ind w:firstLine="480" w:firstLineChars="200"/>
              <w:rPr>
                <w:sz w:val="24"/>
              </w:rPr>
            </w:pPr>
            <w:r>
              <w:rPr>
                <w:sz w:val="24"/>
              </w:rPr>
              <w:t>根据《挥发性有机物治理突出问题排查整治工作要求》，采用活性炭吸附工艺的企业，应根据废气排放特征，按照相关工程技术规范设计净化工艺和设备，使废气在吸附装置中有足够的停留时间，选择符合相关产品质量标准的活性炭，并足额充填、及时更换。本项目活性炭碘值不低于800毫克/克，并按设计要求足量添加、及时更换活性炭，废活性炭作为危险废物暂存危废贮存库后交由有资质单位处置。</w:t>
            </w:r>
          </w:p>
          <w:p>
            <w:pPr>
              <w:spacing w:line="360" w:lineRule="auto"/>
              <w:ind w:firstLine="480" w:firstLineChars="200"/>
            </w:pPr>
            <w:r>
              <w:rPr>
                <w:sz w:val="24"/>
              </w:rPr>
              <w:t>3、本项目废气治理排放口基本信息见表4-2。</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表4-2  废气排放口基本信息一览表</w:t>
            </w:r>
          </w:p>
          <w:tbl>
            <w:tblPr>
              <w:tblStyle w:val="24"/>
              <w:tblW w:w="7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230"/>
              <w:gridCol w:w="1023"/>
              <w:gridCol w:w="1094"/>
              <w:gridCol w:w="793"/>
              <w:gridCol w:w="643"/>
              <w:gridCol w:w="599"/>
              <w:gridCol w:w="706"/>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73" w:type="pct"/>
                  <w:vMerge w:val="restart"/>
                  <w:vAlign w:val="center"/>
                </w:tcPr>
                <w:p>
                  <w:pPr>
                    <w:pStyle w:val="33"/>
                    <w:adjustRightInd w:val="0"/>
                    <w:rPr>
                      <w:b w:val="0"/>
                      <w:bCs/>
                      <w:sz w:val="21"/>
                      <w:szCs w:val="21"/>
                    </w:rPr>
                  </w:pPr>
                  <w:r>
                    <w:rPr>
                      <w:b w:val="0"/>
                      <w:bCs/>
                      <w:sz w:val="21"/>
                      <w:szCs w:val="21"/>
                    </w:rPr>
                    <w:t>废气类别</w:t>
                  </w:r>
                </w:p>
              </w:tc>
              <w:tc>
                <w:tcPr>
                  <w:tcW w:w="778" w:type="pct"/>
                  <w:vMerge w:val="restart"/>
                  <w:vAlign w:val="center"/>
                </w:tcPr>
                <w:p>
                  <w:pPr>
                    <w:pStyle w:val="33"/>
                    <w:adjustRightInd w:val="0"/>
                    <w:rPr>
                      <w:b w:val="0"/>
                      <w:bCs/>
                      <w:sz w:val="21"/>
                      <w:szCs w:val="21"/>
                    </w:rPr>
                  </w:pPr>
                  <w:r>
                    <w:rPr>
                      <w:b w:val="0"/>
                      <w:bCs/>
                      <w:sz w:val="21"/>
                      <w:szCs w:val="21"/>
                    </w:rPr>
                    <w:t>污染物种类</w:t>
                  </w:r>
                </w:p>
              </w:tc>
              <w:tc>
                <w:tcPr>
                  <w:tcW w:w="1339" w:type="pct"/>
                  <w:gridSpan w:val="2"/>
                  <w:vAlign w:val="center"/>
                </w:tcPr>
                <w:p>
                  <w:pPr>
                    <w:pStyle w:val="33"/>
                    <w:adjustRightInd w:val="0"/>
                    <w:rPr>
                      <w:b w:val="0"/>
                      <w:bCs/>
                      <w:sz w:val="21"/>
                      <w:szCs w:val="21"/>
                    </w:rPr>
                  </w:pPr>
                  <w:r>
                    <w:rPr>
                      <w:b w:val="0"/>
                      <w:bCs/>
                      <w:sz w:val="21"/>
                      <w:szCs w:val="21"/>
                    </w:rPr>
                    <w:t>排放口地理坐标</w:t>
                  </w:r>
                </w:p>
              </w:tc>
              <w:tc>
                <w:tcPr>
                  <w:tcW w:w="502" w:type="pct"/>
                  <w:vMerge w:val="restart"/>
                  <w:vAlign w:val="center"/>
                </w:tcPr>
                <w:p>
                  <w:pPr>
                    <w:adjustRightInd w:val="0"/>
                    <w:snapToGrid w:val="0"/>
                    <w:jc w:val="center"/>
                    <w:rPr>
                      <w:szCs w:val="21"/>
                    </w:rPr>
                  </w:pPr>
                  <w:r>
                    <w:rPr>
                      <w:szCs w:val="21"/>
                    </w:rPr>
                    <w:t>排放口编号</w:t>
                  </w:r>
                </w:p>
              </w:tc>
              <w:tc>
                <w:tcPr>
                  <w:tcW w:w="407" w:type="pct"/>
                  <w:vMerge w:val="restart"/>
                  <w:vAlign w:val="center"/>
                </w:tcPr>
                <w:p>
                  <w:pPr>
                    <w:adjustRightInd w:val="0"/>
                    <w:snapToGrid w:val="0"/>
                    <w:jc w:val="center"/>
                    <w:rPr>
                      <w:szCs w:val="21"/>
                    </w:rPr>
                  </w:pPr>
                  <w:r>
                    <w:rPr>
                      <w:szCs w:val="21"/>
                    </w:rPr>
                    <w:t>高度m</w:t>
                  </w:r>
                </w:p>
              </w:tc>
              <w:tc>
                <w:tcPr>
                  <w:tcW w:w="379" w:type="pct"/>
                  <w:vMerge w:val="restart"/>
                  <w:vAlign w:val="center"/>
                </w:tcPr>
                <w:p>
                  <w:pPr>
                    <w:adjustRightInd w:val="0"/>
                    <w:snapToGrid w:val="0"/>
                    <w:jc w:val="center"/>
                    <w:rPr>
                      <w:szCs w:val="21"/>
                    </w:rPr>
                  </w:pPr>
                  <w:r>
                    <w:rPr>
                      <w:szCs w:val="21"/>
                    </w:rPr>
                    <w:t>内径m</w:t>
                  </w:r>
                </w:p>
              </w:tc>
              <w:tc>
                <w:tcPr>
                  <w:tcW w:w="447" w:type="pct"/>
                  <w:vMerge w:val="restart"/>
                  <w:vAlign w:val="center"/>
                </w:tcPr>
                <w:p>
                  <w:pPr>
                    <w:adjustRightInd w:val="0"/>
                    <w:snapToGrid w:val="0"/>
                    <w:jc w:val="center"/>
                    <w:rPr>
                      <w:szCs w:val="21"/>
                    </w:rPr>
                  </w:pPr>
                  <w:r>
                    <w:rPr>
                      <w:szCs w:val="21"/>
                    </w:rPr>
                    <w:t>排放温度ºC</w:t>
                  </w:r>
                </w:p>
              </w:tc>
              <w:tc>
                <w:tcPr>
                  <w:tcW w:w="471" w:type="pct"/>
                  <w:vMerge w:val="restart"/>
                  <w:vAlign w:val="center"/>
                </w:tcPr>
                <w:p>
                  <w:pPr>
                    <w:adjustRightInd w:val="0"/>
                    <w:snapToGrid w:val="0"/>
                    <w:jc w:val="center"/>
                    <w:rPr>
                      <w:szCs w:val="21"/>
                    </w:rPr>
                  </w:pPr>
                  <w:r>
                    <w:rPr>
                      <w:szCs w:val="21"/>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73" w:type="pct"/>
                  <w:vMerge w:val="continue"/>
                  <w:vAlign w:val="center"/>
                </w:tcPr>
                <w:p>
                  <w:pPr>
                    <w:pStyle w:val="33"/>
                    <w:adjustRightInd w:val="0"/>
                    <w:rPr>
                      <w:b w:val="0"/>
                      <w:bCs/>
                      <w:sz w:val="21"/>
                      <w:szCs w:val="21"/>
                    </w:rPr>
                  </w:pPr>
                </w:p>
              </w:tc>
              <w:tc>
                <w:tcPr>
                  <w:tcW w:w="778" w:type="pct"/>
                  <w:vMerge w:val="continue"/>
                  <w:vAlign w:val="center"/>
                </w:tcPr>
                <w:p>
                  <w:pPr>
                    <w:pStyle w:val="33"/>
                    <w:adjustRightInd w:val="0"/>
                    <w:rPr>
                      <w:b w:val="0"/>
                      <w:bCs/>
                      <w:sz w:val="21"/>
                      <w:szCs w:val="21"/>
                    </w:rPr>
                  </w:pPr>
                </w:p>
              </w:tc>
              <w:tc>
                <w:tcPr>
                  <w:tcW w:w="647" w:type="pct"/>
                  <w:vAlign w:val="center"/>
                </w:tcPr>
                <w:p>
                  <w:pPr>
                    <w:pStyle w:val="33"/>
                    <w:adjustRightInd w:val="0"/>
                    <w:rPr>
                      <w:b w:val="0"/>
                      <w:bCs/>
                      <w:sz w:val="21"/>
                      <w:szCs w:val="21"/>
                    </w:rPr>
                  </w:pPr>
                  <w:r>
                    <w:rPr>
                      <w:b w:val="0"/>
                      <w:bCs/>
                      <w:sz w:val="21"/>
                      <w:szCs w:val="21"/>
                    </w:rPr>
                    <w:t>经度</w:t>
                  </w:r>
                </w:p>
              </w:tc>
              <w:tc>
                <w:tcPr>
                  <w:tcW w:w="692" w:type="pct"/>
                  <w:vAlign w:val="center"/>
                </w:tcPr>
                <w:p>
                  <w:pPr>
                    <w:pStyle w:val="33"/>
                    <w:adjustRightInd w:val="0"/>
                    <w:rPr>
                      <w:b w:val="0"/>
                      <w:bCs/>
                      <w:sz w:val="21"/>
                      <w:szCs w:val="21"/>
                    </w:rPr>
                  </w:pPr>
                  <w:r>
                    <w:rPr>
                      <w:b w:val="0"/>
                      <w:bCs/>
                      <w:sz w:val="21"/>
                      <w:szCs w:val="21"/>
                    </w:rPr>
                    <w:t>纬度</w:t>
                  </w:r>
                </w:p>
              </w:tc>
              <w:tc>
                <w:tcPr>
                  <w:tcW w:w="502" w:type="pct"/>
                  <w:vMerge w:val="continue"/>
                  <w:vAlign w:val="center"/>
                </w:tcPr>
                <w:p>
                  <w:pPr>
                    <w:adjustRightInd w:val="0"/>
                    <w:snapToGrid w:val="0"/>
                    <w:jc w:val="center"/>
                    <w:rPr>
                      <w:szCs w:val="21"/>
                    </w:rPr>
                  </w:pPr>
                </w:p>
              </w:tc>
              <w:tc>
                <w:tcPr>
                  <w:tcW w:w="407" w:type="pct"/>
                  <w:vMerge w:val="continue"/>
                  <w:vAlign w:val="center"/>
                </w:tcPr>
                <w:p>
                  <w:pPr>
                    <w:adjustRightInd w:val="0"/>
                    <w:snapToGrid w:val="0"/>
                    <w:jc w:val="center"/>
                    <w:rPr>
                      <w:szCs w:val="21"/>
                    </w:rPr>
                  </w:pPr>
                </w:p>
              </w:tc>
              <w:tc>
                <w:tcPr>
                  <w:tcW w:w="379" w:type="pct"/>
                  <w:vMerge w:val="continue"/>
                  <w:vAlign w:val="center"/>
                </w:tcPr>
                <w:p>
                  <w:pPr>
                    <w:adjustRightInd w:val="0"/>
                    <w:snapToGrid w:val="0"/>
                    <w:jc w:val="center"/>
                    <w:rPr>
                      <w:szCs w:val="21"/>
                    </w:rPr>
                  </w:pPr>
                </w:p>
              </w:tc>
              <w:tc>
                <w:tcPr>
                  <w:tcW w:w="447" w:type="pct"/>
                  <w:vMerge w:val="continue"/>
                  <w:vAlign w:val="center"/>
                </w:tcPr>
                <w:p>
                  <w:pPr>
                    <w:adjustRightInd w:val="0"/>
                    <w:snapToGrid w:val="0"/>
                    <w:jc w:val="center"/>
                    <w:rPr>
                      <w:szCs w:val="21"/>
                    </w:rPr>
                  </w:pPr>
                </w:p>
              </w:tc>
              <w:tc>
                <w:tcPr>
                  <w:tcW w:w="471" w:type="pct"/>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673" w:type="pct"/>
                  <w:vAlign w:val="center"/>
                </w:tcPr>
                <w:p>
                  <w:pPr>
                    <w:pStyle w:val="33"/>
                    <w:adjustRightInd w:val="0"/>
                    <w:rPr>
                      <w:b w:val="0"/>
                      <w:bCs/>
                      <w:sz w:val="21"/>
                      <w:szCs w:val="21"/>
                    </w:rPr>
                  </w:pPr>
                  <w:r>
                    <w:rPr>
                      <w:b w:val="0"/>
                      <w:bCs/>
                      <w:sz w:val="21"/>
                      <w:szCs w:val="21"/>
                    </w:rPr>
                    <w:t>有机废气、甲苯、酸雾</w:t>
                  </w:r>
                </w:p>
              </w:tc>
              <w:tc>
                <w:tcPr>
                  <w:tcW w:w="778" w:type="pct"/>
                  <w:vAlign w:val="center"/>
                </w:tcPr>
                <w:p>
                  <w:pPr>
                    <w:pStyle w:val="33"/>
                    <w:adjustRightInd w:val="0"/>
                    <w:rPr>
                      <w:b w:val="0"/>
                      <w:bCs/>
                      <w:sz w:val="21"/>
                      <w:szCs w:val="21"/>
                    </w:rPr>
                  </w:pPr>
                  <w:r>
                    <w:rPr>
                      <w:b w:val="0"/>
                      <w:bCs/>
                      <w:sz w:val="21"/>
                      <w:szCs w:val="21"/>
                    </w:rPr>
                    <w:t>非甲烷总烃、甲苯、硫酸雾、氯化氢</w:t>
                  </w:r>
                </w:p>
              </w:tc>
              <w:tc>
                <w:tcPr>
                  <w:tcW w:w="647" w:type="pct"/>
                  <w:vAlign w:val="center"/>
                </w:tcPr>
                <w:p>
                  <w:pPr>
                    <w:pStyle w:val="33"/>
                    <w:adjustRightInd w:val="0"/>
                    <w:rPr>
                      <w:b w:val="0"/>
                      <w:bCs/>
                      <w:sz w:val="21"/>
                      <w:szCs w:val="21"/>
                    </w:rPr>
                  </w:pPr>
                  <w:r>
                    <w:rPr>
                      <w:b w:val="0"/>
                      <w:bCs/>
                      <w:sz w:val="21"/>
                      <w:szCs w:val="21"/>
                    </w:rPr>
                    <w:t>108.866427</w:t>
                  </w:r>
                </w:p>
              </w:tc>
              <w:tc>
                <w:tcPr>
                  <w:tcW w:w="692" w:type="pct"/>
                  <w:vAlign w:val="center"/>
                </w:tcPr>
                <w:p>
                  <w:pPr>
                    <w:pStyle w:val="33"/>
                    <w:adjustRightInd w:val="0"/>
                    <w:rPr>
                      <w:b w:val="0"/>
                      <w:bCs/>
                      <w:sz w:val="21"/>
                      <w:szCs w:val="21"/>
                    </w:rPr>
                  </w:pPr>
                  <w:r>
                    <w:rPr>
                      <w:b w:val="0"/>
                      <w:bCs/>
                      <w:sz w:val="21"/>
                      <w:szCs w:val="21"/>
                    </w:rPr>
                    <w:t>34.151233</w:t>
                  </w:r>
                </w:p>
              </w:tc>
              <w:tc>
                <w:tcPr>
                  <w:tcW w:w="502" w:type="pct"/>
                  <w:vAlign w:val="center"/>
                </w:tcPr>
                <w:p>
                  <w:pPr>
                    <w:pStyle w:val="33"/>
                    <w:adjustRightInd w:val="0"/>
                    <w:rPr>
                      <w:b w:val="0"/>
                      <w:bCs/>
                      <w:sz w:val="21"/>
                      <w:szCs w:val="21"/>
                    </w:rPr>
                  </w:pPr>
                  <w:r>
                    <w:rPr>
                      <w:b w:val="0"/>
                      <w:bCs/>
                      <w:sz w:val="21"/>
                      <w:szCs w:val="21"/>
                    </w:rPr>
                    <w:t>DA001</w:t>
                  </w:r>
                </w:p>
              </w:tc>
              <w:tc>
                <w:tcPr>
                  <w:tcW w:w="407" w:type="pct"/>
                  <w:vAlign w:val="center"/>
                </w:tcPr>
                <w:p>
                  <w:pPr>
                    <w:pStyle w:val="33"/>
                    <w:adjustRightInd w:val="0"/>
                    <w:rPr>
                      <w:b w:val="0"/>
                      <w:bCs/>
                      <w:sz w:val="21"/>
                      <w:szCs w:val="21"/>
                    </w:rPr>
                  </w:pPr>
                  <w:r>
                    <w:rPr>
                      <w:b w:val="0"/>
                      <w:bCs/>
                      <w:sz w:val="21"/>
                      <w:szCs w:val="21"/>
                    </w:rPr>
                    <w:t>15</w:t>
                  </w:r>
                </w:p>
              </w:tc>
              <w:tc>
                <w:tcPr>
                  <w:tcW w:w="379" w:type="pct"/>
                  <w:vAlign w:val="center"/>
                </w:tcPr>
                <w:p>
                  <w:pPr>
                    <w:pStyle w:val="33"/>
                    <w:adjustRightInd w:val="0"/>
                    <w:rPr>
                      <w:b w:val="0"/>
                      <w:bCs/>
                      <w:sz w:val="21"/>
                      <w:szCs w:val="21"/>
                    </w:rPr>
                  </w:pPr>
                  <w:r>
                    <w:rPr>
                      <w:b w:val="0"/>
                      <w:bCs/>
                      <w:sz w:val="21"/>
                      <w:szCs w:val="21"/>
                    </w:rPr>
                    <w:t>0.7</w:t>
                  </w:r>
                </w:p>
              </w:tc>
              <w:tc>
                <w:tcPr>
                  <w:tcW w:w="447" w:type="pct"/>
                  <w:vAlign w:val="center"/>
                </w:tcPr>
                <w:p>
                  <w:pPr>
                    <w:pStyle w:val="33"/>
                    <w:adjustRightInd w:val="0"/>
                    <w:rPr>
                      <w:b w:val="0"/>
                      <w:bCs/>
                      <w:sz w:val="21"/>
                      <w:szCs w:val="21"/>
                    </w:rPr>
                  </w:pPr>
                  <w:r>
                    <w:rPr>
                      <w:b w:val="0"/>
                      <w:bCs/>
                      <w:sz w:val="21"/>
                      <w:szCs w:val="21"/>
                    </w:rPr>
                    <w:t>25</w:t>
                  </w:r>
                </w:p>
              </w:tc>
              <w:tc>
                <w:tcPr>
                  <w:tcW w:w="471" w:type="pct"/>
                  <w:vAlign w:val="center"/>
                </w:tcPr>
                <w:p>
                  <w:pPr>
                    <w:pStyle w:val="33"/>
                    <w:adjustRightInd w:val="0"/>
                    <w:rPr>
                      <w:b w:val="0"/>
                      <w:bCs/>
                      <w:sz w:val="21"/>
                      <w:szCs w:val="21"/>
                    </w:rPr>
                  </w:pPr>
                  <w:r>
                    <w:rPr>
                      <w:b w:val="0"/>
                      <w:bCs/>
                      <w:sz w:val="21"/>
                      <w:szCs w:val="21"/>
                    </w:rPr>
                    <w:t>一般排放口</w:t>
                  </w:r>
                </w:p>
              </w:tc>
            </w:tr>
          </w:tbl>
          <w:p>
            <w:pPr>
              <w:widowControl/>
              <w:spacing w:before="120" w:beforeLines="50" w:line="360" w:lineRule="auto"/>
              <w:ind w:firstLine="480" w:firstLineChars="200"/>
              <w:jc w:val="left"/>
              <w:rPr>
                <w:sz w:val="24"/>
                <w:szCs w:val="32"/>
              </w:rPr>
            </w:pPr>
            <w:r>
              <w:rPr>
                <w:sz w:val="24"/>
                <w:szCs w:val="32"/>
              </w:rPr>
              <w:t>4、排放口基本情况及监测计划</w:t>
            </w:r>
          </w:p>
          <w:p>
            <w:pPr>
              <w:widowControl/>
              <w:spacing w:line="360" w:lineRule="auto"/>
              <w:ind w:firstLine="480" w:firstLineChars="200"/>
              <w:jc w:val="left"/>
              <w:rPr>
                <w:sz w:val="24"/>
                <w:szCs w:val="32"/>
              </w:rPr>
            </w:pPr>
            <w:r>
              <w:rPr>
                <w:sz w:val="24"/>
                <w:szCs w:val="32"/>
              </w:rPr>
              <w:t>参照《排污单位自行监测技术指南 总则》（HJ819-2017）和本项目废气排放情况，具体见表4-3。</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表4-3  废气监测要求表</w:t>
            </w:r>
          </w:p>
          <w:tbl>
            <w:tblPr>
              <w:tblStyle w:val="24"/>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058"/>
              <w:gridCol w:w="1222"/>
              <w:gridCol w:w="1291"/>
              <w:gridCol w:w="705"/>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4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szCs w:val="21"/>
                    </w:rPr>
                  </w:pPr>
                  <w:r>
                    <w:rPr>
                      <w:bCs/>
                      <w:szCs w:val="21"/>
                      <w:lang w:bidi="ar"/>
                    </w:rPr>
                    <w:t>类别</w:t>
                  </w: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szCs w:val="21"/>
                    </w:rPr>
                  </w:pPr>
                  <w:r>
                    <w:rPr>
                      <w:bCs/>
                      <w:szCs w:val="21"/>
                      <w:lang w:bidi="ar"/>
                    </w:rPr>
                    <w:t>监测项目</w:t>
                  </w: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szCs w:val="21"/>
                    </w:rPr>
                  </w:pPr>
                  <w:r>
                    <w:rPr>
                      <w:bCs/>
                      <w:szCs w:val="21"/>
                      <w:lang w:bidi="ar"/>
                    </w:rPr>
                    <w:t>监测点位置</w:t>
                  </w:r>
                </w:p>
              </w:tc>
              <w:tc>
                <w:tcPr>
                  <w:tcW w:w="44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szCs w:val="21"/>
                    </w:rPr>
                  </w:pPr>
                  <w:r>
                    <w:rPr>
                      <w:bCs/>
                      <w:szCs w:val="21"/>
                      <w:lang w:bidi="ar"/>
                    </w:rPr>
                    <w:t>频率</w:t>
                  </w:r>
                </w:p>
              </w:tc>
              <w:tc>
                <w:tcPr>
                  <w:tcW w:w="20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szCs w:val="21"/>
                    </w:rPr>
                  </w:pPr>
                  <w:r>
                    <w:rPr>
                      <w:bCs/>
                      <w:szCs w:val="21"/>
                      <w:lang w:bidi="ar"/>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82" w:type="pct"/>
                  <w:vMerge w:val="restart"/>
                  <w:tcBorders>
                    <w:top w:val="single" w:color="auto" w:sz="4" w:space="0"/>
                    <w:left w:val="single" w:color="auto" w:sz="4" w:space="0"/>
                    <w:right w:val="single" w:color="auto" w:sz="4" w:space="0"/>
                  </w:tcBorders>
                  <w:vAlign w:val="center"/>
                </w:tcPr>
                <w:p>
                  <w:pPr>
                    <w:adjustRightInd w:val="0"/>
                    <w:snapToGrid w:val="0"/>
                    <w:jc w:val="center"/>
                    <w:rPr>
                      <w:szCs w:val="21"/>
                      <w:lang w:bidi="ar"/>
                    </w:rPr>
                  </w:pPr>
                  <w:r>
                    <w:rPr>
                      <w:szCs w:val="21"/>
                      <w:lang w:bidi="ar"/>
                    </w:rPr>
                    <w:t>废气</w:t>
                  </w:r>
                </w:p>
              </w:tc>
              <w:tc>
                <w:tcPr>
                  <w:tcW w:w="667" w:type="pct"/>
                  <w:tcBorders>
                    <w:top w:val="single" w:color="auto" w:sz="4" w:space="0"/>
                    <w:left w:val="single" w:color="auto" w:sz="4" w:space="0"/>
                    <w:right w:val="single" w:color="auto" w:sz="4" w:space="0"/>
                  </w:tcBorders>
                  <w:vAlign w:val="center"/>
                </w:tcPr>
                <w:p>
                  <w:pPr>
                    <w:adjustRightInd w:val="0"/>
                    <w:snapToGrid w:val="0"/>
                    <w:jc w:val="center"/>
                    <w:rPr>
                      <w:bCs/>
                      <w:szCs w:val="21"/>
                    </w:rPr>
                  </w:pPr>
                  <w:r>
                    <w:rPr>
                      <w:bCs/>
                      <w:szCs w:val="21"/>
                    </w:rPr>
                    <w:t>有组织</w:t>
                  </w:r>
                </w:p>
                <w:p>
                  <w:pPr>
                    <w:adjustRightInd w:val="0"/>
                    <w:snapToGrid w:val="0"/>
                    <w:jc w:val="center"/>
                    <w:rPr>
                      <w:bCs/>
                      <w:szCs w:val="21"/>
                    </w:rPr>
                  </w:pPr>
                  <w:r>
                    <w:rPr>
                      <w:bCs/>
                      <w:szCs w:val="21"/>
                    </w:rPr>
                    <w:t>废气</w:t>
                  </w: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szCs w:val="21"/>
                      <w:lang w:bidi="ar"/>
                    </w:rPr>
                    <w:t>非甲烷</w:t>
                  </w:r>
                </w:p>
                <w:p>
                  <w:pPr>
                    <w:adjustRightInd w:val="0"/>
                    <w:snapToGrid w:val="0"/>
                    <w:jc w:val="center"/>
                    <w:rPr>
                      <w:szCs w:val="21"/>
                      <w:lang w:bidi="ar"/>
                    </w:rPr>
                  </w:pPr>
                  <w:r>
                    <w:rPr>
                      <w:szCs w:val="21"/>
                      <w:lang w:bidi="ar"/>
                    </w:rPr>
                    <w:t>总烃、甲苯、硫酸雾、氯化氢</w:t>
                  </w: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DA001</w:t>
                  </w:r>
                </w:p>
              </w:tc>
              <w:tc>
                <w:tcPr>
                  <w:tcW w:w="44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1次/年</w:t>
                  </w:r>
                </w:p>
              </w:tc>
              <w:tc>
                <w:tcPr>
                  <w:tcW w:w="20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Cs w:val="21"/>
                    </w:rPr>
                  </w:pPr>
                  <w:r>
                    <w:rPr>
                      <w:szCs w:val="21"/>
                    </w:rPr>
                    <w:t>《大气污染物综合排放标准》（GB16297-1996）表2中二级标准限值要求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2" w:type="pct"/>
                  <w:vMerge w:val="continue"/>
                  <w:tcBorders>
                    <w:left w:val="single" w:color="auto" w:sz="4" w:space="0"/>
                    <w:right w:val="single" w:color="auto" w:sz="4" w:space="0"/>
                  </w:tcBorders>
                  <w:vAlign w:val="center"/>
                </w:tcPr>
                <w:p>
                  <w:pPr>
                    <w:adjustRightInd w:val="0"/>
                    <w:snapToGrid w:val="0"/>
                    <w:jc w:val="center"/>
                    <w:rPr>
                      <w:szCs w:val="21"/>
                      <w:lang w:bidi="ar"/>
                    </w:rPr>
                  </w:pPr>
                </w:p>
              </w:tc>
              <w:tc>
                <w:tcPr>
                  <w:tcW w:w="667" w:type="pct"/>
                  <w:vMerge w:val="restart"/>
                  <w:tcBorders>
                    <w:top w:val="single" w:color="auto" w:sz="4" w:space="0"/>
                    <w:left w:val="single" w:color="auto" w:sz="4" w:space="0"/>
                    <w:right w:val="single" w:color="auto" w:sz="4" w:space="0"/>
                  </w:tcBorders>
                  <w:vAlign w:val="center"/>
                </w:tcPr>
                <w:p>
                  <w:pPr>
                    <w:adjustRightInd w:val="0"/>
                    <w:snapToGrid w:val="0"/>
                    <w:jc w:val="center"/>
                    <w:rPr>
                      <w:bCs/>
                      <w:szCs w:val="21"/>
                    </w:rPr>
                  </w:pPr>
                  <w:r>
                    <w:rPr>
                      <w:bCs/>
                      <w:szCs w:val="21"/>
                    </w:rPr>
                    <w:t>无组织废气</w:t>
                  </w:r>
                </w:p>
              </w:tc>
              <w:tc>
                <w:tcPr>
                  <w:tcW w:w="7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szCs w:val="21"/>
                      <w:lang w:bidi="ar"/>
                    </w:rPr>
                    <w:t>非甲烷</w:t>
                  </w:r>
                </w:p>
                <w:p>
                  <w:pPr>
                    <w:adjustRightInd w:val="0"/>
                    <w:snapToGrid w:val="0"/>
                    <w:jc w:val="center"/>
                    <w:rPr>
                      <w:szCs w:val="21"/>
                      <w:lang w:bidi="ar"/>
                    </w:rPr>
                  </w:pPr>
                  <w:r>
                    <w:rPr>
                      <w:szCs w:val="21"/>
                      <w:lang w:bidi="ar"/>
                    </w:rPr>
                    <w:t>总烃、甲苯、硫酸雾、氯化氢</w:t>
                  </w: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Cs w:val="21"/>
                    </w:rPr>
                  </w:pPr>
                  <w:r>
                    <w:rPr>
                      <w:szCs w:val="21"/>
                    </w:rPr>
                    <w:t>厂界上风向1个点，下风向3个点</w:t>
                  </w:r>
                </w:p>
              </w:tc>
              <w:tc>
                <w:tcPr>
                  <w:tcW w:w="44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1次/年</w:t>
                  </w:r>
                </w:p>
              </w:tc>
              <w:tc>
                <w:tcPr>
                  <w:tcW w:w="20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Cs w:val="21"/>
                    </w:rPr>
                  </w:pPr>
                  <w:r>
                    <w:t>《大气污染物综合排放标准》（GB16297-1996）表2中无组织排放浓度限值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2" w:type="pct"/>
                  <w:vMerge w:val="continue"/>
                  <w:tcBorders>
                    <w:left w:val="single" w:color="auto" w:sz="4" w:space="0"/>
                    <w:right w:val="single" w:color="auto" w:sz="4" w:space="0"/>
                  </w:tcBorders>
                  <w:vAlign w:val="center"/>
                </w:tcPr>
                <w:p>
                  <w:pPr>
                    <w:adjustRightInd w:val="0"/>
                    <w:snapToGrid w:val="0"/>
                    <w:jc w:val="center"/>
                    <w:rPr>
                      <w:szCs w:val="21"/>
                      <w:lang w:bidi="ar"/>
                    </w:rPr>
                  </w:pPr>
                </w:p>
              </w:tc>
              <w:tc>
                <w:tcPr>
                  <w:tcW w:w="667" w:type="pct"/>
                  <w:vMerge w:val="continue"/>
                  <w:tcBorders>
                    <w:left w:val="single" w:color="auto" w:sz="4" w:space="0"/>
                    <w:right w:val="single" w:color="auto" w:sz="4" w:space="0"/>
                  </w:tcBorders>
                  <w:vAlign w:val="center"/>
                </w:tcPr>
                <w:p>
                  <w:pPr>
                    <w:pStyle w:val="56"/>
                    <w:ind w:left="-105" w:leftChars="-50" w:right="-105" w:rightChars="-50"/>
                    <w:rPr>
                      <w:szCs w:val="21"/>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pStyle w:val="56"/>
                    <w:ind w:left="-105" w:leftChars="-50" w:right="-105" w:rightChars="-50"/>
                    <w:rPr>
                      <w:szCs w:val="21"/>
                      <w:lang w:bidi="ar"/>
                    </w:rPr>
                  </w:pPr>
                  <w:r>
                    <w:t>非甲烷总烃</w:t>
                  </w:r>
                </w:p>
              </w:tc>
              <w:tc>
                <w:tcPr>
                  <w:tcW w:w="814" w:type="pct"/>
                  <w:tcBorders>
                    <w:top w:val="single" w:color="auto" w:sz="4" w:space="0"/>
                    <w:left w:val="single" w:color="auto" w:sz="4" w:space="0"/>
                    <w:right w:val="single" w:color="auto" w:sz="4" w:space="0"/>
                  </w:tcBorders>
                  <w:vAlign w:val="center"/>
                </w:tcPr>
                <w:p>
                  <w:pPr>
                    <w:pStyle w:val="56"/>
                    <w:ind w:left="-105" w:leftChars="-50" w:right="-105" w:rightChars="-50"/>
                    <w:rPr>
                      <w:szCs w:val="21"/>
                    </w:rPr>
                  </w:pPr>
                  <w:r>
                    <w:t>厂内</w:t>
                  </w:r>
                  <w:r>
                    <w:rPr>
                      <w:rFonts w:hint="eastAsia"/>
                    </w:rPr>
                    <w:t>监控点</w:t>
                  </w:r>
                </w:p>
              </w:tc>
              <w:tc>
                <w:tcPr>
                  <w:tcW w:w="445" w:type="pct"/>
                  <w:tcBorders>
                    <w:top w:val="single" w:color="auto" w:sz="4" w:space="0"/>
                    <w:left w:val="single" w:color="auto" w:sz="4" w:space="0"/>
                    <w:right w:val="single" w:color="auto" w:sz="4" w:space="0"/>
                  </w:tcBorders>
                  <w:vAlign w:val="center"/>
                </w:tcPr>
                <w:p>
                  <w:pPr>
                    <w:pStyle w:val="56"/>
                    <w:ind w:left="-105" w:leftChars="-50" w:right="-105" w:rightChars="-50"/>
                    <w:rPr>
                      <w:szCs w:val="21"/>
                    </w:rPr>
                  </w:pPr>
                  <w:r>
                    <w:t>1次/年</w:t>
                  </w:r>
                </w:p>
              </w:tc>
              <w:tc>
                <w:tcPr>
                  <w:tcW w:w="2019" w:type="pct"/>
                  <w:tcBorders>
                    <w:top w:val="single" w:color="auto" w:sz="4" w:space="0"/>
                    <w:left w:val="single" w:color="auto" w:sz="4" w:space="0"/>
                    <w:bottom w:val="single" w:color="auto" w:sz="4" w:space="0"/>
                    <w:right w:val="single" w:color="auto" w:sz="4" w:space="0"/>
                  </w:tcBorders>
                  <w:vAlign w:val="center"/>
                </w:tcPr>
                <w:p>
                  <w:pPr>
                    <w:pStyle w:val="56"/>
                    <w:ind w:left="-105" w:leftChars="-50" w:right="-105" w:rightChars="-50"/>
                  </w:pPr>
                  <w:r>
                    <w:t>《挥发性有机物无组织排放控制标准》</w:t>
                  </w:r>
                  <w:r>
                    <w:rPr>
                      <w:rFonts w:hint="eastAsia"/>
                    </w:rPr>
                    <w:t>（</w:t>
                  </w:r>
                  <w:r>
                    <w:t>GB37822-2019</w:t>
                  </w:r>
                  <w:r>
                    <w:rPr>
                      <w:rFonts w:hint="eastAsia"/>
                    </w:rPr>
                    <w:t>）</w:t>
                  </w:r>
                </w:p>
              </w:tc>
            </w:tr>
          </w:tbl>
          <w:p>
            <w:pPr>
              <w:numPr>
                <w:ilvl w:val="0"/>
                <w:numId w:val="5"/>
              </w:numPr>
              <w:adjustRightInd w:val="0"/>
              <w:snapToGrid w:val="0"/>
              <w:spacing w:before="120" w:beforeLines="50" w:line="360" w:lineRule="auto"/>
              <w:ind w:firstLine="482" w:firstLineChars="200"/>
              <w:rPr>
                <w:b/>
                <w:bCs/>
                <w:sz w:val="24"/>
                <w:szCs w:val="32"/>
              </w:rPr>
            </w:pPr>
            <w:r>
              <w:rPr>
                <w:b/>
                <w:bCs/>
                <w:sz w:val="24"/>
                <w:szCs w:val="32"/>
              </w:rPr>
              <w:t>废水</w:t>
            </w:r>
          </w:p>
          <w:p>
            <w:pPr>
              <w:spacing w:line="360" w:lineRule="auto"/>
              <w:ind w:firstLine="482"/>
              <w:jc w:val="left"/>
              <w:rPr>
                <w:bCs/>
                <w:sz w:val="24"/>
              </w:rPr>
            </w:pPr>
            <w:bookmarkStart w:id="11" w:name="_Hlk89959548"/>
            <w:r>
              <w:rPr>
                <w:sz w:val="24"/>
              </w:rPr>
              <w:t>本项目运营期间废水主要有实验器具使用前润洗、第2次清洗废水、第3次清洗废水、实验室地面清洁废水和生活污水。排放量共计166.44m</w:t>
            </w:r>
            <w:r>
              <w:rPr>
                <w:sz w:val="24"/>
                <w:vertAlign w:val="superscript"/>
              </w:rPr>
              <w:t>3</w:t>
            </w:r>
            <w:r>
              <w:rPr>
                <w:sz w:val="24"/>
              </w:rPr>
              <w:t>/a，主要污染物为COD、BOD</w:t>
            </w:r>
            <w:r>
              <w:rPr>
                <w:sz w:val="24"/>
                <w:vertAlign w:val="subscript"/>
              </w:rPr>
              <w:t>5</w:t>
            </w:r>
            <w:r>
              <w:rPr>
                <w:sz w:val="24"/>
              </w:rPr>
              <w:t>、氨氮、SS以及少量的酸、碱、盐类。</w:t>
            </w:r>
            <w:r>
              <w:rPr>
                <w:rFonts w:hint="eastAsia"/>
                <w:sz w:val="24"/>
              </w:rPr>
              <w:t>本项目参考《</w:t>
            </w:r>
            <w:r>
              <w:rPr>
                <w:sz w:val="24"/>
              </w:rPr>
              <w:t>陕西深海蓝检验检测科技有限公司验收监测</w:t>
            </w:r>
            <w:r>
              <w:rPr>
                <w:rFonts w:hint="eastAsia"/>
                <w:sz w:val="24"/>
              </w:rPr>
              <w:t>》（编号：</w:t>
            </w:r>
            <w:r>
              <w:rPr>
                <w:sz w:val="24"/>
              </w:rPr>
              <w:t>QYHB2203091</w:t>
            </w:r>
            <w:r>
              <w:rPr>
                <w:rFonts w:hint="eastAsia"/>
                <w:sz w:val="24"/>
              </w:rPr>
              <w:t>）中的废水监测数据（见附件</w:t>
            </w:r>
            <w:r>
              <w:rPr>
                <w:sz w:val="24"/>
              </w:rPr>
              <w:t>7</w:t>
            </w:r>
            <w:r>
              <w:rPr>
                <w:rFonts w:hint="eastAsia"/>
                <w:sz w:val="24"/>
              </w:rPr>
              <w:t>），</w:t>
            </w:r>
            <w:r>
              <w:rPr>
                <w:sz w:val="24"/>
              </w:rPr>
              <w:t>陕西深海蓝检验检测科技有限公司</w:t>
            </w:r>
            <w:r>
              <w:rPr>
                <w:rFonts w:hint="eastAsia"/>
                <w:sz w:val="24"/>
              </w:rPr>
              <w:t>与本项目在基础化学实验操作部分流程基本相同，原辅料、产污环节及废水处理方法也基本相同。</w:t>
            </w:r>
            <w:r>
              <w:rPr>
                <w:sz w:val="24"/>
              </w:rPr>
              <w:t>本项目废水污染物排</w:t>
            </w:r>
            <w:r>
              <w:rPr>
                <w:rFonts w:hint="eastAsia"/>
                <w:sz w:val="24"/>
              </w:rPr>
              <w:t>放</w:t>
            </w:r>
            <w:r>
              <w:rPr>
                <w:sz w:val="24"/>
              </w:rPr>
              <w:t>情况见下表</w:t>
            </w:r>
            <w:r>
              <w:rPr>
                <w:bCs/>
                <w:sz w:val="24"/>
              </w:rPr>
              <w:t>。</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表4-4  综合废水排</w:t>
            </w:r>
            <w:r>
              <w:rPr>
                <w:rFonts w:hint="eastAsia" w:eastAsia="黑体"/>
                <w:b w:val="0"/>
                <w:kern w:val="24"/>
                <w:sz w:val="21"/>
                <w:szCs w:val="21"/>
              </w:rPr>
              <w:t>放</w:t>
            </w:r>
            <w:r>
              <w:rPr>
                <w:rFonts w:eastAsia="黑体"/>
                <w:b w:val="0"/>
                <w:kern w:val="24"/>
                <w:sz w:val="21"/>
                <w:szCs w:val="21"/>
              </w:rPr>
              <w:t>情况一览表</w:t>
            </w:r>
          </w:p>
          <w:tbl>
            <w:tblPr>
              <w:tblStyle w:val="24"/>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255"/>
              <w:gridCol w:w="948"/>
              <w:gridCol w:w="949"/>
              <w:gridCol w:w="93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pct"/>
                  <w:vAlign w:val="center"/>
                </w:tcPr>
                <w:p>
                  <w:pPr>
                    <w:spacing w:line="360" w:lineRule="exact"/>
                    <w:jc w:val="center"/>
                    <w:rPr>
                      <w:szCs w:val="21"/>
                    </w:rPr>
                  </w:pPr>
                  <w:r>
                    <w:rPr>
                      <w:szCs w:val="21"/>
                    </w:rPr>
                    <w:t>项目</w:t>
                  </w:r>
                </w:p>
              </w:tc>
              <w:tc>
                <w:tcPr>
                  <w:tcW w:w="1430" w:type="pct"/>
                  <w:vAlign w:val="center"/>
                </w:tcPr>
                <w:p>
                  <w:pPr>
                    <w:spacing w:line="360" w:lineRule="exact"/>
                    <w:jc w:val="center"/>
                    <w:rPr>
                      <w:szCs w:val="21"/>
                    </w:rPr>
                  </w:pPr>
                  <w:r>
                    <w:rPr>
                      <w:szCs w:val="21"/>
                    </w:rPr>
                    <w:t>项目</w:t>
                  </w:r>
                </w:p>
              </w:tc>
              <w:tc>
                <w:tcPr>
                  <w:tcW w:w="601" w:type="pct"/>
                  <w:vAlign w:val="center"/>
                </w:tcPr>
                <w:p>
                  <w:pPr>
                    <w:spacing w:line="360" w:lineRule="exact"/>
                    <w:jc w:val="center"/>
                    <w:rPr>
                      <w:szCs w:val="21"/>
                    </w:rPr>
                  </w:pPr>
                  <w:r>
                    <w:rPr>
                      <w:szCs w:val="21"/>
                    </w:rPr>
                    <w:t>COD</w:t>
                  </w:r>
                </w:p>
              </w:tc>
              <w:tc>
                <w:tcPr>
                  <w:tcW w:w="602" w:type="pct"/>
                  <w:vAlign w:val="center"/>
                </w:tcPr>
                <w:p>
                  <w:pPr>
                    <w:spacing w:line="360" w:lineRule="exact"/>
                    <w:jc w:val="center"/>
                    <w:rPr>
                      <w:szCs w:val="21"/>
                    </w:rPr>
                  </w:pPr>
                  <w:r>
                    <w:rPr>
                      <w:szCs w:val="21"/>
                    </w:rPr>
                    <w:t>BOD</w:t>
                  </w:r>
                  <w:r>
                    <w:rPr>
                      <w:szCs w:val="21"/>
                      <w:vertAlign w:val="subscript"/>
                    </w:rPr>
                    <w:t>5</w:t>
                  </w:r>
                </w:p>
              </w:tc>
              <w:tc>
                <w:tcPr>
                  <w:tcW w:w="593" w:type="pct"/>
                  <w:vAlign w:val="center"/>
                </w:tcPr>
                <w:p>
                  <w:pPr>
                    <w:spacing w:line="360" w:lineRule="exact"/>
                    <w:jc w:val="center"/>
                    <w:rPr>
                      <w:szCs w:val="21"/>
                    </w:rPr>
                  </w:pPr>
                  <w:r>
                    <w:rPr>
                      <w:szCs w:val="21"/>
                    </w:rPr>
                    <w:t>SS</w:t>
                  </w:r>
                </w:p>
              </w:tc>
              <w:tc>
                <w:tcPr>
                  <w:tcW w:w="694" w:type="pct"/>
                  <w:vAlign w:val="center"/>
                </w:tcPr>
                <w:p>
                  <w:pPr>
                    <w:spacing w:line="360" w:lineRule="exact"/>
                    <w:jc w:val="center"/>
                    <w:rPr>
                      <w:szCs w:val="21"/>
                    </w:rPr>
                  </w:pPr>
                  <w:r>
                    <w:rPr>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pct"/>
                  <w:vMerge w:val="restart"/>
                  <w:vAlign w:val="center"/>
                </w:tcPr>
                <w:p>
                  <w:pPr>
                    <w:spacing w:line="360" w:lineRule="exact"/>
                    <w:jc w:val="center"/>
                    <w:rPr>
                      <w:szCs w:val="21"/>
                    </w:rPr>
                  </w:pPr>
                  <w:r>
                    <w:rPr>
                      <w:szCs w:val="21"/>
                    </w:rPr>
                    <w:t>化粪池</w:t>
                  </w:r>
                </w:p>
                <w:p>
                  <w:pPr>
                    <w:spacing w:line="360" w:lineRule="exact"/>
                    <w:jc w:val="center"/>
                    <w:rPr>
                      <w:szCs w:val="21"/>
                    </w:rPr>
                  </w:pPr>
                  <w:r>
                    <w:rPr>
                      <w:rFonts w:hint="eastAsia"/>
                      <w:szCs w:val="21"/>
                    </w:rPr>
                    <w:t>（</w:t>
                  </w:r>
                  <w:r>
                    <w:rPr>
                      <w:szCs w:val="21"/>
                    </w:rPr>
                    <w:t>166.44m</w:t>
                  </w:r>
                  <w:r>
                    <w:rPr>
                      <w:szCs w:val="21"/>
                      <w:vertAlign w:val="superscript"/>
                    </w:rPr>
                    <w:t>3</w:t>
                  </w:r>
                  <w:r>
                    <w:rPr>
                      <w:szCs w:val="21"/>
                    </w:rPr>
                    <w:t>/a</w:t>
                  </w:r>
                  <w:r>
                    <w:rPr>
                      <w:rFonts w:hint="eastAsia"/>
                      <w:szCs w:val="21"/>
                    </w:rPr>
                    <w:t>）</w:t>
                  </w:r>
                </w:p>
              </w:tc>
              <w:tc>
                <w:tcPr>
                  <w:tcW w:w="1430" w:type="pct"/>
                  <w:vAlign w:val="center"/>
                </w:tcPr>
                <w:p>
                  <w:pPr>
                    <w:spacing w:line="360" w:lineRule="exact"/>
                    <w:jc w:val="center"/>
                    <w:rPr>
                      <w:szCs w:val="21"/>
                    </w:rPr>
                  </w:pPr>
                  <w:r>
                    <w:rPr>
                      <w:szCs w:val="21"/>
                    </w:rPr>
                    <w:t>出水浓度（mg/L）</w:t>
                  </w:r>
                </w:p>
              </w:tc>
              <w:tc>
                <w:tcPr>
                  <w:tcW w:w="601" w:type="pct"/>
                  <w:vAlign w:val="center"/>
                </w:tcPr>
                <w:p>
                  <w:pPr>
                    <w:widowControl/>
                    <w:spacing w:line="360" w:lineRule="exact"/>
                    <w:jc w:val="center"/>
                    <w:textAlignment w:val="bottom"/>
                    <w:rPr>
                      <w:kern w:val="0"/>
                      <w:szCs w:val="21"/>
                      <w:lang w:bidi="ar"/>
                    </w:rPr>
                  </w:pPr>
                  <w:r>
                    <w:rPr>
                      <w:kern w:val="0"/>
                      <w:szCs w:val="21"/>
                      <w:lang w:bidi="ar"/>
                    </w:rPr>
                    <w:t>486</w:t>
                  </w:r>
                </w:p>
              </w:tc>
              <w:tc>
                <w:tcPr>
                  <w:tcW w:w="602" w:type="pct"/>
                  <w:vAlign w:val="center"/>
                </w:tcPr>
                <w:p>
                  <w:pPr>
                    <w:widowControl/>
                    <w:spacing w:line="360" w:lineRule="exact"/>
                    <w:jc w:val="center"/>
                    <w:textAlignment w:val="bottom"/>
                    <w:rPr>
                      <w:kern w:val="0"/>
                      <w:szCs w:val="21"/>
                      <w:lang w:bidi="ar"/>
                    </w:rPr>
                  </w:pPr>
                  <w:r>
                    <w:rPr>
                      <w:kern w:val="0"/>
                      <w:szCs w:val="21"/>
                      <w:lang w:bidi="ar"/>
                    </w:rPr>
                    <w:t>140</w:t>
                  </w:r>
                </w:p>
              </w:tc>
              <w:tc>
                <w:tcPr>
                  <w:tcW w:w="593" w:type="pct"/>
                  <w:vAlign w:val="center"/>
                </w:tcPr>
                <w:p>
                  <w:pPr>
                    <w:widowControl/>
                    <w:spacing w:line="360" w:lineRule="exact"/>
                    <w:jc w:val="center"/>
                    <w:textAlignment w:val="bottom"/>
                    <w:rPr>
                      <w:kern w:val="0"/>
                      <w:szCs w:val="21"/>
                      <w:lang w:bidi="ar"/>
                    </w:rPr>
                  </w:pPr>
                  <w:r>
                    <w:rPr>
                      <w:kern w:val="0"/>
                      <w:szCs w:val="21"/>
                      <w:lang w:bidi="ar"/>
                    </w:rPr>
                    <w:t>339</w:t>
                  </w:r>
                </w:p>
              </w:tc>
              <w:tc>
                <w:tcPr>
                  <w:tcW w:w="694" w:type="pct"/>
                  <w:vAlign w:val="center"/>
                </w:tcPr>
                <w:p>
                  <w:pPr>
                    <w:widowControl/>
                    <w:spacing w:line="360" w:lineRule="exact"/>
                    <w:jc w:val="center"/>
                    <w:textAlignment w:val="bottom"/>
                    <w:rPr>
                      <w:kern w:val="0"/>
                      <w:szCs w:val="21"/>
                      <w:lang w:bidi="ar"/>
                    </w:rPr>
                  </w:pPr>
                  <w:r>
                    <w:rPr>
                      <w:kern w:val="0"/>
                      <w:szCs w:val="21"/>
                      <w:lang w:bidi="a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1" w:type="pct"/>
                  <w:vMerge w:val="continue"/>
                  <w:vAlign w:val="center"/>
                </w:tcPr>
                <w:p>
                  <w:pPr>
                    <w:widowControl/>
                    <w:spacing w:line="360" w:lineRule="exact"/>
                    <w:jc w:val="center"/>
                    <w:textAlignment w:val="center"/>
                    <w:rPr>
                      <w:kern w:val="0"/>
                      <w:szCs w:val="21"/>
                      <w:lang w:bidi="ar"/>
                    </w:rPr>
                  </w:pPr>
                </w:p>
              </w:tc>
              <w:tc>
                <w:tcPr>
                  <w:tcW w:w="1430" w:type="pct"/>
                  <w:vAlign w:val="center"/>
                </w:tcPr>
                <w:p>
                  <w:pPr>
                    <w:spacing w:line="360" w:lineRule="exact"/>
                    <w:jc w:val="center"/>
                    <w:rPr>
                      <w:szCs w:val="21"/>
                    </w:rPr>
                  </w:pPr>
                  <w:r>
                    <w:rPr>
                      <w:szCs w:val="21"/>
                    </w:rPr>
                    <w:t>排放量（t/a）</w:t>
                  </w:r>
                </w:p>
              </w:tc>
              <w:tc>
                <w:tcPr>
                  <w:tcW w:w="601" w:type="pct"/>
                  <w:vAlign w:val="bottom"/>
                </w:tcPr>
                <w:p>
                  <w:pPr>
                    <w:widowControl/>
                    <w:spacing w:line="360" w:lineRule="exact"/>
                    <w:jc w:val="center"/>
                    <w:textAlignment w:val="bottom"/>
                    <w:rPr>
                      <w:kern w:val="0"/>
                      <w:szCs w:val="21"/>
                      <w:lang w:bidi="ar"/>
                    </w:rPr>
                  </w:pPr>
                  <w:r>
                    <w:rPr>
                      <w:kern w:val="0"/>
                      <w:szCs w:val="21"/>
                      <w:lang w:bidi="ar"/>
                    </w:rPr>
                    <w:t>0.0809</w:t>
                  </w:r>
                </w:p>
              </w:tc>
              <w:tc>
                <w:tcPr>
                  <w:tcW w:w="602" w:type="pct"/>
                  <w:vAlign w:val="bottom"/>
                </w:tcPr>
                <w:p>
                  <w:pPr>
                    <w:widowControl/>
                    <w:spacing w:line="360" w:lineRule="exact"/>
                    <w:jc w:val="center"/>
                    <w:textAlignment w:val="bottom"/>
                    <w:rPr>
                      <w:kern w:val="0"/>
                      <w:szCs w:val="21"/>
                      <w:lang w:bidi="ar"/>
                    </w:rPr>
                  </w:pPr>
                  <w:r>
                    <w:rPr>
                      <w:kern w:val="0"/>
                      <w:szCs w:val="21"/>
                      <w:lang w:bidi="ar"/>
                    </w:rPr>
                    <w:t>0.0233</w:t>
                  </w:r>
                </w:p>
              </w:tc>
              <w:tc>
                <w:tcPr>
                  <w:tcW w:w="593" w:type="pct"/>
                  <w:vAlign w:val="bottom"/>
                </w:tcPr>
                <w:p>
                  <w:pPr>
                    <w:widowControl/>
                    <w:spacing w:line="360" w:lineRule="exact"/>
                    <w:jc w:val="center"/>
                    <w:textAlignment w:val="bottom"/>
                    <w:rPr>
                      <w:kern w:val="0"/>
                      <w:szCs w:val="21"/>
                      <w:lang w:bidi="ar"/>
                    </w:rPr>
                  </w:pPr>
                  <w:r>
                    <w:rPr>
                      <w:kern w:val="0"/>
                      <w:szCs w:val="21"/>
                      <w:lang w:bidi="ar"/>
                    </w:rPr>
                    <w:t>0.0564</w:t>
                  </w:r>
                </w:p>
              </w:tc>
              <w:tc>
                <w:tcPr>
                  <w:tcW w:w="694" w:type="pct"/>
                  <w:vAlign w:val="bottom"/>
                </w:tcPr>
                <w:p>
                  <w:pPr>
                    <w:widowControl/>
                    <w:spacing w:line="360" w:lineRule="exact"/>
                    <w:jc w:val="center"/>
                    <w:textAlignment w:val="bottom"/>
                    <w:rPr>
                      <w:kern w:val="0"/>
                      <w:szCs w:val="21"/>
                      <w:lang w:bidi="ar"/>
                    </w:rPr>
                  </w:pPr>
                  <w:r>
                    <w:rPr>
                      <w:kern w:val="0"/>
                      <w:szCs w:val="21"/>
                      <w:lang w:bidi="ar"/>
                    </w:rPr>
                    <w:t>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1" w:type="pct"/>
                  <w:gridSpan w:val="2"/>
                  <w:vAlign w:val="center"/>
                </w:tcPr>
                <w:p>
                  <w:pPr>
                    <w:spacing w:line="360" w:lineRule="exact"/>
                    <w:jc w:val="center"/>
                    <w:rPr>
                      <w:szCs w:val="21"/>
                    </w:rPr>
                  </w:pPr>
                  <w:r>
                    <w:rPr>
                      <w:szCs w:val="21"/>
                    </w:rPr>
                    <w:t>（GB8978-1996）三级标准</w:t>
                  </w:r>
                </w:p>
              </w:tc>
              <w:tc>
                <w:tcPr>
                  <w:tcW w:w="601" w:type="pct"/>
                  <w:vAlign w:val="center"/>
                </w:tcPr>
                <w:p>
                  <w:pPr>
                    <w:widowControl/>
                    <w:spacing w:line="360" w:lineRule="exact"/>
                    <w:jc w:val="center"/>
                    <w:textAlignment w:val="bottom"/>
                    <w:rPr>
                      <w:kern w:val="0"/>
                      <w:szCs w:val="21"/>
                      <w:lang w:bidi="ar"/>
                    </w:rPr>
                  </w:pPr>
                  <w:r>
                    <w:rPr>
                      <w:kern w:val="0"/>
                      <w:szCs w:val="21"/>
                      <w:lang w:bidi="ar"/>
                    </w:rPr>
                    <w:t>500</w:t>
                  </w:r>
                </w:p>
              </w:tc>
              <w:tc>
                <w:tcPr>
                  <w:tcW w:w="602" w:type="pct"/>
                  <w:vAlign w:val="center"/>
                </w:tcPr>
                <w:p>
                  <w:pPr>
                    <w:widowControl/>
                    <w:spacing w:line="360" w:lineRule="exact"/>
                    <w:jc w:val="center"/>
                    <w:textAlignment w:val="bottom"/>
                    <w:rPr>
                      <w:kern w:val="0"/>
                      <w:szCs w:val="21"/>
                      <w:lang w:bidi="ar"/>
                    </w:rPr>
                  </w:pPr>
                  <w:r>
                    <w:rPr>
                      <w:kern w:val="0"/>
                      <w:szCs w:val="21"/>
                      <w:lang w:bidi="ar"/>
                    </w:rPr>
                    <w:t>300</w:t>
                  </w:r>
                </w:p>
              </w:tc>
              <w:tc>
                <w:tcPr>
                  <w:tcW w:w="593" w:type="pct"/>
                  <w:vAlign w:val="center"/>
                </w:tcPr>
                <w:p>
                  <w:pPr>
                    <w:widowControl/>
                    <w:spacing w:line="360" w:lineRule="exact"/>
                    <w:jc w:val="center"/>
                    <w:textAlignment w:val="bottom"/>
                    <w:rPr>
                      <w:kern w:val="0"/>
                      <w:szCs w:val="21"/>
                      <w:lang w:bidi="ar"/>
                    </w:rPr>
                  </w:pPr>
                  <w:r>
                    <w:rPr>
                      <w:kern w:val="0"/>
                      <w:szCs w:val="21"/>
                      <w:lang w:bidi="ar"/>
                    </w:rPr>
                    <w:t>400</w:t>
                  </w:r>
                </w:p>
              </w:tc>
              <w:tc>
                <w:tcPr>
                  <w:tcW w:w="694" w:type="pct"/>
                  <w:vAlign w:val="center"/>
                </w:tcPr>
                <w:p>
                  <w:pPr>
                    <w:widowControl/>
                    <w:spacing w:line="360" w:lineRule="exact"/>
                    <w:jc w:val="center"/>
                    <w:textAlignment w:val="bottom"/>
                    <w:rPr>
                      <w:kern w:val="0"/>
                      <w:szCs w:val="21"/>
                      <w:lang w:bidi="ar"/>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1" w:type="pct"/>
                  <w:gridSpan w:val="2"/>
                  <w:vAlign w:val="center"/>
                </w:tcPr>
                <w:p>
                  <w:pPr>
                    <w:spacing w:line="360" w:lineRule="exact"/>
                    <w:jc w:val="center"/>
                    <w:rPr>
                      <w:szCs w:val="21"/>
                    </w:rPr>
                  </w:pPr>
                  <w:r>
                    <w:rPr>
                      <w:bCs/>
                      <w:szCs w:val="21"/>
                    </w:rPr>
                    <w:t>（GB/T31962-2015）B</w:t>
                  </w:r>
                  <w:r>
                    <w:rPr>
                      <w:szCs w:val="21"/>
                    </w:rPr>
                    <w:t>级标准</w:t>
                  </w:r>
                </w:p>
              </w:tc>
              <w:tc>
                <w:tcPr>
                  <w:tcW w:w="601" w:type="pct"/>
                  <w:vAlign w:val="center"/>
                </w:tcPr>
                <w:p>
                  <w:pPr>
                    <w:widowControl/>
                    <w:spacing w:line="360" w:lineRule="exact"/>
                    <w:jc w:val="center"/>
                    <w:textAlignment w:val="bottom"/>
                    <w:rPr>
                      <w:kern w:val="0"/>
                      <w:szCs w:val="21"/>
                      <w:lang w:bidi="ar"/>
                    </w:rPr>
                  </w:pPr>
                  <w:r>
                    <w:rPr>
                      <w:kern w:val="0"/>
                      <w:szCs w:val="21"/>
                      <w:lang w:bidi="ar"/>
                    </w:rPr>
                    <w:t>/</w:t>
                  </w:r>
                </w:p>
              </w:tc>
              <w:tc>
                <w:tcPr>
                  <w:tcW w:w="602" w:type="pct"/>
                  <w:vAlign w:val="center"/>
                </w:tcPr>
                <w:p>
                  <w:pPr>
                    <w:widowControl/>
                    <w:spacing w:line="360" w:lineRule="exact"/>
                    <w:jc w:val="center"/>
                    <w:textAlignment w:val="bottom"/>
                    <w:rPr>
                      <w:kern w:val="0"/>
                      <w:szCs w:val="21"/>
                      <w:lang w:bidi="ar"/>
                    </w:rPr>
                  </w:pPr>
                  <w:r>
                    <w:rPr>
                      <w:kern w:val="0"/>
                      <w:szCs w:val="21"/>
                      <w:lang w:bidi="ar"/>
                    </w:rPr>
                    <w:t>/</w:t>
                  </w:r>
                </w:p>
              </w:tc>
              <w:tc>
                <w:tcPr>
                  <w:tcW w:w="593" w:type="pct"/>
                  <w:vAlign w:val="center"/>
                </w:tcPr>
                <w:p>
                  <w:pPr>
                    <w:widowControl/>
                    <w:spacing w:line="360" w:lineRule="exact"/>
                    <w:jc w:val="center"/>
                    <w:textAlignment w:val="bottom"/>
                    <w:rPr>
                      <w:kern w:val="0"/>
                      <w:szCs w:val="21"/>
                      <w:lang w:bidi="ar"/>
                    </w:rPr>
                  </w:pPr>
                  <w:r>
                    <w:rPr>
                      <w:kern w:val="0"/>
                      <w:szCs w:val="21"/>
                      <w:lang w:bidi="ar"/>
                    </w:rPr>
                    <w:t>/</w:t>
                  </w:r>
                </w:p>
              </w:tc>
              <w:tc>
                <w:tcPr>
                  <w:tcW w:w="694" w:type="pct"/>
                  <w:vAlign w:val="center"/>
                </w:tcPr>
                <w:p>
                  <w:pPr>
                    <w:widowControl/>
                    <w:spacing w:line="360" w:lineRule="exact"/>
                    <w:jc w:val="center"/>
                    <w:textAlignment w:val="bottom"/>
                    <w:rPr>
                      <w:kern w:val="0"/>
                      <w:szCs w:val="21"/>
                      <w:lang w:bidi="ar"/>
                    </w:rPr>
                  </w:pPr>
                  <w:r>
                    <w:rPr>
                      <w:kern w:val="0"/>
                      <w:szCs w:val="21"/>
                      <w:lang w:bidi="ar"/>
                    </w:rPr>
                    <w:t>45</w:t>
                  </w:r>
                </w:p>
              </w:tc>
            </w:tr>
          </w:tbl>
          <w:p>
            <w:pPr>
              <w:spacing w:before="120" w:beforeLines="50" w:line="360" w:lineRule="auto"/>
              <w:ind w:firstLine="480" w:firstLineChars="200"/>
              <w:rPr>
                <w:bCs/>
                <w:sz w:val="24"/>
              </w:rPr>
            </w:pPr>
            <w:r>
              <w:rPr>
                <w:bCs/>
                <w:sz w:val="24"/>
              </w:rPr>
              <w:t>1、达标排放分析</w:t>
            </w:r>
          </w:p>
          <w:p>
            <w:pPr>
              <w:spacing w:line="360" w:lineRule="auto"/>
              <w:ind w:firstLine="480" w:firstLineChars="200"/>
              <w:rPr>
                <w:bCs/>
                <w:sz w:val="24"/>
              </w:rPr>
            </w:pPr>
            <w:r>
              <w:rPr>
                <w:bCs/>
                <w:sz w:val="24"/>
              </w:rPr>
              <w:t>本项目</w:t>
            </w:r>
            <w:r>
              <w:rPr>
                <w:sz w:val="24"/>
              </w:rPr>
              <w:t>第2次清洗废水、第3次清洗废水</w:t>
            </w:r>
            <w:r>
              <w:rPr>
                <w:rFonts w:hint="eastAsia"/>
                <w:sz w:val="24"/>
              </w:rPr>
              <w:t>、</w:t>
            </w:r>
            <w:r>
              <w:rPr>
                <w:sz w:val="24"/>
              </w:rPr>
              <w:t>实验器具使用前润洗进入中和池（新建）处理后与实验室地面清洁废水、生活污水一起排入园区化粪池，最终排入西安市第九污水处理厂。</w:t>
            </w:r>
            <w:r>
              <w:rPr>
                <w:bCs/>
                <w:sz w:val="24"/>
              </w:rPr>
              <w:t>根据以上分析，项目废水中各污染物排放浓度满足《污水综合排放标准》（GB8978-1996）中三级标准及《污水排入城镇下水道水质标准》（GB/T31962-2015）B级标准要求。</w:t>
            </w:r>
          </w:p>
          <w:p>
            <w:pPr>
              <w:spacing w:line="360" w:lineRule="auto"/>
              <w:ind w:firstLine="480" w:firstLineChars="200"/>
              <w:rPr>
                <w:bCs/>
                <w:sz w:val="24"/>
              </w:rPr>
            </w:pPr>
            <w:r>
              <w:rPr>
                <w:bCs/>
                <w:sz w:val="24"/>
              </w:rPr>
              <w:t>2、</w:t>
            </w:r>
            <w:r>
              <w:rPr>
                <w:sz w:val="24"/>
              </w:rPr>
              <w:t>化粪池依托可行性分析</w:t>
            </w:r>
          </w:p>
          <w:p>
            <w:pPr>
              <w:spacing w:line="360" w:lineRule="auto"/>
              <w:ind w:firstLine="480" w:firstLineChars="200"/>
              <w:rPr>
                <w:sz w:val="24"/>
              </w:rPr>
            </w:pPr>
            <w:r>
              <w:rPr>
                <w:sz w:val="24"/>
              </w:rPr>
              <w:t>根据现场了解，项目依托园区已建成化粪池，容积为100m</w:t>
            </w:r>
            <w:r>
              <w:rPr>
                <w:sz w:val="24"/>
                <w:vertAlign w:val="superscript"/>
              </w:rPr>
              <w:t>3</w:t>
            </w:r>
            <w:r>
              <w:rPr>
                <w:sz w:val="24"/>
              </w:rPr>
              <w:t>，尚有余量约50m</w:t>
            </w:r>
            <w:r>
              <w:rPr>
                <w:sz w:val="24"/>
                <w:vertAlign w:val="superscript"/>
              </w:rPr>
              <w:t>3</w:t>
            </w:r>
            <w:r>
              <w:rPr>
                <w:sz w:val="24"/>
              </w:rPr>
              <w:t>，本项目排水量为0.5548m</w:t>
            </w:r>
            <w:r>
              <w:rPr>
                <w:sz w:val="24"/>
                <w:vertAlign w:val="superscript"/>
              </w:rPr>
              <w:t>3</w:t>
            </w:r>
            <w:r>
              <w:rPr>
                <w:sz w:val="24"/>
              </w:rPr>
              <w:t>/d，余量足以接纳本项目实验室废水和生活污水，故本项目实验室废水和生活污水废水可依托该化粪池进行处理。</w:t>
            </w:r>
          </w:p>
          <w:p>
            <w:pPr>
              <w:spacing w:line="360" w:lineRule="auto"/>
              <w:ind w:firstLine="480" w:firstLineChars="200"/>
              <w:rPr>
                <w:sz w:val="24"/>
              </w:rPr>
            </w:pPr>
            <w:r>
              <w:rPr>
                <w:sz w:val="24"/>
              </w:rPr>
              <w:t>3、污水处理厂依托可行性分析</w:t>
            </w:r>
          </w:p>
          <w:p>
            <w:pPr>
              <w:spacing w:line="360" w:lineRule="auto"/>
              <w:ind w:firstLine="480" w:firstLineChars="200"/>
              <w:rPr>
                <w:sz w:val="24"/>
                <w:shd w:val="clear" w:color="auto" w:fill="FFFFFF"/>
              </w:rPr>
            </w:pPr>
            <w:r>
              <w:rPr>
                <w:sz w:val="24"/>
              </w:rPr>
              <w:t>西安市第九（长安区）污水处理厂位于西安市长安区西部大道，</w:t>
            </w:r>
            <w:r>
              <w:rPr>
                <w:sz w:val="24"/>
                <w:shd w:val="clear" w:color="auto" w:fill="FFFFFF"/>
              </w:rPr>
              <w:t>一期工程设计处理规模5万m</w:t>
            </w:r>
            <w:r>
              <w:rPr>
                <w:sz w:val="24"/>
                <w:shd w:val="clear" w:color="auto" w:fill="FFFFFF"/>
                <w:vertAlign w:val="superscript"/>
              </w:rPr>
              <w:t>3</w:t>
            </w:r>
            <w:r>
              <w:rPr>
                <w:sz w:val="24"/>
                <w:shd w:val="clear" w:color="auto" w:fill="FFFFFF"/>
              </w:rPr>
              <w:t>/d，于2008年11月底建成，2009年6月进入商业运营，工艺采用改良型卡鲁塞尔氧化沟处理工艺（厌氧/缺氧/好氧），处理后的水质达到GB18918-2002《城镇污水处理厂污染物排放标准》中的一级B标准；二期（5万m</w:t>
            </w:r>
            <w:r>
              <w:rPr>
                <w:sz w:val="24"/>
                <w:shd w:val="clear" w:color="auto" w:fill="FFFFFF"/>
                <w:vertAlign w:val="superscript"/>
              </w:rPr>
              <w:t>3</w:t>
            </w:r>
            <w:r>
              <w:rPr>
                <w:sz w:val="24"/>
                <w:shd w:val="clear" w:color="auto" w:fill="FFFFFF"/>
              </w:rPr>
              <w:t>/d）及提标改造工程于2012年底建成，2013年2月进入试运行；建成后污水厂总规模达到10万m</w:t>
            </w:r>
            <w:r>
              <w:rPr>
                <w:sz w:val="24"/>
                <w:shd w:val="clear" w:color="auto" w:fill="FFFFFF"/>
                <w:vertAlign w:val="superscript"/>
              </w:rPr>
              <w:t>3</w:t>
            </w:r>
            <w:r>
              <w:rPr>
                <w:sz w:val="24"/>
                <w:shd w:val="clear" w:color="auto" w:fill="FFFFFF"/>
              </w:rPr>
              <w:t>/d，污水处理采用改良型卡鲁赛尔氧化沟+纤维转盘滤池处理工艺，消毒处理采用次氯酸钠消毒工艺，剩余污泥通过一体化带式压滤机处理成泥饼，由区政府指定地点全处理，臭气收集至生物除臭滤池进行处理，达到除臭的作用。污水经粗格栅、提升泵房、细格栅、旋流沉砂池将污水中的较大污染物质去除，然后在氧化沟中进一步完成有机物的去除，二沉池出水经二次提升泵房提升后，经纤维转盘滤池等处理后，出水经次氯酸钠消毒后排入皂河，处理后的水质达到《城镇污水处理厂污染物排放标准》（GB18918-2002）中的一级A标准；污泥处理处置采用带式污泥浓缩脱水一体机脱水后外运工艺。三期设计处理规模10万m</w:t>
            </w:r>
            <w:r>
              <w:rPr>
                <w:sz w:val="24"/>
                <w:shd w:val="clear" w:color="auto" w:fill="FFFFFF"/>
                <w:vertAlign w:val="superscript"/>
              </w:rPr>
              <w:t>3</w:t>
            </w:r>
            <w:r>
              <w:rPr>
                <w:sz w:val="24"/>
                <w:shd w:val="clear" w:color="auto" w:fill="FFFFFF"/>
              </w:rPr>
              <w:t>/d，分两期建设，前期、后期处理规模均为5万m</w:t>
            </w:r>
            <w:r>
              <w:rPr>
                <w:sz w:val="24"/>
                <w:shd w:val="clear" w:color="auto" w:fill="FFFFFF"/>
                <w:vertAlign w:val="superscript"/>
              </w:rPr>
              <w:t>3</w:t>
            </w:r>
            <w:r>
              <w:rPr>
                <w:sz w:val="24"/>
                <w:shd w:val="clear" w:color="auto" w:fill="FFFFFF"/>
              </w:rPr>
              <w:t>/d，污水采用</w:t>
            </w:r>
            <w:r>
              <w:rPr>
                <w:rFonts w:hint="eastAsia"/>
                <w:sz w:val="24"/>
                <w:shd w:val="clear" w:color="auto" w:fill="FFFFFF"/>
              </w:rPr>
              <w:t>“A</w:t>
            </w:r>
            <w:r>
              <w:rPr>
                <w:sz w:val="24"/>
                <w:shd w:val="clear" w:color="auto" w:fill="FFFFFF"/>
                <w:vertAlign w:val="superscript"/>
              </w:rPr>
              <w:t>2</w:t>
            </w:r>
            <w:r>
              <w:rPr>
                <w:sz w:val="24"/>
                <w:shd w:val="clear" w:color="auto" w:fill="FFFFFF"/>
              </w:rPr>
              <w:t>O+V型滤</w:t>
            </w:r>
            <w:r>
              <w:rPr>
                <w:rFonts w:asciiTheme="minorEastAsia" w:hAnsiTheme="minorEastAsia" w:eastAsiaTheme="minorEastAsia"/>
                <w:sz w:val="24"/>
                <w:shd w:val="clear" w:color="auto" w:fill="FFFFFF"/>
              </w:rPr>
              <w:t>池</w:t>
            </w:r>
            <w:r>
              <w:rPr>
                <w:rFonts w:hint="eastAsia"/>
                <w:sz w:val="24"/>
                <w:shd w:val="clear" w:color="auto" w:fill="FFFFFF"/>
              </w:rPr>
              <w:t>”</w:t>
            </w:r>
            <w:r>
              <w:rPr>
                <w:sz w:val="24"/>
                <w:shd w:val="clear" w:color="auto" w:fill="FFFFFF"/>
              </w:rPr>
              <w:t>处理工艺，出水水质达到GB18918-2002中的一级A标准及《城市污水再生利用 城市杂用水水质》（GB/T 9920-2002）要求，处理废水60%作为中水回用接至各用户，40%作为河流补充水排入皂河。</w:t>
            </w:r>
          </w:p>
          <w:p>
            <w:pPr>
              <w:spacing w:line="360" w:lineRule="auto"/>
              <w:ind w:firstLine="480" w:firstLineChars="200"/>
              <w:rPr>
                <w:spacing w:val="-4"/>
                <w:sz w:val="24"/>
              </w:rPr>
            </w:pPr>
            <w:r>
              <w:rPr>
                <w:sz w:val="24"/>
              </w:rPr>
              <w:t>本项目日排污水量占污水处理厂处理规模份额较小，本项目处于该污水处理厂收水范围内，因此本项目依托该污水处理厂可行</w:t>
            </w:r>
            <w:r>
              <w:rPr>
                <w:spacing w:val="-4"/>
                <w:sz w:val="24"/>
              </w:rPr>
              <w:t>。</w:t>
            </w:r>
          </w:p>
          <w:p>
            <w:pPr>
              <w:spacing w:line="360" w:lineRule="auto"/>
              <w:ind w:firstLine="480" w:firstLineChars="200"/>
              <w:rPr>
                <w:bCs/>
                <w:sz w:val="24"/>
              </w:rPr>
            </w:pPr>
            <w:r>
              <w:rPr>
                <w:bCs/>
                <w:sz w:val="24"/>
              </w:rPr>
              <w:t>4、废水排放口基本情况</w:t>
            </w:r>
          </w:p>
          <w:p>
            <w:pPr>
              <w:spacing w:line="360" w:lineRule="auto"/>
              <w:ind w:firstLine="480" w:firstLineChars="200"/>
              <w:rPr>
                <w:sz w:val="24"/>
              </w:rPr>
            </w:pPr>
            <w:r>
              <w:rPr>
                <w:sz w:val="24"/>
              </w:rPr>
              <w:t>废水排放口基本情况见表4-5。</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表4-5  废水排放口基本情况表</w:t>
            </w:r>
          </w:p>
          <w:tbl>
            <w:tblPr>
              <w:tblStyle w:val="24"/>
              <w:tblW w:w="4998"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689"/>
              <w:gridCol w:w="385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12" w:type="pct"/>
                  <w:tcBorders>
                    <w:tl2br w:val="nil"/>
                    <w:tr2bl w:val="nil"/>
                  </w:tcBorders>
                  <w:tcMar>
                    <w:left w:w="28" w:type="dxa"/>
                    <w:right w:w="28" w:type="dxa"/>
                  </w:tcMar>
                  <w:vAlign w:val="center"/>
                </w:tcPr>
                <w:p>
                  <w:pPr>
                    <w:pStyle w:val="47"/>
                    <w:rPr>
                      <w:szCs w:val="21"/>
                    </w:rPr>
                  </w:pPr>
                  <w:r>
                    <w:rPr>
                      <w:szCs w:val="21"/>
                    </w:rPr>
                    <w:t>编号</w:t>
                  </w:r>
                </w:p>
              </w:tc>
              <w:tc>
                <w:tcPr>
                  <w:tcW w:w="1064" w:type="pct"/>
                  <w:tcBorders>
                    <w:tl2br w:val="nil"/>
                    <w:tr2bl w:val="nil"/>
                  </w:tcBorders>
                  <w:tcMar>
                    <w:left w:w="28" w:type="dxa"/>
                    <w:right w:w="28" w:type="dxa"/>
                  </w:tcMar>
                  <w:vAlign w:val="center"/>
                </w:tcPr>
                <w:p>
                  <w:pPr>
                    <w:pStyle w:val="47"/>
                    <w:rPr>
                      <w:szCs w:val="21"/>
                    </w:rPr>
                  </w:pPr>
                  <w:r>
                    <w:rPr>
                      <w:szCs w:val="21"/>
                    </w:rPr>
                    <w:t>名称</w:t>
                  </w:r>
                </w:p>
              </w:tc>
              <w:tc>
                <w:tcPr>
                  <w:tcW w:w="2427" w:type="pct"/>
                  <w:tcBorders>
                    <w:tl2br w:val="nil"/>
                    <w:tr2bl w:val="nil"/>
                  </w:tcBorders>
                  <w:tcMar>
                    <w:left w:w="28" w:type="dxa"/>
                    <w:right w:w="28" w:type="dxa"/>
                  </w:tcMar>
                  <w:vAlign w:val="center"/>
                </w:tcPr>
                <w:p>
                  <w:pPr>
                    <w:pStyle w:val="47"/>
                    <w:rPr>
                      <w:szCs w:val="21"/>
                    </w:rPr>
                  </w:pPr>
                  <w:r>
                    <w:rPr>
                      <w:szCs w:val="21"/>
                    </w:rPr>
                    <w:t>地理坐标</w:t>
                  </w:r>
                </w:p>
              </w:tc>
              <w:tc>
                <w:tcPr>
                  <w:tcW w:w="895" w:type="pct"/>
                  <w:tcBorders>
                    <w:tl2br w:val="nil"/>
                    <w:tr2bl w:val="nil"/>
                  </w:tcBorders>
                  <w:tcMar>
                    <w:left w:w="28" w:type="dxa"/>
                    <w:right w:w="28" w:type="dxa"/>
                  </w:tcMar>
                  <w:vAlign w:val="center"/>
                </w:tcPr>
                <w:p>
                  <w:pPr>
                    <w:pStyle w:val="47"/>
                    <w:rPr>
                      <w:szCs w:val="21"/>
                    </w:rPr>
                  </w:pPr>
                  <w:r>
                    <w:rPr>
                      <w:szCs w:val="21"/>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12" w:type="pct"/>
                  <w:tcBorders>
                    <w:tl2br w:val="nil"/>
                    <w:tr2bl w:val="nil"/>
                  </w:tcBorders>
                  <w:tcMar>
                    <w:left w:w="28" w:type="dxa"/>
                    <w:right w:w="28" w:type="dxa"/>
                  </w:tcMar>
                  <w:vAlign w:val="center"/>
                </w:tcPr>
                <w:p>
                  <w:pPr>
                    <w:pStyle w:val="47"/>
                    <w:rPr>
                      <w:szCs w:val="21"/>
                    </w:rPr>
                  </w:pPr>
                  <w:r>
                    <w:rPr>
                      <w:szCs w:val="21"/>
                    </w:rPr>
                    <w:t>DW001</w:t>
                  </w:r>
                </w:p>
              </w:tc>
              <w:tc>
                <w:tcPr>
                  <w:tcW w:w="1064" w:type="pct"/>
                  <w:tcBorders>
                    <w:tl2br w:val="nil"/>
                    <w:tr2bl w:val="nil"/>
                  </w:tcBorders>
                  <w:tcMar>
                    <w:left w:w="28" w:type="dxa"/>
                    <w:right w:w="28" w:type="dxa"/>
                  </w:tcMar>
                  <w:vAlign w:val="center"/>
                </w:tcPr>
                <w:p>
                  <w:pPr>
                    <w:pStyle w:val="47"/>
                    <w:rPr>
                      <w:kern w:val="0"/>
                    </w:rPr>
                  </w:pPr>
                  <w:r>
                    <w:rPr>
                      <w:kern w:val="0"/>
                    </w:rPr>
                    <w:t>废水总排放口</w:t>
                  </w:r>
                </w:p>
                <w:p>
                  <w:pPr>
                    <w:pStyle w:val="47"/>
                    <w:rPr>
                      <w:szCs w:val="21"/>
                    </w:rPr>
                  </w:pPr>
                  <w:r>
                    <w:rPr>
                      <w:kern w:val="0"/>
                    </w:rPr>
                    <w:t>（园区化粪池）</w:t>
                  </w:r>
                </w:p>
              </w:tc>
              <w:tc>
                <w:tcPr>
                  <w:tcW w:w="2427" w:type="pct"/>
                  <w:tcBorders>
                    <w:tl2br w:val="nil"/>
                    <w:tr2bl w:val="nil"/>
                  </w:tcBorders>
                  <w:tcMar>
                    <w:left w:w="28" w:type="dxa"/>
                    <w:right w:w="28" w:type="dxa"/>
                  </w:tcMar>
                  <w:vAlign w:val="center"/>
                </w:tcPr>
                <w:p>
                  <w:pPr>
                    <w:pStyle w:val="47"/>
                    <w:rPr>
                      <w:szCs w:val="21"/>
                    </w:rPr>
                  </w:pPr>
                  <w:r>
                    <w:rPr>
                      <w:szCs w:val="21"/>
                    </w:rPr>
                    <w:t>东经</w:t>
                  </w:r>
                  <w:r>
                    <w:rPr>
                      <w:bCs/>
                      <w:szCs w:val="21"/>
                    </w:rPr>
                    <w:t>108.866427</w:t>
                  </w:r>
                  <w:r>
                    <w:rPr>
                      <w:szCs w:val="21"/>
                    </w:rPr>
                    <w:t>，北纬</w:t>
                  </w:r>
                  <w:r>
                    <w:rPr>
                      <w:bCs/>
                      <w:szCs w:val="21"/>
                    </w:rPr>
                    <w:t>34.151233</w:t>
                  </w:r>
                </w:p>
              </w:tc>
              <w:tc>
                <w:tcPr>
                  <w:tcW w:w="895" w:type="pct"/>
                  <w:tcBorders>
                    <w:tl2br w:val="nil"/>
                    <w:tr2bl w:val="nil"/>
                  </w:tcBorders>
                  <w:tcMar>
                    <w:left w:w="28" w:type="dxa"/>
                    <w:right w:w="28" w:type="dxa"/>
                  </w:tcMar>
                  <w:vAlign w:val="center"/>
                </w:tcPr>
                <w:p>
                  <w:pPr>
                    <w:pStyle w:val="47"/>
                    <w:rPr>
                      <w:szCs w:val="21"/>
                    </w:rPr>
                  </w:pPr>
                  <w:r>
                    <w:rPr>
                      <w:szCs w:val="21"/>
                    </w:rPr>
                    <w:t>一般排放口</w:t>
                  </w:r>
                </w:p>
              </w:tc>
            </w:tr>
          </w:tbl>
          <w:p>
            <w:pPr>
              <w:spacing w:before="120" w:beforeLines="50" w:line="360" w:lineRule="auto"/>
              <w:ind w:firstLine="480" w:firstLineChars="200"/>
              <w:rPr>
                <w:bCs/>
                <w:sz w:val="24"/>
              </w:rPr>
            </w:pPr>
            <w:r>
              <w:rPr>
                <w:bCs/>
                <w:sz w:val="24"/>
              </w:rPr>
              <w:t>5、废水监测计划</w:t>
            </w:r>
          </w:p>
          <w:p>
            <w:pPr>
              <w:adjustRightInd w:val="0"/>
              <w:snapToGrid w:val="0"/>
              <w:spacing w:line="360" w:lineRule="auto"/>
              <w:ind w:firstLine="480" w:firstLineChars="200"/>
              <w:rPr>
                <w:b/>
                <w:szCs w:val="21"/>
              </w:rPr>
            </w:pPr>
            <w:r>
              <w:rPr>
                <w:bCs/>
                <w:sz w:val="24"/>
              </w:rPr>
              <w:t>根据《排污单位自行监测技术指南 总则》（HJ 819-2017），项目废水监测要求见表4-6。</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表4-6  运营期废水监测计划表</w:t>
            </w:r>
          </w:p>
          <w:tbl>
            <w:tblPr>
              <w:tblStyle w:val="24"/>
              <w:tblW w:w="4989"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7"/>
              <w:gridCol w:w="1270"/>
              <w:gridCol w:w="882"/>
              <w:gridCol w:w="912"/>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465" w:type="pct"/>
                  <w:tcBorders>
                    <w:tl2br w:val="nil"/>
                    <w:tr2bl w:val="nil"/>
                  </w:tcBorders>
                  <w:vAlign w:val="center"/>
                </w:tcPr>
                <w:p>
                  <w:pPr>
                    <w:widowControl/>
                    <w:adjustRightInd w:val="0"/>
                    <w:snapToGrid w:val="0"/>
                    <w:jc w:val="center"/>
                    <w:rPr>
                      <w:kern w:val="0"/>
                    </w:rPr>
                  </w:pPr>
                  <w:r>
                    <w:rPr>
                      <w:kern w:val="0"/>
                    </w:rPr>
                    <w:t>污染源名称</w:t>
                  </w:r>
                </w:p>
              </w:tc>
              <w:tc>
                <w:tcPr>
                  <w:tcW w:w="802" w:type="pct"/>
                  <w:tcBorders>
                    <w:tl2br w:val="nil"/>
                    <w:tr2bl w:val="nil"/>
                  </w:tcBorders>
                  <w:vAlign w:val="center"/>
                </w:tcPr>
                <w:p>
                  <w:pPr>
                    <w:widowControl/>
                    <w:adjustRightInd w:val="0"/>
                    <w:snapToGrid w:val="0"/>
                    <w:jc w:val="center"/>
                    <w:rPr>
                      <w:kern w:val="0"/>
                    </w:rPr>
                  </w:pPr>
                  <w:r>
                    <w:rPr>
                      <w:kern w:val="0"/>
                    </w:rPr>
                    <w:t>监测项目</w:t>
                  </w:r>
                </w:p>
              </w:tc>
              <w:tc>
                <w:tcPr>
                  <w:tcW w:w="557" w:type="pct"/>
                  <w:tcBorders>
                    <w:tl2br w:val="nil"/>
                    <w:tr2bl w:val="nil"/>
                  </w:tcBorders>
                  <w:vAlign w:val="center"/>
                </w:tcPr>
                <w:p>
                  <w:pPr>
                    <w:widowControl/>
                    <w:adjustRightInd w:val="0"/>
                    <w:snapToGrid w:val="0"/>
                    <w:jc w:val="center"/>
                    <w:rPr>
                      <w:kern w:val="0"/>
                    </w:rPr>
                  </w:pPr>
                  <w:r>
                    <w:rPr>
                      <w:kern w:val="0"/>
                    </w:rPr>
                    <w:t>监测</w:t>
                  </w:r>
                </w:p>
                <w:p>
                  <w:pPr>
                    <w:widowControl/>
                    <w:adjustRightInd w:val="0"/>
                    <w:snapToGrid w:val="0"/>
                    <w:jc w:val="center"/>
                    <w:rPr>
                      <w:kern w:val="0"/>
                    </w:rPr>
                  </w:pPr>
                  <w:r>
                    <w:rPr>
                      <w:kern w:val="0"/>
                    </w:rPr>
                    <w:t>点数</w:t>
                  </w:r>
                </w:p>
              </w:tc>
              <w:tc>
                <w:tcPr>
                  <w:tcW w:w="576" w:type="pct"/>
                  <w:tcBorders>
                    <w:tl2br w:val="nil"/>
                    <w:tr2bl w:val="nil"/>
                  </w:tcBorders>
                  <w:vAlign w:val="center"/>
                </w:tcPr>
                <w:p>
                  <w:pPr>
                    <w:widowControl/>
                    <w:adjustRightInd w:val="0"/>
                    <w:snapToGrid w:val="0"/>
                    <w:jc w:val="center"/>
                    <w:rPr>
                      <w:kern w:val="0"/>
                    </w:rPr>
                  </w:pPr>
                  <w:r>
                    <w:rPr>
                      <w:kern w:val="0"/>
                    </w:rPr>
                    <w:t>监测频次</w:t>
                  </w:r>
                </w:p>
              </w:tc>
              <w:tc>
                <w:tcPr>
                  <w:tcW w:w="2601" w:type="pct"/>
                  <w:tcBorders>
                    <w:tl2br w:val="nil"/>
                    <w:tr2bl w:val="nil"/>
                  </w:tcBorders>
                  <w:vAlign w:val="center"/>
                </w:tcPr>
                <w:p>
                  <w:pPr>
                    <w:widowControl/>
                    <w:adjustRightInd w:val="0"/>
                    <w:snapToGrid w:val="0"/>
                    <w:jc w:val="center"/>
                    <w:rPr>
                      <w:kern w:val="0"/>
                    </w:rPr>
                  </w:pPr>
                  <w:r>
                    <w:rPr>
                      <w:kern w:val="0"/>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trPr>
              <w:tc>
                <w:tcPr>
                  <w:tcW w:w="465" w:type="pct"/>
                  <w:tcBorders>
                    <w:tl2br w:val="nil"/>
                    <w:tr2bl w:val="nil"/>
                  </w:tcBorders>
                  <w:vAlign w:val="center"/>
                </w:tcPr>
                <w:p>
                  <w:pPr>
                    <w:widowControl/>
                    <w:adjustRightInd w:val="0"/>
                    <w:snapToGrid w:val="0"/>
                    <w:jc w:val="center"/>
                    <w:rPr>
                      <w:kern w:val="0"/>
                    </w:rPr>
                  </w:pPr>
                  <w:r>
                    <w:rPr>
                      <w:kern w:val="0"/>
                    </w:rPr>
                    <w:t>综合</w:t>
                  </w:r>
                </w:p>
                <w:p>
                  <w:pPr>
                    <w:widowControl/>
                    <w:adjustRightInd w:val="0"/>
                    <w:snapToGrid w:val="0"/>
                    <w:jc w:val="center"/>
                    <w:rPr>
                      <w:kern w:val="0"/>
                    </w:rPr>
                  </w:pPr>
                  <w:r>
                    <w:rPr>
                      <w:kern w:val="0"/>
                    </w:rPr>
                    <w:t>废水</w:t>
                  </w:r>
                </w:p>
              </w:tc>
              <w:tc>
                <w:tcPr>
                  <w:tcW w:w="802" w:type="pct"/>
                  <w:tcBorders>
                    <w:tl2br w:val="nil"/>
                    <w:tr2bl w:val="nil"/>
                  </w:tcBorders>
                  <w:vAlign w:val="center"/>
                </w:tcPr>
                <w:p>
                  <w:pPr>
                    <w:adjustRightInd w:val="0"/>
                    <w:snapToGrid w:val="0"/>
                    <w:jc w:val="left"/>
                    <w:rPr>
                      <w:kern w:val="0"/>
                    </w:rPr>
                  </w:pPr>
                  <w:r>
                    <w:rPr>
                      <w:kern w:val="0"/>
                    </w:rPr>
                    <w:t>COD、BOD</w:t>
                  </w:r>
                  <w:r>
                    <w:rPr>
                      <w:kern w:val="0"/>
                      <w:vertAlign w:val="subscript"/>
                    </w:rPr>
                    <w:t>5</w:t>
                  </w:r>
                  <w:r>
                    <w:rPr>
                      <w:kern w:val="0"/>
                    </w:rPr>
                    <w:t>、</w:t>
                  </w:r>
                  <w:r>
                    <w:t>SS、氨氮</w:t>
                  </w:r>
                </w:p>
              </w:tc>
              <w:tc>
                <w:tcPr>
                  <w:tcW w:w="557" w:type="pct"/>
                  <w:tcBorders>
                    <w:tl2br w:val="nil"/>
                    <w:tr2bl w:val="nil"/>
                  </w:tcBorders>
                  <w:vAlign w:val="center"/>
                </w:tcPr>
                <w:p>
                  <w:pPr>
                    <w:widowControl/>
                    <w:adjustRightInd w:val="0"/>
                    <w:snapToGrid w:val="0"/>
                    <w:jc w:val="center"/>
                    <w:rPr>
                      <w:kern w:val="0"/>
                    </w:rPr>
                  </w:pPr>
                  <w:r>
                    <w:rPr>
                      <w:kern w:val="0"/>
                    </w:rPr>
                    <w:t>1个</w:t>
                  </w:r>
                </w:p>
              </w:tc>
              <w:tc>
                <w:tcPr>
                  <w:tcW w:w="576" w:type="pct"/>
                  <w:tcBorders>
                    <w:tl2br w:val="nil"/>
                    <w:tr2bl w:val="nil"/>
                  </w:tcBorders>
                  <w:vAlign w:val="center"/>
                </w:tcPr>
                <w:p>
                  <w:pPr>
                    <w:widowControl/>
                    <w:adjustRightInd w:val="0"/>
                    <w:snapToGrid w:val="0"/>
                    <w:jc w:val="left"/>
                    <w:rPr>
                      <w:kern w:val="0"/>
                    </w:rPr>
                  </w:pPr>
                  <w:r>
                    <w:t>1次/年</w:t>
                  </w:r>
                </w:p>
              </w:tc>
              <w:tc>
                <w:tcPr>
                  <w:tcW w:w="2601" w:type="pct"/>
                  <w:tcBorders>
                    <w:tl2br w:val="nil"/>
                    <w:tr2bl w:val="nil"/>
                  </w:tcBorders>
                  <w:vAlign w:val="center"/>
                </w:tcPr>
                <w:p>
                  <w:pPr>
                    <w:wordWrap w:val="0"/>
                    <w:adjustRightInd w:val="0"/>
                    <w:snapToGrid w:val="0"/>
                    <w:jc w:val="left"/>
                    <w:rPr>
                      <w:kern w:val="0"/>
                    </w:rPr>
                  </w:pPr>
                  <w:r>
                    <w:rPr>
                      <w:kern w:val="0"/>
                    </w:rPr>
                    <w:t>COD、BOD</w:t>
                  </w:r>
                  <w:r>
                    <w:rPr>
                      <w:kern w:val="0"/>
                      <w:vertAlign w:val="subscript"/>
                    </w:rPr>
                    <w:t>5</w:t>
                  </w:r>
                  <w:r>
                    <w:rPr>
                      <w:kern w:val="0"/>
                    </w:rPr>
                    <w:t>、SS排放执行《污水综合排放标准》（GB8978-1996）三级标准，氨氮执行《污水排入城镇下水道水质标准》（GB/T31962-2015）表1中B等级标准</w:t>
                  </w:r>
                </w:p>
              </w:tc>
            </w:tr>
            <w:bookmarkEnd w:id="11"/>
          </w:tbl>
          <w:p>
            <w:pPr>
              <w:adjustRightInd w:val="0"/>
              <w:snapToGrid w:val="0"/>
              <w:spacing w:before="120" w:beforeLines="50" w:line="360" w:lineRule="auto"/>
              <w:ind w:firstLine="482" w:firstLineChars="200"/>
              <w:rPr>
                <w:b/>
                <w:bCs/>
                <w:sz w:val="24"/>
                <w:szCs w:val="32"/>
              </w:rPr>
            </w:pPr>
            <w:r>
              <w:rPr>
                <w:b/>
                <w:bCs/>
                <w:sz w:val="24"/>
                <w:szCs w:val="32"/>
              </w:rPr>
              <w:t>三、噪声</w:t>
            </w:r>
          </w:p>
          <w:p>
            <w:pPr>
              <w:pStyle w:val="44"/>
              <w:spacing w:line="360" w:lineRule="auto"/>
              <w:ind w:firstLine="480"/>
              <w:jc w:val="left"/>
              <w:rPr>
                <w:sz w:val="24"/>
              </w:rPr>
            </w:pPr>
            <w:r>
              <w:rPr>
                <w:sz w:val="24"/>
              </w:rPr>
              <w:t>1、噪声源强及降噪措施</w:t>
            </w:r>
          </w:p>
          <w:p>
            <w:pPr>
              <w:pStyle w:val="44"/>
              <w:spacing w:line="360" w:lineRule="auto"/>
              <w:ind w:firstLine="480"/>
              <w:rPr>
                <w:b/>
                <w:bCs/>
              </w:rPr>
            </w:pPr>
            <w:r>
              <w:rPr>
                <w:bCs/>
                <w:sz w:val="24"/>
              </w:rPr>
              <w:t>本项目噪声主要来自</w:t>
            </w:r>
            <w:r>
              <w:rPr>
                <w:sz w:val="24"/>
              </w:rPr>
              <w:t>水泵、油泵、环保设备风机等设备运行产生</w:t>
            </w:r>
            <w:r>
              <w:rPr>
                <w:kern w:val="0"/>
                <w:sz w:val="24"/>
              </w:rPr>
              <w:t>的噪声</w:t>
            </w:r>
            <w:r>
              <w:rPr>
                <w:bCs/>
                <w:sz w:val="24"/>
              </w:rPr>
              <w:t>。</w:t>
            </w:r>
            <w:r>
              <w:rPr>
                <w:sz w:val="24"/>
              </w:rPr>
              <w:t>根据《污染源源强核算技术指南 准则》（HJ884-2018）、《环境噪声与振动控制工程技术导则》（HJ2034-2013）并类比同类项目，源强为80~85dB(A)。本项目主要噪声源见表4-7、表4-8。</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表4-7  工业企业噪声源强调查清单（室内声源）</w:t>
            </w:r>
          </w:p>
          <w:tbl>
            <w:tblPr>
              <w:tblStyle w:val="24"/>
              <w:tblW w:w="49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928"/>
              <w:gridCol w:w="527"/>
              <w:gridCol w:w="1061"/>
              <w:gridCol w:w="624"/>
              <w:gridCol w:w="627"/>
              <w:gridCol w:w="347"/>
              <w:gridCol w:w="523"/>
              <w:gridCol w:w="505"/>
              <w:gridCol w:w="790"/>
              <w:gridCol w:w="621"/>
              <w:gridCol w:w="51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254" w:type="pct"/>
                  <w:vMerge w:val="restart"/>
                  <w:vAlign w:val="center"/>
                </w:tcPr>
                <w:p>
                  <w:pPr>
                    <w:spacing w:line="240" w:lineRule="exact"/>
                    <w:jc w:val="center"/>
                    <w:rPr>
                      <w:szCs w:val="21"/>
                    </w:rPr>
                  </w:pPr>
                  <w:r>
                    <w:rPr>
                      <w:szCs w:val="21"/>
                    </w:rPr>
                    <w:t>序号</w:t>
                  </w:r>
                </w:p>
              </w:tc>
              <w:tc>
                <w:tcPr>
                  <w:tcW w:w="587" w:type="pct"/>
                  <w:vMerge w:val="restart"/>
                  <w:vAlign w:val="center"/>
                </w:tcPr>
                <w:p>
                  <w:pPr>
                    <w:spacing w:line="240" w:lineRule="exact"/>
                    <w:jc w:val="center"/>
                    <w:rPr>
                      <w:szCs w:val="21"/>
                    </w:rPr>
                  </w:pPr>
                  <w:r>
                    <w:rPr>
                      <w:szCs w:val="21"/>
                    </w:rPr>
                    <w:t>声源名称</w:t>
                  </w:r>
                </w:p>
              </w:tc>
              <w:tc>
                <w:tcPr>
                  <w:tcW w:w="333" w:type="pct"/>
                  <w:vMerge w:val="restart"/>
                  <w:vAlign w:val="center"/>
                </w:tcPr>
                <w:p>
                  <w:pPr>
                    <w:spacing w:line="240" w:lineRule="exact"/>
                    <w:jc w:val="center"/>
                    <w:rPr>
                      <w:szCs w:val="21"/>
                    </w:rPr>
                  </w:pPr>
                  <w:r>
                    <w:rPr>
                      <w:szCs w:val="21"/>
                    </w:rPr>
                    <w:t>型号</w:t>
                  </w:r>
                </w:p>
              </w:tc>
              <w:tc>
                <w:tcPr>
                  <w:tcW w:w="671" w:type="pct"/>
                  <w:vAlign w:val="center"/>
                </w:tcPr>
                <w:p>
                  <w:pPr>
                    <w:spacing w:line="240" w:lineRule="exact"/>
                    <w:jc w:val="center"/>
                    <w:rPr>
                      <w:szCs w:val="21"/>
                    </w:rPr>
                  </w:pPr>
                  <w:r>
                    <w:rPr>
                      <w:szCs w:val="21"/>
                    </w:rPr>
                    <w:t>声源源强</w:t>
                  </w:r>
                </w:p>
              </w:tc>
              <w:tc>
                <w:tcPr>
                  <w:tcW w:w="1012" w:type="pct"/>
                  <w:gridSpan w:val="3"/>
                  <w:vAlign w:val="center"/>
                </w:tcPr>
                <w:p>
                  <w:pPr>
                    <w:spacing w:line="240" w:lineRule="exact"/>
                    <w:jc w:val="center"/>
                    <w:rPr>
                      <w:szCs w:val="21"/>
                    </w:rPr>
                  </w:pPr>
                  <w:r>
                    <w:rPr>
                      <w:szCs w:val="21"/>
                    </w:rPr>
                    <w:t>空间相对位置</w:t>
                  </w:r>
                </w:p>
              </w:tc>
              <w:tc>
                <w:tcPr>
                  <w:tcW w:w="331" w:type="pct"/>
                  <w:vMerge w:val="restart"/>
                  <w:vAlign w:val="center"/>
                </w:tcPr>
                <w:p>
                  <w:pPr>
                    <w:spacing w:line="240" w:lineRule="exact"/>
                    <w:jc w:val="center"/>
                    <w:rPr>
                      <w:szCs w:val="21"/>
                    </w:rPr>
                  </w:pPr>
                  <w:r>
                    <w:rPr>
                      <w:szCs w:val="21"/>
                    </w:rPr>
                    <w:t>距室内边界距离/m</w:t>
                  </w:r>
                </w:p>
              </w:tc>
              <w:tc>
                <w:tcPr>
                  <w:tcW w:w="320" w:type="pct"/>
                  <w:vMerge w:val="restart"/>
                  <w:vAlign w:val="center"/>
                </w:tcPr>
                <w:p>
                  <w:pPr>
                    <w:spacing w:line="240" w:lineRule="exact"/>
                    <w:jc w:val="center"/>
                    <w:rPr>
                      <w:szCs w:val="21"/>
                    </w:rPr>
                  </w:pPr>
                  <w:r>
                    <w:rPr>
                      <w:szCs w:val="21"/>
                    </w:rPr>
                    <w:t>室内边界声级/dB(A)</w:t>
                  </w:r>
                </w:p>
              </w:tc>
              <w:tc>
                <w:tcPr>
                  <w:tcW w:w="500" w:type="pct"/>
                  <w:vMerge w:val="restart"/>
                  <w:vAlign w:val="center"/>
                </w:tcPr>
                <w:p>
                  <w:pPr>
                    <w:spacing w:line="240" w:lineRule="exact"/>
                    <w:jc w:val="center"/>
                    <w:rPr>
                      <w:szCs w:val="21"/>
                    </w:rPr>
                  </w:pPr>
                  <w:r>
                    <w:rPr>
                      <w:szCs w:val="21"/>
                    </w:rPr>
                    <w:t>运行</w:t>
                  </w:r>
                </w:p>
                <w:p>
                  <w:pPr>
                    <w:spacing w:line="240" w:lineRule="exact"/>
                    <w:jc w:val="center"/>
                    <w:rPr>
                      <w:szCs w:val="21"/>
                    </w:rPr>
                  </w:pPr>
                  <w:r>
                    <w:rPr>
                      <w:szCs w:val="21"/>
                    </w:rPr>
                    <w:t>时段</w:t>
                  </w:r>
                </w:p>
              </w:tc>
              <w:tc>
                <w:tcPr>
                  <w:tcW w:w="393" w:type="pct"/>
                  <w:vMerge w:val="restart"/>
                  <w:vAlign w:val="center"/>
                </w:tcPr>
                <w:p>
                  <w:pPr>
                    <w:spacing w:line="240" w:lineRule="exact"/>
                    <w:jc w:val="center"/>
                    <w:rPr>
                      <w:szCs w:val="21"/>
                    </w:rPr>
                  </w:pPr>
                  <w:r>
                    <w:rPr>
                      <w:szCs w:val="21"/>
                    </w:rPr>
                    <w:t>建筑物插入损失/dB(A)</w:t>
                  </w:r>
                </w:p>
              </w:tc>
              <w:tc>
                <w:tcPr>
                  <w:tcW w:w="595" w:type="pct"/>
                  <w:gridSpan w:val="2"/>
                  <w:vAlign w:val="center"/>
                </w:tcPr>
                <w:p>
                  <w:pPr>
                    <w:spacing w:line="240" w:lineRule="exact"/>
                    <w:jc w:val="center"/>
                    <w:rPr>
                      <w:szCs w:val="21"/>
                    </w:rPr>
                  </w:pPr>
                  <w:r>
                    <w:rPr>
                      <w:szCs w:val="21"/>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4" w:type="pct"/>
                  <w:vMerge w:val="continue"/>
                  <w:vAlign w:val="center"/>
                </w:tcPr>
                <w:p>
                  <w:pPr>
                    <w:spacing w:line="240" w:lineRule="exact"/>
                    <w:jc w:val="center"/>
                    <w:rPr>
                      <w:szCs w:val="21"/>
                    </w:rPr>
                  </w:pPr>
                </w:p>
              </w:tc>
              <w:tc>
                <w:tcPr>
                  <w:tcW w:w="587" w:type="pct"/>
                  <w:vMerge w:val="continue"/>
                  <w:vAlign w:val="center"/>
                </w:tcPr>
                <w:p>
                  <w:pPr>
                    <w:spacing w:line="240" w:lineRule="exact"/>
                    <w:jc w:val="center"/>
                    <w:rPr>
                      <w:szCs w:val="21"/>
                    </w:rPr>
                  </w:pPr>
                </w:p>
              </w:tc>
              <w:tc>
                <w:tcPr>
                  <w:tcW w:w="333" w:type="pct"/>
                  <w:vMerge w:val="continue"/>
                  <w:vAlign w:val="center"/>
                </w:tcPr>
                <w:p>
                  <w:pPr>
                    <w:spacing w:line="240" w:lineRule="exact"/>
                    <w:jc w:val="center"/>
                    <w:rPr>
                      <w:szCs w:val="21"/>
                    </w:rPr>
                  </w:pPr>
                </w:p>
              </w:tc>
              <w:tc>
                <w:tcPr>
                  <w:tcW w:w="671" w:type="pct"/>
                  <w:vAlign w:val="center"/>
                </w:tcPr>
                <w:p>
                  <w:pPr>
                    <w:spacing w:line="240" w:lineRule="exact"/>
                    <w:rPr>
                      <w:szCs w:val="21"/>
                    </w:rPr>
                  </w:pPr>
                  <w:r>
                    <w:rPr>
                      <w:spacing w:val="21"/>
                      <w:szCs w:val="21"/>
                    </w:rPr>
                    <w:t>（声压级/距声源距离）/</w:t>
                  </w:r>
                  <w:r>
                    <w:rPr>
                      <w:szCs w:val="21"/>
                    </w:rPr>
                    <w:t>（</w:t>
                  </w:r>
                  <w:r>
                    <w:rPr>
                      <w:spacing w:val="21"/>
                      <w:szCs w:val="21"/>
                    </w:rPr>
                    <w:t>dB(A)/m</w:t>
                  </w:r>
                  <w:r>
                    <w:rPr>
                      <w:szCs w:val="21"/>
                    </w:rPr>
                    <w:t>）</w:t>
                  </w:r>
                </w:p>
              </w:tc>
              <w:tc>
                <w:tcPr>
                  <w:tcW w:w="395" w:type="pct"/>
                  <w:vAlign w:val="center"/>
                </w:tcPr>
                <w:p>
                  <w:pPr>
                    <w:spacing w:line="240" w:lineRule="exact"/>
                    <w:jc w:val="center"/>
                    <w:rPr>
                      <w:szCs w:val="21"/>
                    </w:rPr>
                  </w:pPr>
                  <w:r>
                    <w:rPr>
                      <w:szCs w:val="21"/>
                    </w:rPr>
                    <w:t>X</w:t>
                  </w:r>
                </w:p>
              </w:tc>
              <w:tc>
                <w:tcPr>
                  <w:tcW w:w="397" w:type="pct"/>
                  <w:vAlign w:val="center"/>
                </w:tcPr>
                <w:p>
                  <w:pPr>
                    <w:spacing w:line="240" w:lineRule="exact"/>
                    <w:jc w:val="center"/>
                    <w:rPr>
                      <w:szCs w:val="21"/>
                    </w:rPr>
                  </w:pPr>
                  <w:r>
                    <w:rPr>
                      <w:szCs w:val="21"/>
                    </w:rPr>
                    <w:t>Y</w:t>
                  </w:r>
                </w:p>
              </w:tc>
              <w:tc>
                <w:tcPr>
                  <w:tcW w:w="219" w:type="pct"/>
                  <w:vAlign w:val="center"/>
                </w:tcPr>
                <w:p>
                  <w:pPr>
                    <w:spacing w:line="240" w:lineRule="exact"/>
                    <w:jc w:val="center"/>
                    <w:rPr>
                      <w:szCs w:val="21"/>
                    </w:rPr>
                  </w:pPr>
                  <w:r>
                    <w:rPr>
                      <w:szCs w:val="21"/>
                    </w:rPr>
                    <w:t>Z</w:t>
                  </w:r>
                </w:p>
              </w:tc>
              <w:tc>
                <w:tcPr>
                  <w:tcW w:w="331" w:type="pct"/>
                  <w:vMerge w:val="continue"/>
                  <w:vAlign w:val="center"/>
                </w:tcPr>
                <w:p>
                  <w:pPr>
                    <w:spacing w:line="240" w:lineRule="exact"/>
                    <w:jc w:val="center"/>
                    <w:rPr>
                      <w:szCs w:val="21"/>
                    </w:rPr>
                  </w:pPr>
                </w:p>
              </w:tc>
              <w:tc>
                <w:tcPr>
                  <w:tcW w:w="320" w:type="pct"/>
                  <w:vMerge w:val="continue"/>
                  <w:vAlign w:val="center"/>
                </w:tcPr>
                <w:p>
                  <w:pPr>
                    <w:spacing w:line="240" w:lineRule="exact"/>
                    <w:jc w:val="center"/>
                    <w:rPr>
                      <w:szCs w:val="21"/>
                    </w:rPr>
                  </w:pPr>
                </w:p>
              </w:tc>
              <w:tc>
                <w:tcPr>
                  <w:tcW w:w="500" w:type="pct"/>
                  <w:vMerge w:val="continue"/>
                  <w:vAlign w:val="center"/>
                </w:tcPr>
                <w:p>
                  <w:pPr>
                    <w:spacing w:line="240" w:lineRule="exact"/>
                    <w:jc w:val="center"/>
                    <w:rPr>
                      <w:szCs w:val="21"/>
                    </w:rPr>
                  </w:pPr>
                </w:p>
              </w:tc>
              <w:tc>
                <w:tcPr>
                  <w:tcW w:w="393" w:type="pct"/>
                  <w:vMerge w:val="continue"/>
                  <w:vAlign w:val="center"/>
                </w:tcPr>
                <w:p>
                  <w:pPr>
                    <w:spacing w:line="240" w:lineRule="exact"/>
                    <w:jc w:val="center"/>
                    <w:rPr>
                      <w:szCs w:val="21"/>
                    </w:rPr>
                  </w:pPr>
                </w:p>
              </w:tc>
              <w:tc>
                <w:tcPr>
                  <w:tcW w:w="326" w:type="pct"/>
                  <w:vAlign w:val="center"/>
                </w:tcPr>
                <w:p>
                  <w:pPr>
                    <w:spacing w:line="240" w:lineRule="exact"/>
                    <w:jc w:val="center"/>
                    <w:rPr>
                      <w:szCs w:val="21"/>
                    </w:rPr>
                  </w:pPr>
                  <w:r>
                    <w:rPr>
                      <w:szCs w:val="21"/>
                    </w:rPr>
                    <w:t>声压级/dB(A)</w:t>
                  </w:r>
                </w:p>
              </w:tc>
              <w:tc>
                <w:tcPr>
                  <w:tcW w:w="268" w:type="pct"/>
                  <w:vAlign w:val="center"/>
                </w:tcPr>
                <w:p>
                  <w:pPr>
                    <w:spacing w:line="240" w:lineRule="exact"/>
                    <w:jc w:val="center"/>
                    <w:rPr>
                      <w:szCs w:val="21"/>
                    </w:rPr>
                  </w:pPr>
                  <w:r>
                    <w:rPr>
                      <w:szCs w:val="21"/>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254" w:type="pct"/>
                  <w:vAlign w:val="center"/>
                </w:tcPr>
                <w:p>
                  <w:pPr>
                    <w:spacing w:line="240" w:lineRule="exact"/>
                    <w:jc w:val="center"/>
                    <w:rPr>
                      <w:szCs w:val="21"/>
                    </w:rPr>
                  </w:pPr>
                  <w:r>
                    <w:rPr>
                      <w:szCs w:val="21"/>
                    </w:rPr>
                    <w:t>1</w:t>
                  </w:r>
                </w:p>
              </w:tc>
              <w:tc>
                <w:tcPr>
                  <w:tcW w:w="587" w:type="pct"/>
                  <w:vAlign w:val="center"/>
                </w:tcPr>
                <w:p>
                  <w:pPr>
                    <w:spacing w:line="240" w:lineRule="exact"/>
                    <w:jc w:val="center"/>
                    <w:rPr>
                      <w:szCs w:val="21"/>
                    </w:rPr>
                  </w:pPr>
                  <w:r>
                    <w:rPr>
                      <w:szCs w:val="21"/>
                    </w:rPr>
                    <w:t>水泵</w:t>
                  </w:r>
                </w:p>
              </w:tc>
              <w:tc>
                <w:tcPr>
                  <w:tcW w:w="333" w:type="pct"/>
                  <w:vAlign w:val="center"/>
                </w:tcPr>
                <w:p>
                  <w:pPr>
                    <w:spacing w:line="240" w:lineRule="exact"/>
                    <w:jc w:val="center"/>
                    <w:rPr>
                      <w:szCs w:val="21"/>
                    </w:rPr>
                  </w:pPr>
                  <w:r>
                    <w:rPr>
                      <w:szCs w:val="21"/>
                    </w:rPr>
                    <w:t>-</w:t>
                  </w:r>
                </w:p>
              </w:tc>
              <w:tc>
                <w:tcPr>
                  <w:tcW w:w="671" w:type="pct"/>
                  <w:vAlign w:val="center"/>
                </w:tcPr>
                <w:p>
                  <w:pPr>
                    <w:spacing w:line="240" w:lineRule="exact"/>
                    <w:jc w:val="center"/>
                    <w:rPr>
                      <w:spacing w:val="21"/>
                      <w:szCs w:val="21"/>
                    </w:rPr>
                  </w:pPr>
                  <w:r>
                    <w:rPr>
                      <w:szCs w:val="21"/>
                    </w:rPr>
                    <w:t>85/1</w:t>
                  </w:r>
                </w:p>
              </w:tc>
              <w:tc>
                <w:tcPr>
                  <w:tcW w:w="395" w:type="pct"/>
                  <w:vAlign w:val="center"/>
                </w:tcPr>
                <w:p>
                  <w:pPr>
                    <w:spacing w:line="240" w:lineRule="exact"/>
                    <w:jc w:val="center"/>
                    <w:rPr>
                      <w:szCs w:val="21"/>
                    </w:rPr>
                  </w:pPr>
                  <w:r>
                    <w:rPr>
                      <w:szCs w:val="21"/>
                    </w:rPr>
                    <w:t>17.6</w:t>
                  </w:r>
                </w:p>
              </w:tc>
              <w:tc>
                <w:tcPr>
                  <w:tcW w:w="397" w:type="pct"/>
                  <w:vAlign w:val="center"/>
                </w:tcPr>
                <w:p>
                  <w:pPr>
                    <w:spacing w:line="240" w:lineRule="exact"/>
                    <w:jc w:val="center"/>
                    <w:rPr>
                      <w:szCs w:val="21"/>
                    </w:rPr>
                  </w:pPr>
                  <w:r>
                    <w:rPr>
                      <w:szCs w:val="21"/>
                    </w:rPr>
                    <w:t>19.3</w:t>
                  </w:r>
                </w:p>
              </w:tc>
              <w:tc>
                <w:tcPr>
                  <w:tcW w:w="219" w:type="pct"/>
                  <w:vAlign w:val="center"/>
                </w:tcPr>
                <w:p>
                  <w:pPr>
                    <w:spacing w:line="240" w:lineRule="exact"/>
                    <w:jc w:val="center"/>
                    <w:rPr>
                      <w:szCs w:val="21"/>
                    </w:rPr>
                  </w:pPr>
                  <w:r>
                    <w:rPr>
                      <w:szCs w:val="21"/>
                    </w:rPr>
                    <w:t>1</w:t>
                  </w:r>
                </w:p>
              </w:tc>
              <w:tc>
                <w:tcPr>
                  <w:tcW w:w="331" w:type="pct"/>
                  <w:vAlign w:val="center"/>
                </w:tcPr>
                <w:p>
                  <w:pPr>
                    <w:spacing w:line="240" w:lineRule="exact"/>
                    <w:jc w:val="center"/>
                    <w:rPr>
                      <w:szCs w:val="21"/>
                    </w:rPr>
                  </w:pPr>
                  <w:r>
                    <w:rPr>
                      <w:szCs w:val="21"/>
                    </w:rPr>
                    <w:t>18</w:t>
                  </w:r>
                </w:p>
              </w:tc>
              <w:tc>
                <w:tcPr>
                  <w:tcW w:w="320" w:type="pct"/>
                  <w:vAlign w:val="center"/>
                </w:tcPr>
                <w:p>
                  <w:pPr>
                    <w:spacing w:line="240" w:lineRule="exact"/>
                    <w:jc w:val="center"/>
                    <w:rPr>
                      <w:szCs w:val="21"/>
                    </w:rPr>
                  </w:pPr>
                  <w:r>
                    <w:rPr>
                      <w:szCs w:val="21"/>
                    </w:rPr>
                    <w:t>80</w:t>
                  </w:r>
                </w:p>
              </w:tc>
              <w:tc>
                <w:tcPr>
                  <w:tcW w:w="500" w:type="pct"/>
                  <w:vMerge w:val="restart"/>
                  <w:vAlign w:val="center"/>
                </w:tcPr>
                <w:p>
                  <w:pPr>
                    <w:spacing w:line="240" w:lineRule="exact"/>
                    <w:jc w:val="center"/>
                    <w:rPr>
                      <w:szCs w:val="21"/>
                    </w:rPr>
                  </w:pPr>
                  <w:r>
                    <w:rPr>
                      <w:szCs w:val="21"/>
                    </w:rPr>
                    <w:t>8:00-18：00</w:t>
                  </w:r>
                </w:p>
              </w:tc>
              <w:tc>
                <w:tcPr>
                  <w:tcW w:w="393" w:type="pct"/>
                  <w:vAlign w:val="center"/>
                </w:tcPr>
                <w:p>
                  <w:pPr>
                    <w:spacing w:line="240" w:lineRule="exact"/>
                    <w:jc w:val="center"/>
                    <w:rPr>
                      <w:szCs w:val="21"/>
                    </w:rPr>
                  </w:pPr>
                  <w:r>
                    <w:rPr>
                      <w:szCs w:val="21"/>
                    </w:rPr>
                    <w:t>15</w:t>
                  </w:r>
                </w:p>
              </w:tc>
              <w:tc>
                <w:tcPr>
                  <w:tcW w:w="326" w:type="pct"/>
                  <w:vAlign w:val="center"/>
                </w:tcPr>
                <w:p>
                  <w:pPr>
                    <w:spacing w:line="240" w:lineRule="exact"/>
                    <w:jc w:val="center"/>
                    <w:rPr>
                      <w:szCs w:val="21"/>
                    </w:rPr>
                  </w:pPr>
                  <w:r>
                    <w:rPr>
                      <w:szCs w:val="21"/>
                    </w:rPr>
                    <w:t>65</w:t>
                  </w:r>
                </w:p>
              </w:tc>
              <w:tc>
                <w:tcPr>
                  <w:tcW w:w="268" w:type="pct"/>
                  <w:vAlign w:val="center"/>
                </w:tcPr>
                <w:p>
                  <w:pPr>
                    <w:spacing w:line="240" w:lineRule="exact"/>
                    <w:jc w:val="center"/>
                    <w:rPr>
                      <w:szCs w:val="21"/>
                    </w:rPr>
                  </w:pPr>
                  <w:r>
                    <w:rPr>
                      <w:szCs w:val="21"/>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254" w:type="pct"/>
                  <w:vAlign w:val="center"/>
                </w:tcPr>
                <w:p>
                  <w:pPr>
                    <w:spacing w:line="240" w:lineRule="exact"/>
                    <w:jc w:val="center"/>
                    <w:rPr>
                      <w:szCs w:val="21"/>
                    </w:rPr>
                  </w:pPr>
                  <w:r>
                    <w:rPr>
                      <w:szCs w:val="21"/>
                    </w:rPr>
                    <w:t>2</w:t>
                  </w:r>
                </w:p>
              </w:tc>
              <w:tc>
                <w:tcPr>
                  <w:tcW w:w="587" w:type="pct"/>
                  <w:vAlign w:val="center"/>
                </w:tcPr>
                <w:p>
                  <w:pPr>
                    <w:spacing w:line="240" w:lineRule="exact"/>
                    <w:jc w:val="center"/>
                    <w:rPr>
                      <w:szCs w:val="21"/>
                    </w:rPr>
                  </w:pPr>
                  <w:r>
                    <w:rPr>
                      <w:szCs w:val="21"/>
                    </w:rPr>
                    <w:t>油泵</w:t>
                  </w:r>
                </w:p>
              </w:tc>
              <w:tc>
                <w:tcPr>
                  <w:tcW w:w="333" w:type="pct"/>
                  <w:vAlign w:val="center"/>
                </w:tcPr>
                <w:p>
                  <w:pPr>
                    <w:spacing w:line="240" w:lineRule="exact"/>
                    <w:jc w:val="center"/>
                    <w:rPr>
                      <w:szCs w:val="21"/>
                    </w:rPr>
                  </w:pPr>
                  <w:r>
                    <w:rPr>
                      <w:szCs w:val="21"/>
                    </w:rPr>
                    <w:t>-</w:t>
                  </w:r>
                </w:p>
              </w:tc>
              <w:tc>
                <w:tcPr>
                  <w:tcW w:w="671" w:type="pct"/>
                  <w:vAlign w:val="center"/>
                </w:tcPr>
                <w:p>
                  <w:pPr>
                    <w:spacing w:line="240" w:lineRule="exact"/>
                    <w:jc w:val="center"/>
                    <w:rPr>
                      <w:szCs w:val="21"/>
                    </w:rPr>
                  </w:pPr>
                  <w:r>
                    <w:rPr>
                      <w:szCs w:val="21"/>
                    </w:rPr>
                    <w:t>85/1</w:t>
                  </w:r>
                </w:p>
              </w:tc>
              <w:tc>
                <w:tcPr>
                  <w:tcW w:w="395" w:type="pct"/>
                  <w:vAlign w:val="center"/>
                </w:tcPr>
                <w:p>
                  <w:pPr>
                    <w:spacing w:line="240" w:lineRule="exact"/>
                    <w:jc w:val="center"/>
                    <w:rPr>
                      <w:szCs w:val="21"/>
                    </w:rPr>
                  </w:pPr>
                  <w:r>
                    <w:rPr>
                      <w:szCs w:val="21"/>
                    </w:rPr>
                    <w:t>16.1</w:t>
                  </w:r>
                </w:p>
              </w:tc>
              <w:tc>
                <w:tcPr>
                  <w:tcW w:w="397" w:type="pct"/>
                  <w:vAlign w:val="center"/>
                </w:tcPr>
                <w:p>
                  <w:pPr>
                    <w:spacing w:line="240" w:lineRule="exact"/>
                    <w:jc w:val="center"/>
                    <w:rPr>
                      <w:szCs w:val="21"/>
                    </w:rPr>
                  </w:pPr>
                  <w:r>
                    <w:rPr>
                      <w:szCs w:val="21"/>
                    </w:rPr>
                    <w:t>22.7</w:t>
                  </w:r>
                </w:p>
              </w:tc>
              <w:tc>
                <w:tcPr>
                  <w:tcW w:w="219" w:type="pct"/>
                  <w:vAlign w:val="center"/>
                </w:tcPr>
                <w:p>
                  <w:pPr>
                    <w:spacing w:line="240" w:lineRule="exact"/>
                    <w:jc w:val="center"/>
                    <w:rPr>
                      <w:szCs w:val="21"/>
                    </w:rPr>
                  </w:pPr>
                  <w:r>
                    <w:rPr>
                      <w:szCs w:val="21"/>
                    </w:rPr>
                    <w:t>1</w:t>
                  </w:r>
                </w:p>
              </w:tc>
              <w:tc>
                <w:tcPr>
                  <w:tcW w:w="331" w:type="pct"/>
                  <w:vAlign w:val="center"/>
                </w:tcPr>
                <w:p>
                  <w:pPr>
                    <w:spacing w:line="240" w:lineRule="exact"/>
                    <w:jc w:val="center"/>
                    <w:rPr>
                      <w:szCs w:val="21"/>
                    </w:rPr>
                  </w:pPr>
                  <w:r>
                    <w:rPr>
                      <w:szCs w:val="21"/>
                    </w:rPr>
                    <w:t>16</w:t>
                  </w:r>
                </w:p>
              </w:tc>
              <w:tc>
                <w:tcPr>
                  <w:tcW w:w="320" w:type="pct"/>
                  <w:vAlign w:val="center"/>
                </w:tcPr>
                <w:p>
                  <w:pPr>
                    <w:spacing w:line="240" w:lineRule="exact"/>
                    <w:jc w:val="center"/>
                    <w:rPr>
                      <w:szCs w:val="21"/>
                    </w:rPr>
                  </w:pPr>
                  <w:r>
                    <w:rPr>
                      <w:szCs w:val="21"/>
                    </w:rPr>
                    <w:t>80</w:t>
                  </w:r>
                </w:p>
              </w:tc>
              <w:tc>
                <w:tcPr>
                  <w:tcW w:w="500" w:type="pct"/>
                  <w:vMerge w:val="continue"/>
                  <w:vAlign w:val="center"/>
                </w:tcPr>
                <w:p>
                  <w:pPr>
                    <w:spacing w:line="240" w:lineRule="exact"/>
                    <w:jc w:val="center"/>
                    <w:rPr>
                      <w:szCs w:val="21"/>
                    </w:rPr>
                  </w:pPr>
                </w:p>
              </w:tc>
              <w:tc>
                <w:tcPr>
                  <w:tcW w:w="393" w:type="pct"/>
                  <w:vAlign w:val="center"/>
                </w:tcPr>
                <w:p>
                  <w:pPr>
                    <w:spacing w:line="240" w:lineRule="exact"/>
                    <w:jc w:val="center"/>
                    <w:rPr>
                      <w:szCs w:val="21"/>
                    </w:rPr>
                  </w:pPr>
                  <w:r>
                    <w:rPr>
                      <w:szCs w:val="21"/>
                    </w:rPr>
                    <w:t>15</w:t>
                  </w:r>
                </w:p>
              </w:tc>
              <w:tc>
                <w:tcPr>
                  <w:tcW w:w="326" w:type="pct"/>
                  <w:vAlign w:val="center"/>
                </w:tcPr>
                <w:p>
                  <w:pPr>
                    <w:spacing w:line="240" w:lineRule="exact"/>
                    <w:jc w:val="center"/>
                    <w:rPr>
                      <w:szCs w:val="21"/>
                    </w:rPr>
                  </w:pPr>
                  <w:r>
                    <w:rPr>
                      <w:szCs w:val="21"/>
                    </w:rPr>
                    <w:t>65</w:t>
                  </w:r>
                </w:p>
              </w:tc>
              <w:tc>
                <w:tcPr>
                  <w:tcW w:w="268" w:type="pct"/>
                  <w:vAlign w:val="center"/>
                </w:tcPr>
                <w:p>
                  <w:pPr>
                    <w:spacing w:line="240" w:lineRule="exact"/>
                    <w:jc w:val="center"/>
                    <w:rPr>
                      <w:szCs w:val="21"/>
                    </w:rPr>
                  </w:pPr>
                  <w:r>
                    <w:rPr>
                      <w:szCs w:val="21"/>
                    </w:rPr>
                    <w:t>1m</w:t>
                  </w:r>
                </w:p>
              </w:tc>
            </w:tr>
          </w:tbl>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表4-8  工业企业噪声源强调查清单（室外声源）</w:t>
            </w:r>
          </w:p>
          <w:tbl>
            <w:tblPr>
              <w:tblStyle w:val="5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1"/>
              <w:gridCol w:w="1040"/>
              <w:gridCol w:w="921"/>
              <w:gridCol w:w="593"/>
              <w:gridCol w:w="647"/>
              <w:gridCol w:w="671"/>
              <w:gridCol w:w="1293"/>
              <w:gridCol w:w="552"/>
              <w:gridCol w:w="1065"/>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246" w:type="pct"/>
                  <w:vMerge w:val="restart"/>
                  <w:tcBorders>
                    <w:tl2br w:val="nil"/>
                    <w:tr2bl w:val="nil"/>
                  </w:tcBorders>
                  <w:textDirection w:val="tbRlV"/>
                  <w:vAlign w:val="center"/>
                </w:tcPr>
                <w:p>
                  <w:pPr>
                    <w:jc w:val="center"/>
                  </w:pPr>
                  <w:r>
                    <w:t>序号</w:t>
                  </w:r>
                </w:p>
              </w:tc>
              <w:tc>
                <w:tcPr>
                  <w:tcW w:w="655" w:type="pct"/>
                  <w:vMerge w:val="restart"/>
                  <w:tcBorders>
                    <w:tl2br w:val="nil"/>
                    <w:tr2bl w:val="nil"/>
                  </w:tcBorders>
                  <w:vAlign w:val="center"/>
                </w:tcPr>
                <w:p>
                  <w:pPr>
                    <w:jc w:val="center"/>
                  </w:pPr>
                  <w:r>
                    <w:t>声源位置</w:t>
                  </w:r>
                </w:p>
              </w:tc>
              <w:tc>
                <w:tcPr>
                  <w:tcW w:w="580" w:type="pct"/>
                  <w:vMerge w:val="restart"/>
                  <w:tcBorders>
                    <w:tl2br w:val="nil"/>
                    <w:tr2bl w:val="nil"/>
                  </w:tcBorders>
                  <w:vAlign w:val="center"/>
                </w:tcPr>
                <w:p>
                  <w:pPr>
                    <w:jc w:val="center"/>
                  </w:pPr>
                  <w:r>
                    <w:t>设备名称</w:t>
                  </w:r>
                </w:p>
              </w:tc>
              <w:tc>
                <w:tcPr>
                  <w:tcW w:w="1203" w:type="pct"/>
                  <w:gridSpan w:val="3"/>
                  <w:tcBorders>
                    <w:tl2br w:val="nil"/>
                    <w:tr2bl w:val="nil"/>
                  </w:tcBorders>
                  <w:vAlign w:val="center"/>
                </w:tcPr>
                <w:p>
                  <w:pPr>
                    <w:jc w:val="center"/>
                  </w:pPr>
                  <w:r>
                    <w:t>空间相对位置</w:t>
                  </w:r>
                </w:p>
              </w:tc>
              <w:tc>
                <w:tcPr>
                  <w:tcW w:w="815" w:type="pct"/>
                  <w:vMerge w:val="restart"/>
                  <w:tcBorders>
                    <w:tl2br w:val="nil"/>
                    <w:tr2bl w:val="nil"/>
                  </w:tcBorders>
                  <w:vAlign w:val="center"/>
                </w:tcPr>
                <w:p>
                  <w:pPr>
                    <w:jc w:val="center"/>
                  </w:pPr>
                  <w:r>
                    <w:t>(声压级/距声源距离)/(dB(A)/m)</w:t>
                  </w:r>
                </w:p>
              </w:tc>
              <w:tc>
                <w:tcPr>
                  <w:tcW w:w="348" w:type="pct"/>
                  <w:vMerge w:val="restart"/>
                  <w:tcBorders>
                    <w:tl2br w:val="nil"/>
                    <w:tr2bl w:val="nil"/>
                  </w:tcBorders>
                  <w:vAlign w:val="center"/>
                </w:tcPr>
                <w:p>
                  <w:pPr>
                    <w:jc w:val="center"/>
                  </w:pPr>
                  <w:r>
                    <w:t>运行</w:t>
                  </w:r>
                </w:p>
                <w:p>
                  <w:pPr>
                    <w:jc w:val="center"/>
                  </w:pPr>
                  <w:r>
                    <w:t>台数</w:t>
                  </w:r>
                </w:p>
              </w:tc>
              <w:tc>
                <w:tcPr>
                  <w:tcW w:w="671" w:type="pct"/>
                  <w:vMerge w:val="restart"/>
                  <w:tcBorders>
                    <w:tl2br w:val="nil"/>
                    <w:tr2bl w:val="nil"/>
                  </w:tcBorders>
                  <w:vAlign w:val="center"/>
                </w:tcPr>
                <w:p>
                  <w:pPr>
                    <w:jc w:val="center"/>
                  </w:pPr>
                  <w:r>
                    <w:t>声源控制措施</w:t>
                  </w:r>
                </w:p>
              </w:tc>
              <w:tc>
                <w:tcPr>
                  <w:tcW w:w="479" w:type="pct"/>
                  <w:vMerge w:val="restart"/>
                  <w:tcBorders>
                    <w:tl2br w:val="nil"/>
                    <w:tr2bl w:val="nil"/>
                  </w:tcBorders>
                  <w:vAlign w:val="center"/>
                </w:tcPr>
                <w:p>
                  <w:pPr>
                    <w:jc w:val="center"/>
                  </w:pPr>
                  <w: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6" w:type="pct"/>
                  <w:vMerge w:val="continue"/>
                  <w:tcBorders>
                    <w:tl2br w:val="nil"/>
                    <w:tr2bl w:val="nil"/>
                  </w:tcBorders>
                  <w:textDirection w:val="tbRlV"/>
                  <w:vAlign w:val="center"/>
                </w:tcPr>
                <w:p>
                  <w:pPr>
                    <w:jc w:val="center"/>
                  </w:pPr>
                </w:p>
              </w:tc>
              <w:tc>
                <w:tcPr>
                  <w:tcW w:w="655" w:type="pct"/>
                  <w:vMerge w:val="continue"/>
                  <w:tcBorders>
                    <w:tl2br w:val="nil"/>
                    <w:tr2bl w:val="nil"/>
                  </w:tcBorders>
                  <w:vAlign w:val="center"/>
                </w:tcPr>
                <w:p>
                  <w:pPr>
                    <w:jc w:val="center"/>
                  </w:pPr>
                </w:p>
              </w:tc>
              <w:tc>
                <w:tcPr>
                  <w:tcW w:w="580" w:type="pct"/>
                  <w:vMerge w:val="continue"/>
                  <w:tcBorders>
                    <w:tl2br w:val="nil"/>
                    <w:tr2bl w:val="nil"/>
                  </w:tcBorders>
                  <w:vAlign w:val="center"/>
                </w:tcPr>
                <w:p>
                  <w:pPr>
                    <w:jc w:val="center"/>
                  </w:pPr>
                </w:p>
              </w:tc>
              <w:tc>
                <w:tcPr>
                  <w:tcW w:w="373" w:type="pct"/>
                  <w:tcBorders>
                    <w:tl2br w:val="nil"/>
                    <w:tr2bl w:val="nil"/>
                  </w:tcBorders>
                  <w:vAlign w:val="center"/>
                </w:tcPr>
                <w:p>
                  <w:pPr>
                    <w:jc w:val="center"/>
                  </w:pPr>
                  <w:r>
                    <w:t>X</w:t>
                  </w:r>
                </w:p>
              </w:tc>
              <w:tc>
                <w:tcPr>
                  <w:tcW w:w="407" w:type="pct"/>
                  <w:tcBorders>
                    <w:tl2br w:val="nil"/>
                    <w:tr2bl w:val="nil"/>
                  </w:tcBorders>
                  <w:vAlign w:val="center"/>
                </w:tcPr>
                <w:p>
                  <w:pPr>
                    <w:jc w:val="center"/>
                  </w:pPr>
                  <w:r>
                    <w:t>Y</w:t>
                  </w:r>
                </w:p>
              </w:tc>
              <w:tc>
                <w:tcPr>
                  <w:tcW w:w="422" w:type="pct"/>
                  <w:tcBorders>
                    <w:tl2br w:val="nil"/>
                    <w:tr2bl w:val="nil"/>
                  </w:tcBorders>
                  <w:vAlign w:val="center"/>
                </w:tcPr>
                <w:p>
                  <w:pPr>
                    <w:jc w:val="center"/>
                  </w:pPr>
                  <w:r>
                    <w:t>Z</w:t>
                  </w:r>
                </w:p>
              </w:tc>
              <w:tc>
                <w:tcPr>
                  <w:tcW w:w="815" w:type="pct"/>
                  <w:vMerge w:val="continue"/>
                  <w:tcBorders>
                    <w:tl2br w:val="nil"/>
                    <w:tr2bl w:val="nil"/>
                  </w:tcBorders>
                  <w:vAlign w:val="center"/>
                </w:tcPr>
                <w:p>
                  <w:pPr>
                    <w:jc w:val="center"/>
                  </w:pPr>
                </w:p>
              </w:tc>
              <w:tc>
                <w:tcPr>
                  <w:tcW w:w="348" w:type="pct"/>
                  <w:vMerge w:val="continue"/>
                  <w:tcBorders>
                    <w:tl2br w:val="nil"/>
                    <w:tr2bl w:val="nil"/>
                  </w:tcBorders>
                  <w:vAlign w:val="center"/>
                </w:tcPr>
                <w:p>
                  <w:pPr>
                    <w:jc w:val="center"/>
                  </w:pPr>
                </w:p>
              </w:tc>
              <w:tc>
                <w:tcPr>
                  <w:tcW w:w="671" w:type="pct"/>
                  <w:vMerge w:val="continue"/>
                  <w:tcBorders>
                    <w:tl2br w:val="nil"/>
                    <w:tr2bl w:val="nil"/>
                  </w:tcBorders>
                  <w:vAlign w:val="center"/>
                </w:tcPr>
                <w:p>
                  <w:pPr>
                    <w:jc w:val="center"/>
                  </w:pPr>
                </w:p>
              </w:tc>
              <w:tc>
                <w:tcPr>
                  <w:tcW w:w="479" w:type="pct"/>
                  <w:vMerge w:val="continue"/>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246" w:type="pct"/>
                  <w:tcBorders>
                    <w:tl2br w:val="nil"/>
                    <w:tr2bl w:val="nil"/>
                  </w:tcBorders>
                  <w:vAlign w:val="center"/>
                </w:tcPr>
                <w:p>
                  <w:pPr>
                    <w:jc w:val="center"/>
                  </w:pPr>
                  <w:r>
                    <w:t>1</w:t>
                  </w:r>
                </w:p>
              </w:tc>
              <w:tc>
                <w:tcPr>
                  <w:tcW w:w="655" w:type="pct"/>
                  <w:tcBorders>
                    <w:tl2br w:val="nil"/>
                    <w:tr2bl w:val="nil"/>
                  </w:tcBorders>
                  <w:vAlign w:val="center"/>
                </w:tcPr>
                <w:p>
                  <w:pPr>
                    <w:jc w:val="center"/>
                  </w:pPr>
                  <w:r>
                    <w:t>厂房</w:t>
                  </w:r>
                </w:p>
              </w:tc>
              <w:tc>
                <w:tcPr>
                  <w:tcW w:w="580" w:type="pct"/>
                  <w:tcBorders>
                    <w:tl2br w:val="nil"/>
                    <w:tr2bl w:val="nil"/>
                  </w:tcBorders>
                  <w:vAlign w:val="center"/>
                </w:tcPr>
                <w:p>
                  <w:pPr>
                    <w:jc w:val="center"/>
                  </w:pPr>
                  <w:r>
                    <w:t>环保设备风机</w:t>
                  </w:r>
                </w:p>
              </w:tc>
              <w:tc>
                <w:tcPr>
                  <w:tcW w:w="373" w:type="pct"/>
                  <w:tcBorders>
                    <w:tl2br w:val="nil"/>
                    <w:tr2bl w:val="nil"/>
                  </w:tcBorders>
                  <w:vAlign w:val="center"/>
                </w:tcPr>
                <w:p>
                  <w:pPr>
                    <w:jc w:val="center"/>
                    <w:rPr>
                      <w:szCs w:val="22"/>
                    </w:rPr>
                  </w:pPr>
                  <w:r>
                    <w:rPr>
                      <w:szCs w:val="22"/>
                    </w:rPr>
                    <w:t>12.5</w:t>
                  </w:r>
                </w:p>
              </w:tc>
              <w:tc>
                <w:tcPr>
                  <w:tcW w:w="407" w:type="pct"/>
                  <w:tcBorders>
                    <w:tl2br w:val="nil"/>
                    <w:tr2bl w:val="nil"/>
                  </w:tcBorders>
                  <w:vAlign w:val="center"/>
                </w:tcPr>
                <w:p>
                  <w:pPr>
                    <w:jc w:val="center"/>
                    <w:rPr>
                      <w:szCs w:val="22"/>
                    </w:rPr>
                  </w:pPr>
                  <w:r>
                    <w:rPr>
                      <w:szCs w:val="22"/>
                    </w:rPr>
                    <w:t>36.3</w:t>
                  </w:r>
                </w:p>
              </w:tc>
              <w:tc>
                <w:tcPr>
                  <w:tcW w:w="422" w:type="pct"/>
                  <w:tcBorders>
                    <w:tl2br w:val="nil"/>
                    <w:tr2bl w:val="nil"/>
                  </w:tcBorders>
                  <w:vAlign w:val="center"/>
                </w:tcPr>
                <w:p>
                  <w:pPr>
                    <w:jc w:val="center"/>
                    <w:rPr>
                      <w:szCs w:val="22"/>
                    </w:rPr>
                  </w:pPr>
                  <w:r>
                    <w:t>15</w:t>
                  </w:r>
                </w:p>
              </w:tc>
              <w:tc>
                <w:tcPr>
                  <w:tcW w:w="815" w:type="pct"/>
                  <w:tcBorders>
                    <w:tl2br w:val="nil"/>
                    <w:tr2bl w:val="nil"/>
                  </w:tcBorders>
                  <w:vAlign w:val="center"/>
                </w:tcPr>
                <w:p>
                  <w:pPr>
                    <w:jc w:val="center"/>
                    <w:rPr>
                      <w:szCs w:val="22"/>
                    </w:rPr>
                  </w:pPr>
                  <w:r>
                    <w:t>80/1</w:t>
                  </w:r>
                </w:p>
              </w:tc>
              <w:tc>
                <w:tcPr>
                  <w:tcW w:w="348" w:type="pct"/>
                  <w:tcBorders>
                    <w:tl2br w:val="nil"/>
                    <w:tr2bl w:val="nil"/>
                  </w:tcBorders>
                  <w:vAlign w:val="center"/>
                </w:tcPr>
                <w:p>
                  <w:pPr>
                    <w:jc w:val="center"/>
                    <w:rPr>
                      <w:szCs w:val="22"/>
                    </w:rPr>
                  </w:pPr>
                  <w:r>
                    <w:t>1</w:t>
                  </w:r>
                </w:p>
              </w:tc>
              <w:tc>
                <w:tcPr>
                  <w:tcW w:w="671" w:type="pct"/>
                  <w:tcBorders>
                    <w:tl2br w:val="nil"/>
                    <w:tr2bl w:val="nil"/>
                  </w:tcBorders>
                  <w:vAlign w:val="center"/>
                </w:tcPr>
                <w:p>
                  <w:pPr>
                    <w:jc w:val="center"/>
                    <w:rPr>
                      <w:szCs w:val="22"/>
                    </w:rPr>
                  </w:pPr>
                  <w:r>
                    <w:t>基础减震，隔音装置，规范安装。</w:t>
                  </w:r>
                </w:p>
              </w:tc>
              <w:tc>
                <w:tcPr>
                  <w:tcW w:w="479" w:type="pct"/>
                  <w:tcBorders>
                    <w:tl2br w:val="nil"/>
                    <w:tr2bl w:val="nil"/>
                  </w:tcBorders>
                  <w:vAlign w:val="center"/>
                </w:tcPr>
                <w:p>
                  <w:pPr>
                    <w:jc w:val="center"/>
                    <w:rPr>
                      <w:szCs w:val="22"/>
                    </w:rPr>
                  </w:pPr>
                  <w:r>
                    <w:t>连续</w:t>
                  </w:r>
                </w:p>
              </w:tc>
            </w:tr>
          </w:tbl>
          <w:p>
            <w:pPr>
              <w:spacing w:before="120" w:beforeLines="50" w:line="360" w:lineRule="auto"/>
              <w:ind w:firstLine="480" w:firstLineChars="200"/>
              <w:rPr>
                <w:sz w:val="24"/>
              </w:rPr>
            </w:pPr>
            <w:r>
              <w:rPr>
                <w:sz w:val="24"/>
              </w:rPr>
              <w:t>2、预测模式</w:t>
            </w:r>
          </w:p>
          <w:p>
            <w:pPr>
              <w:tabs>
                <w:tab w:val="left" w:pos="4584"/>
              </w:tabs>
              <w:adjustRightInd w:val="0"/>
              <w:snapToGrid w:val="0"/>
              <w:spacing w:line="360" w:lineRule="auto"/>
              <w:ind w:firstLine="480" w:firstLineChars="200"/>
              <w:rPr>
                <w:bCs/>
                <w:snapToGrid w:val="0"/>
                <w:kern w:val="0"/>
                <w:sz w:val="24"/>
              </w:rPr>
            </w:pPr>
            <w:r>
              <w:rPr>
                <w:kern w:val="0"/>
                <w:sz w:val="24"/>
              </w:rPr>
              <w:t>以厂区平面布置图作为预测底图，以第4层本项目租赁厂房的西南角为原点（0，0）建立三维坐标系（0，0，0），考虑厂内建（构）筑物的遮挡影响。</w:t>
            </w:r>
            <w:r>
              <w:rPr>
                <w:bCs/>
                <w:snapToGrid w:val="0"/>
                <w:kern w:val="0"/>
                <w:sz w:val="24"/>
              </w:rPr>
              <w:t>根据《环境影响评价技术导则声环境》（HJ2.4-2021）推荐的室内声源的声传播模式，将室内声源等效为等效室外点声源，据此，室内声源传播衰减公式为：</w:t>
            </w:r>
          </w:p>
          <w:p>
            <w:pPr>
              <w:spacing w:line="360" w:lineRule="auto"/>
              <w:jc w:val="center"/>
              <w:rPr>
                <w:sz w:val="24"/>
              </w:rPr>
            </w:pPr>
            <w:r>
              <w:rPr>
                <w:position w:val="-30"/>
                <w:sz w:val="24"/>
              </w:rPr>
              <w:drawing>
                <wp:inline distT="0" distB="0" distL="114300" distR="114300">
                  <wp:extent cx="2211070" cy="408940"/>
                  <wp:effectExtent l="0" t="0" r="17780" b="10160"/>
                  <wp:docPr id="1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4"/>
                          <pic:cNvPicPr>
                            <a:picLocks noChangeAspect="1"/>
                          </pic:cNvPicPr>
                        </pic:nvPicPr>
                        <pic:blipFill>
                          <a:blip r:embed="rId15"/>
                          <a:stretch>
                            <a:fillRect/>
                          </a:stretch>
                        </pic:blipFill>
                        <pic:spPr>
                          <a:xfrm>
                            <a:off x="0" y="0"/>
                            <a:ext cx="2211070" cy="408940"/>
                          </a:xfrm>
                          <a:prstGeom prst="rect">
                            <a:avLst/>
                          </a:prstGeom>
                          <a:solidFill>
                            <a:srgbClr val="FFFFFF"/>
                          </a:solidFill>
                          <a:ln>
                            <a:noFill/>
                          </a:ln>
                        </pic:spPr>
                      </pic:pic>
                    </a:graphicData>
                  </a:graphic>
                </wp:inline>
              </w:drawing>
            </w:r>
          </w:p>
          <w:p>
            <w:pPr>
              <w:tabs>
                <w:tab w:val="left" w:pos="4584"/>
              </w:tabs>
              <w:adjustRightInd w:val="0"/>
              <w:snapToGrid w:val="0"/>
              <w:spacing w:line="360" w:lineRule="auto"/>
              <w:ind w:firstLine="480" w:firstLineChars="200"/>
              <w:rPr>
                <w:bCs/>
                <w:snapToGrid w:val="0"/>
                <w:kern w:val="0"/>
                <w:sz w:val="24"/>
              </w:rPr>
            </w:pPr>
            <w:r>
              <w:rPr>
                <w:bCs/>
                <w:snapToGrid w:val="0"/>
                <w:kern w:val="0"/>
                <w:sz w:val="24"/>
              </w:rPr>
              <w:t>式中：</w:t>
            </w:r>
            <w:r>
              <w:rPr>
                <w:bCs/>
                <w:i/>
                <w:snapToGrid w:val="0"/>
                <w:kern w:val="0"/>
                <w:sz w:val="24"/>
              </w:rPr>
              <w:t>L（r）</w:t>
            </w:r>
            <w:r>
              <w:rPr>
                <w:bCs/>
                <w:snapToGrid w:val="0"/>
                <w:kern w:val="0"/>
                <w:sz w:val="24"/>
              </w:rPr>
              <w:t>——距离噪声源r m处的声压级，dB（A）；</w:t>
            </w:r>
          </w:p>
          <w:p>
            <w:pPr>
              <w:tabs>
                <w:tab w:val="left" w:pos="4584"/>
              </w:tabs>
              <w:adjustRightInd w:val="0"/>
              <w:snapToGrid w:val="0"/>
              <w:spacing w:line="360" w:lineRule="auto"/>
              <w:ind w:firstLine="480" w:firstLineChars="200"/>
              <w:rPr>
                <w:bCs/>
                <w:snapToGrid w:val="0"/>
                <w:kern w:val="0"/>
                <w:sz w:val="24"/>
              </w:rPr>
            </w:pPr>
            <w:r>
              <w:rPr>
                <w:bCs/>
                <w:snapToGrid w:val="0"/>
                <w:kern w:val="0"/>
                <w:sz w:val="24"/>
              </w:rPr>
              <w:t xml:space="preserve">      L</w:t>
            </w:r>
            <w:r>
              <w:rPr>
                <w:bCs/>
                <w:snapToGrid w:val="0"/>
                <w:kern w:val="0"/>
                <w:sz w:val="24"/>
                <w:vertAlign w:val="subscript"/>
              </w:rPr>
              <w:t>p0</w:t>
            </w:r>
            <w:r>
              <w:rPr>
                <w:bCs/>
                <w:snapToGrid w:val="0"/>
                <w:kern w:val="0"/>
                <w:sz w:val="24"/>
              </w:rPr>
              <w:t>——为距声源中心r</w:t>
            </w:r>
            <w:r>
              <w:rPr>
                <w:bCs/>
                <w:snapToGrid w:val="0"/>
                <w:kern w:val="0"/>
                <w:sz w:val="24"/>
                <w:vertAlign w:val="subscript"/>
              </w:rPr>
              <w:t>0</w:t>
            </w:r>
            <w:r>
              <w:rPr>
                <w:bCs/>
                <w:snapToGrid w:val="0"/>
                <w:kern w:val="0"/>
                <w:sz w:val="24"/>
              </w:rPr>
              <w:t>处测的声压级，dB（A）；</w:t>
            </w:r>
          </w:p>
          <w:p>
            <w:pPr>
              <w:adjustRightInd w:val="0"/>
              <w:spacing w:line="360" w:lineRule="auto"/>
              <w:rPr>
                <w:sz w:val="24"/>
              </w:rPr>
            </w:pPr>
            <w:r>
              <w:rPr>
                <w:sz w:val="24"/>
              </w:rPr>
              <w:t xml:space="preserve">          TL——墙壁隔声量，dB（A）。本项目取15dB（A）。</w:t>
            </w:r>
          </w:p>
          <w:p>
            <w:pPr>
              <w:tabs>
                <w:tab w:val="left" w:pos="4584"/>
              </w:tabs>
              <w:adjustRightInd w:val="0"/>
              <w:snapToGrid w:val="0"/>
              <w:spacing w:line="360" w:lineRule="auto"/>
              <w:ind w:firstLine="1200" w:firstLineChars="500"/>
              <w:rPr>
                <w:bCs/>
                <w:snapToGrid w:val="0"/>
                <w:kern w:val="0"/>
                <w:sz w:val="24"/>
              </w:rPr>
            </w:pPr>
            <w:r>
              <w:rPr>
                <w:bCs/>
                <w:snapToGrid w:val="0"/>
                <w:kern w:val="0"/>
                <w:sz w:val="24"/>
              </w:rPr>
              <w:t>a——平均吸声系数，本项目中取0.15；</w:t>
            </w:r>
          </w:p>
          <w:p>
            <w:pPr>
              <w:tabs>
                <w:tab w:val="left" w:pos="4584"/>
              </w:tabs>
              <w:adjustRightInd w:val="0"/>
              <w:snapToGrid w:val="0"/>
              <w:spacing w:line="360" w:lineRule="auto"/>
              <w:ind w:firstLine="1200" w:firstLineChars="500"/>
              <w:rPr>
                <w:bCs/>
                <w:snapToGrid w:val="0"/>
                <w:kern w:val="0"/>
                <w:sz w:val="24"/>
              </w:rPr>
            </w:pPr>
            <w:r>
              <w:rPr>
                <w:bCs/>
                <w:snapToGrid w:val="0"/>
                <w:kern w:val="0"/>
                <w:sz w:val="24"/>
              </w:rPr>
              <w:t>r——墙外1m处至预测点的距离；</w:t>
            </w:r>
          </w:p>
          <w:p>
            <w:pPr>
              <w:tabs>
                <w:tab w:val="left" w:pos="4584"/>
              </w:tabs>
              <w:adjustRightInd w:val="0"/>
              <w:snapToGrid w:val="0"/>
              <w:spacing w:line="360" w:lineRule="auto"/>
              <w:ind w:firstLine="1200" w:firstLineChars="500"/>
              <w:rPr>
                <w:bCs/>
                <w:snapToGrid w:val="0"/>
                <w:kern w:val="0"/>
                <w:sz w:val="24"/>
              </w:rPr>
            </w:pPr>
            <w:r>
              <w:rPr>
                <w:bCs/>
                <w:snapToGrid w:val="0"/>
                <w:kern w:val="0"/>
                <w:sz w:val="24"/>
              </w:rPr>
              <w:t>r</w:t>
            </w:r>
            <w:r>
              <w:rPr>
                <w:bCs/>
                <w:snapToGrid w:val="0"/>
                <w:kern w:val="0"/>
                <w:sz w:val="24"/>
                <w:vertAlign w:val="subscript"/>
              </w:rPr>
              <w:t>0</w:t>
            </w:r>
            <w:r>
              <w:rPr>
                <w:bCs/>
                <w:snapToGrid w:val="0"/>
                <w:kern w:val="0"/>
                <w:sz w:val="24"/>
              </w:rPr>
              <w:t>——参考位置距噪声源的距离，参数距离为1m。</w:t>
            </w:r>
          </w:p>
          <w:p>
            <w:pPr>
              <w:tabs>
                <w:tab w:val="left" w:pos="4584"/>
              </w:tabs>
              <w:adjustRightInd w:val="0"/>
              <w:snapToGrid w:val="0"/>
              <w:spacing w:line="360" w:lineRule="auto"/>
              <w:ind w:firstLine="480" w:firstLineChars="200"/>
              <w:rPr>
                <w:bCs/>
                <w:snapToGrid w:val="0"/>
                <w:kern w:val="0"/>
                <w:sz w:val="24"/>
              </w:rPr>
            </w:pPr>
            <w:r>
              <w:rPr>
                <w:bCs/>
                <w:snapToGrid w:val="0"/>
                <w:kern w:val="0"/>
                <w:sz w:val="24"/>
              </w:rPr>
              <w:t>合成声压级采用公式为：</w:t>
            </w:r>
          </w:p>
          <w:p>
            <w:pPr>
              <w:tabs>
                <w:tab w:val="left" w:pos="4584"/>
              </w:tabs>
              <w:adjustRightInd w:val="0"/>
              <w:snapToGrid w:val="0"/>
              <w:spacing w:line="360" w:lineRule="auto"/>
              <w:ind w:firstLine="218" w:firstLineChars="91"/>
              <w:jc w:val="center"/>
              <w:rPr>
                <w:bCs/>
                <w:snapToGrid w:val="0"/>
                <w:kern w:val="0"/>
                <w:sz w:val="24"/>
              </w:rPr>
            </w:pPr>
            <w:r>
              <w:rPr>
                <w:bCs/>
                <w:snapToGrid w:val="0"/>
                <w:kern w:val="0"/>
                <w:sz w:val="24"/>
              </w:rPr>
              <w:drawing>
                <wp:inline distT="0" distB="0" distL="114300" distR="114300">
                  <wp:extent cx="1210310" cy="381000"/>
                  <wp:effectExtent l="0" t="0" r="8890" b="0"/>
                  <wp:docPr id="166" name="图片 5"/>
                  <wp:cNvGraphicFramePr/>
                  <a:graphic xmlns:a="http://schemas.openxmlformats.org/drawingml/2006/main">
                    <a:graphicData uri="http://schemas.openxmlformats.org/drawingml/2006/picture">
                      <pic:pic xmlns:pic="http://schemas.openxmlformats.org/drawingml/2006/picture">
                        <pic:nvPicPr>
                          <pic:cNvPr id="166" name="图片 5"/>
                          <pic:cNvPicPr/>
                        </pic:nvPicPr>
                        <pic:blipFill>
                          <a:blip r:embed="rId16"/>
                          <a:stretch>
                            <a:fillRect/>
                          </a:stretch>
                        </pic:blipFill>
                        <pic:spPr>
                          <a:xfrm>
                            <a:off x="0" y="0"/>
                            <a:ext cx="1210310" cy="381000"/>
                          </a:xfrm>
                          <a:prstGeom prst="rect">
                            <a:avLst/>
                          </a:prstGeom>
                          <a:noFill/>
                          <a:ln>
                            <a:noFill/>
                          </a:ln>
                        </pic:spPr>
                      </pic:pic>
                    </a:graphicData>
                  </a:graphic>
                </wp:inline>
              </w:drawing>
            </w:r>
          </w:p>
          <w:p>
            <w:pPr>
              <w:tabs>
                <w:tab w:val="left" w:pos="4584"/>
              </w:tabs>
              <w:adjustRightInd w:val="0"/>
              <w:snapToGrid w:val="0"/>
              <w:spacing w:line="360" w:lineRule="auto"/>
              <w:ind w:firstLine="480" w:firstLineChars="200"/>
              <w:rPr>
                <w:bCs/>
                <w:snapToGrid w:val="0"/>
                <w:kern w:val="0"/>
                <w:sz w:val="24"/>
              </w:rPr>
            </w:pPr>
            <w:r>
              <w:rPr>
                <w:bCs/>
                <w:snapToGrid w:val="0"/>
                <w:kern w:val="0"/>
                <w:sz w:val="24"/>
              </w:rPr>
              <w:t>式中：</w:t>
            </w:r>
            <w:r>
              <w:rPr>
                <w:bCs/>
                <w:i/>
                <w:snapToGrid w:val="0"/>
                <w:kern w:val="0"/>
                <w:sz w:val="24"/>
              </w:rPr>
              <w:t>L</w:t>
            </w:r>
            <w:r>
              <w:rPr>
                <w:bCs/>
                <w:i/>
                <w:snapToGrid w:val="0"/>
                <w:kern w:val="0"/>
                <w:sz w:val="24"/>
                <w:vertAlign w:val="subscript"/>
              </w:rPr>
              <w:t>pn</w:t>
            </w:r>
            <w:r>
              <w:rPr>
                <w:bCs/>
                <w:snapToGrid w:val="0"/>
                <w:kern w:val="0"/>
                <w:sz w:val="24"/>
              </w:rPr>
              <w:t>——n个噪声源在预测点产生的声压级，dB(A)；</w:t>
            </w:r>
          </w:p>
          <w:p>
            <w:pPr>
              <w:tabs>
                <w:tab w:val="left" w:pos="4584"/>
              </w:tabs>
              <w:adjustRightInd w:val="0"/>
              <w:snapToGrid w:val="0"/>
              <w:spacing w:line="360" w:lineRule="auto"/>
              <w:ind w:firstLine="480" w:firstLineChars="200"/>
              <w:rPr>
                <w:sz w:val="24"/>
              </w:rPr>
            </w:pPr>
            <w:r>
              <w:rPr>
                <w:bCs/>
                <w:i/>
                <w:snapToGrid w:val="0"/>
                <w:kern w:val="0"/>
                <w:sz w:val="24"/>
              </w:rPr>
              <w:t>L</w:t>
            </w:r>
            <w:r>
              <w:rPr>
                <w:bCs/>
                <w:i/>
                <w:snapToGrid w:val="0"/>
                <w:kern w:val="0"/>
                <w:sz w:val="24"/>
                <w:vertAlign w:val="subscript"/>
              </w:rPr>
              <w:t>pni</w:t>
            </w:r>
            <w:r>
              <w:rPr>
                <w:bCs/>
                <w:snapToGrid w:val="0"/>
                <w:kern w:val="0"/>
                <w:sz w:val="24"/>
              </w:rPr>
              <w:t>——第n个噪声源在预测点产生的声压级，dB(A)；</w:t>
            </w:r>
          </w:p>
          <w:p>
            <w:pPr>
              <w:spacing w:line="360" w:lineRule="auto"/>
              <w:ind w:firstLine="480" w:firstLineChars="200"/>
              <w:rPr>
                <w:sz w:val="24"/>
              </w:rPr>
            </w:pPr>
            <w:r>
              <w:rPr>
                <w:sz w:val="24"/>
              </w:rPr>
              <w:t>3、预测结果</w:t>
            </w:r>
          </w:p>
          <w:p>
            <w:pPr>
              <w:spacing w:line="360" w:lineRule="auto"/>
              <w:ind w:firstLine="480" w:firstLineChars="200"/>
            </w:pPr>
            <w:r>
              <w:rPr>
                <w:sz w:val="24"/>
              </w:rPr>
              <w:t>本项目属于新建项目，仅昼间运行，厂界噪声评价以贡献值作为评价量。项目建成运营后噪声预测结果见表4-9。</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4-9  项目厂界噪声预测结果 单位：dB（A）</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4"/>
              <w:gridCol w:w="2188"/>
              <w:gridCol w:w="1550"/>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4" w:type="pct"/>
                  <w:vAlign w:val="center"/>
                </w:tcPr>
                <w:p>
                  <w:pPr>
                    <w:jc w:val="center"/>
                    <w:rPr>
                      <w:szCs w:val="21"/>
                    </w:rPr>
                  </w:pPr>
                  <w:r>
                    <w:rPr>
                      <w:szCs w:val="21"/>
                    </w:rPr>
                    <w:t>项目预测点</w:t>
                  </w:r>
                </w:p>
              </w:tc>
              <w:tc>
                <w:tcPr>
                  <w:tcW w:w="1378" w:type="pct"/>
                  <w:vAlign w:val="center"/>
                </w:tcPr>
                <w:p>
                  <w:pPr>
                    <w:jc w:val="center"/>
                    <w:rPr>
                      <w:szCs w:val="21"/>
                    </w:rPr>
                  </w:pPr>
                  <w:r>
                    <w:rPr>
                      <w:szCs w:val="21"/>
                    </w:rPr>
                    <w:t>昼间贡献值</w:t>
                  </w:r>
                </w:p>
              </w:tc>
              <w:tc>
                <w:tcPr>
                  <w:tcW w:w="976" w:type="pct"/>
                  <w:vAlign w:val="center"/>
                </w:tcPr>
                <w:p>
                  <w:pPr>
                    <w:jc w:val="center"/>
                    <w:rPr>
                      <w:szCs w:val="21"/>
                    </w:rPr>
                  </w:pPr>
                  <w:r>
                    <w:rPr>
                      <w:szCs w:val="21"/>
                    </w:rPr>
                    <w:t>标准值（昼间）</w:t>
                  </w:r>
                </w:p>
              </w:tc>
              <w:tc>
                <w:tcPr>
                  <w:tcW w:w="939" w:type="pct"/>
                  <w:vAlign w:val="center"/>
                </w:tcPr>
                <w:p>
                  <w:pPr>
                    <w:jc w:val="center"/>
                    <w:rPr>
                      <w:szCs w:val="21"/>
                    </w:rPr>
                  </w:pPr>
                  <w:r>
                    <w:rPr>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4" w:type="pct"/>
                  <w:vAlign w:val="center"/>
                </w:tcPr>
                <w:p>
                  <w:pPr>
                    <w:jc w:val="center"/>
                    <w:rPr>
                      <w:szCs w:val="21"/>
                    </w:rPr>
                  </w:pPr>
                  <w:r>
                    <w:rPr>
                      <w:szCs w:val="21"/>
                    </w:rPr>
                    <w:t>东厂界</w:t>
                  </w:r>
                </w:p>
              </w:tc>
              <w:tc>
                <w:tcPr>
                  <w:tcW w:w="1378" w:type="pct"/>
                  <w:vAlign w:val="center"/>
                </w:tcPr>
                <w:p>
                  <w:pPr>
                    <w:jc w:val="center"/>
                    <w:rPr>
                      <w:szCs w:val="21"/>
                    </w:rPr>
                  </w:pPr>
                  <w:r>
                    <w:rPr>
                      <w:szCs w:val="21"/>
                    </w:rPr>
                    <w:t>46</w:t>
                  </w:r>
                </w:p>
              </w:tc>
              <w:tc>
                <w:tcPr>
                  <w:tcW w:w="976" w:type="pct"/>
                  <w:vAlign w:val="center"/>
                </w:tcPr>
                <w:p>
                  <w:pPr>
                    <w:jc w:val="center"/>
                    <w:rPr>
                      <w:szCs w:val="21"/>
                    </w:rPr>
                  </w:pPr>
                  <w:r>
                    <w:rPr>
                      <w:szCs w:val="21"/>
                    </w:rPr>
                    <w:t>65</w:t>
                  </w:r>
                </w:p>
              </w:tc>
              <w:tc>
                <w:tcPr>
                  <w:tcW w:w="939" w:type="pct"/>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4" w:type="pct"/>
                  <w:vAlign w:val="center"/>
                </w:tcPr>
                <w:p>
                  <w:pPr>
                    <w:jc w:val="center"/>
                    <w:rPr>
                      <w:szCs w:val="21"/>
                    </w:rPr>
                  </w:pPr>
                  <w:r>
                    <w:rPr>
                      <w:szCs w:val="21"/>
                    </w:rPr>
                    <w:t>西厂界</w:t>
                  </w:r>
                </w:p>
              </w:tc>
              <w:tc>
                <w:tcPr>
                  <w:tcW w:w="1378" w:type="pct"/>
                  <w:vAlign w:val="center"/>
                </w:tcPr>
                <w:p>
                  <w:pPr>
                    <w:jc w:val="center"/>
                    <w:rPr>
                      <w:szCs w:val="21"/>
                    </w:rPr>
                  </w:pPr>
                  <w:r>
                    <w:rPr>
                      <w:szCs w:val="21"/>
                    </w:rPr>
                    <w:t>49</w:t>
                  </w:r>
                </w:p>
              </w:tc>
              <w:tc>
                <w:tcPr>
                  <w:tcW w:w="976" w:type="pct"/>
                  <w:vAlign w:val="center"/>
                </w:tcPr>
                <w:p>
                  <w:pPr>
                    <w:jc w:val="center"/>
                    <w:rPr>
                      <w:szCs w:val="21"/>
                    </w:rPr>
                  </w:pPr>
                  <w:r>
                    <w:rPr>
                      <w:szCs w:val="21"/>
                    </w:rPr>
                    <w:t>65</w:t>
                  </w:r>
                </w:p>
              </w:tc>
              <w:tc>
                <w:tcPr>
                  <w:tcW w:w="939" w:type="pct"/>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4" w:type="pct"/>
                  <w:vAlign w:val="center"/>
                </w:tcPr>
                <w:p>
                  <w:pPr>
                    <w:jc w:val="center"/>
                    <w:rPr>
                      <w:szCs w:val="21"/>
                    </w:rPr>
                  </w:pPr>
                  <w:r>
                    <w:rPr>
                      <w:szCs w:val="21"/>
                    </w:rPr>
                    <w:t>北厂界</w:t>
                  </w:r>
                </w:p>
              </w:tc>
              <w:tc>
                <w:tcPr>
                  <w:tcW w:w="1378" w:type="pct"/>
                  <w:vAlign w:val="center"/>
                </w:tcPr>
                <w:p>
                  <w:pPr>
                    <w:jc w:val="center"/>
                    <w:rPr>
                      <w:szCs w:val="21"/>
                    </w:rPr>
                  </w:pPr>
                  <w:r>
                    <w:rPr>
                      <w:szCs w:val="21"/>
                    </w:rPr>
                    <w:t>48</w:t>
                  </w:r>
                </w:p>
              </w:tc>
              <w:tc>
                <w:tcPr>
                  <w:tcW w:w="976" w:type="pct"/>
                  <w:vAlign w:val="center"/>
                </w:tcPr>
                <w:p>
                  <w:pPr>
                    <w:jc w:val="center"/>
                    <w:rPr>
                      <w:szCs w:val="21"/>
                    </w:rPr>
                  </w:pPr>
                  <w:r>
                    <w:rPr>
                      <w:szCs w:val="21"/>
                    </w:rPr>
                    <w:t>65</w:t>
                  </w:r>
                </w:p>
              </w:tc>
              <w:tc>
                <w:tcPr>
                  <w:tcW w:w="939" w:type="pct"/>
                  <w:vAlign w:val="center"/>
                </w:tcPr>
                <w:p>
                  <w:pPr>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4" w:type="pct"/>
                  <w:vAlign w:val="center"/>
                </w:tcPr>
                <w:p>
                  <w:pPr>
                    <w:jc w:val="center"/>
                    <w:rPr>
                      <w:szCs w:val="21"/>
                    </w:rPr>
                  </w:pPr>
                  <w:r>
                    <w:rPr>
                      <w:szCs w:val="21"/>
                    </w:rPr>
                    <w:t>南厂界</w:t>
                  </w:r>
                </w:p>
              </w:tc>
              <w:tc>
                <w:tcPr>
                  <w:tcW w:w="1378" w:type="pct"/>
                  <w:vAlign w:val="center"/>
                </w:tcPr>
                <w:p>
                  <w:pPr>
                    <w:jc w:val="center"/>
                    <w:rPr>
                      <w:szCs w:val="21"/>
                    </w:rPr>
                  </w:pPr>
                  <w:r>
                    <w:rPr>
                      <w:szCs w:val="21"/>
                    </w:rPr>
                    <w:t>42</w:t>
                  </w:r>
                </w:p>
              </w:tc>
              <w:tc>
                <w:tcPr>
                  <w:tcW w:w="976" w:type="pct"/>
                  <w:vAlign w:val="center"/>
                </w:tcPr>
                <w:p>
                  <w:pPr>
                    <w:jc w:val="center"/>
                    <w:rPr>
                      <w:szCs w:val="21"/>
                    </w:rPr>
                  </w:pPr>
                  <w:r>
                    <w:rPr>
                      <w:szCs w:val="21"/>
                    </w:rPr>
                    <w:t>65</w:t>
                  </w:r>
                </w:p>
              </w:tc>
              <w:tc>
                <w:tcPr>
                  <w:tcW w:w="939" w:type="pct"/>
                  <w:vAlign w:val="center"/>
                </w:tcPr>
                <w:p>
                  <w:pPr>
                    <w:jc w:val="center"/>
                    <w:rPr>
                      <w:szCs w:val="21"/>
                    </w:rPr>
                  </w:pPr>
                  <w:r>
                    <w:rPr>
                      <w:szCs w:val="21"/>
                    </w:rPr>
                    <w:t>达标</w:t>
                  </w:r>
                </w:p>
              </w:tc>
            </w:tr>
          </w:tbl>
          <w:p>
            <w:pPr>
              <w:spacing w:before="120" w:beforeLines="50" w:line="360" w:lineRule="auto"/>
              <w:ind w:firstLine="480" w:firstLineChars="200"/>
              <w:rPr>
                <w:sz w:val="24"/>
              </w:rPr>
            </w:pPr>
            <w:r>
              <w:rPr>
                <w:sz w:val="24"/>
                <w:lang w:val="zh-CN"/>
              </w:rPr>
              <w:t>由表</w:t>
            </w:r>
            <w:r>
              <w:rPr>
                <w:sz w:val="24"/>
              </w:rPr>
              <w:t>4-9</w:t>
            </w:r>
            <w:r>
              <w:rPr>
                <w:sz w:val="24"/>
                <w:lang w:val="zh-CN"/>
              </w:rPr>
              <w:t>可知，</w:t>
            </w:r>
            <w:r>
              <w:rPr>
                <w:sz w:val="24"/>
              </w:rPr>
              <w:t>在采取基础减振、隔声等控制措施后，项目厂界噪声昼间贡献值满足《工业企业厂界环境噪声排放标准》（GB12348-2008）3类标准要求。</w:t>
            </w:r>
          </w:p>
          <w:p>
            <w:pPr>
              <w:pStyle w:val="44"/>
              <w:spacing w:line="360" w:lineRule="auto"/>
              <w:ind w:firstLine="480"/>
              <w:jc w:val="left"/>
              <w:rPr>
                <w:sz w:val="24"/>
              </w:rPr>
            </w:pPr>
            <w:r>
              <w:rPr>
                <w:sz w:val="24"/>
              </w:rPr>
              <w:t>4、噪声控制措施及可行性分析</w:t>
            </w:r>
          </w:p>
          <w:p>
            <w:pPr>
              <w:pStyle w:val="44"/>
              <w:spacing w:line="360" w:lineRule="auto"/>
              <w:ind w:firstLine="480"/>
              <w:jc w:val="left"/>
              <w:rPr>
                <w:sz w:val="24"/>
              </w:rPr>
            </w:pPr>
            <w:r>
              <w:rPr>
                <w:sz w:val="24"/>
              </w:rPr>
              <w:t>针对本项目噪声源拟采取的降噪措施如下：</w:t>
            </w:r>
          </w:p>
          <w:p>
            <w:pPr>
              <w:pStyle w:val="44"/>
              <w:spacing w:line="360" w:lineRule="auto"/>
              <w:ind w:firstLine="480"/>
              <w:jc w:val="left"/>
              <w:rPr>
                <w:sz w:val="24"/>
              </w:rPr>
            </w:pPr>
            <w:r>
              <w:rPr>
                <w:rFonts w:hint="eastAsia" w:ascii="宋体" w:hAnsi="宋体" w:cs="宋体"/>
                <w:sz w:val="24"/>
              </w:rPr>
              <w:t>①</w:t>
            </w:r>
            <w:r>
              <w:rPr>
                <w:sz w:val="24"/>
              </w:rPr>
              <w:t>选择低噪声设备。</w:t>
            </w:r>
          </w:p>
          <w:p>
            <w:pPr>
              <w:pStyle w:val="44"/>
              <w:spacing w:line="360" w:lineRule="auto"/>
              <w:ind w:firstLine="480"/>
              <w:jc w:val="left"/>
              <w:rPr>
                <w:bCs/>
                <w:sz w:val="24"/>
              </w:rPr>
            </w:pPr>
            <w:r>
              <w:rPr>
                <w:rFonts w:hint="eastAsia" w:ascii="宋体" w:hAnsi="宋体" w:cs="宋体"/>
                <w:sz w:val="24"/>
              </w:rPr>
              <w:t>②</w:t>
            </w:r>
            <w:r>
              <w:rPr>
                <w:bCs/>
                <w:sz w:val="24"/>
              </w:rPr>
              <w:t>加强设备的日常检修、维护，提高润滑度；</w:t>
            </w:r>
          </w:p>
          <w:p>
            <w:pPr>
              <w:pStyle w:val="44"/>
              <w:spacing w:line="360" w:lineRule="auto"/>
              <w:ind w:firstLine="480"/>
              <w:jc w:val="left"/>
              <w:rPr>
                <w:bCs/>
                <w:sz w:val="24"/>
              </w:rPr>
            </w:pPr>
            <w:r>
              <w:rPr>
                <w:rFonts w:hint="eastAsia" w:ascii="宋体" w:hAnsi="宋体" w:cs="宋体"/>
                <w:sz w:val="24"/>
              </w:rPr>
              <w:t>③</w:t>
            </w:r>
            <w:r>
              <w:rPr>
                <w:bCs/>
                <w:sz w:val="24"/>
              </w:rPr>
              <w:t>对项目中的废气处理环保设施加减振垫处理，确保项目厂界噪声达标。</w:t>
            </w:r>
          </w:p>
          <w:p>
            <w:pPr>
              <w:pStyle w:val="44"/>
              <w:spacing w:line="360" w:lineRule="auto"/>
              <w:ind w:firstLine="480"/>
              <w:rPr>
                <w:sz w:val="24"/>
              </w:rPr>
            </w:pPr>
            <w:r>
              <w:rPr>
                <w:sz w:val="24"/>
              </w:rPr>
              <w:t>加强设备的维护保养，确保设备处于良好的运转状态，杜绝因设备不正常运转时产生的高噪声现象。</w:t>
            </w:r>
          </w:p>
          <w:p>
            <w:pPr>
              <w:pStyle w:val="51"/>
              <w:ind w:firstLine="480"/>
              <w:rPr>
                <w:rFonts w:hAnsi="Times New Roman"/>
              </w:rPr>
            </w:pPr>
            <w:r>
              <w:rPr>
                <w:rFonts w:hAnsi="Times New Roman"/>
                <w:kern w:val="0"/>
              </w:rPr>
              <w:t>本项目的主要振动源为风机，位于楼顶。建设单位对振动源采取加装减振基座、隔声等措施后，项目建设对周围楼层振动影响较小。</w:t>
            </w:r>
          </w:p>
          <w:p>
            <w:pPr>
              <w:pStyle w:val="44"/>
              <w:spacing w:line="360" w:lineRule="auto"/>
              <w:ind w:firstLine="480"/>
              <w:jc w:val="left"/>
              <w:rPr>
                <w:sz w:val="24"/>
              </w:rPr>
            </w:pPr>
            <w:r>
              <w:rPr>
                <w:sz w:val="24"/>
              </w:rPr>
              <w:t>采用上述措施后，厂界噪声可满足《工业企业厂界环境噪声排放标准》</w:t>
            </w:r>
          </w:p>
          <w:p>
            <w:pPr>
              <w:pStyle w:val="44"/>
              <w:spacing w:line="360" w:lineRule="auto"/>
              <w:ind w:firstLine="0" w:firstLineChars="0"/>
              <w:jc w:val="left"/>
              <w:rPr>
                <w:sz w:val="24"/>
              </w:rPr>
            </w:pPr>
            <w:r>
              <w:rPr>
                <w:sz w:val="24"/>
              </w:rPr>
              <w:t>（GB12348-2008）3类标准要求，噪声防治措施是可行的。</w:t>
            </w:r>
          </w:p>
          <w:p>
            <w:pPr>
              <w:pStyle w:val="44"/>
              <w:spacing w:line="360" w:lineRule="auto"/>
              <w:ind w:firstLine="480"/>
              <w:jc w:val="left"/>
              <w:rPr>
                <w:sz w:val="24"/>
              </w:rPr>
            </w:pPr>
            <w:r>
              <w:rPr>
                <w:sz w:val="24"/>
              </w:rPr>
              <w:t>5、噪声监测计划</w:t>
            </w:r>
          </w:p>
          <w:p>
            <w:pPr>
              <w:pStyle w:val="44"/>
              <w:spacing w:line="360" w:lineRule="auto"/>
              <w:ind w:firstLine="480"/>
              <w:jc w:val="left"/>
              <w:rPr>
                <w:b/>
                <w:bCs/>
                <w:sz w:val="24"/>
              </w:rPr>
            </w:pPr>
            <w:r>
              <w:rPr>
                <w:sz w:val="24"/>
              </w:rPr>
              <w:t>根据《排污单位自行监测技术指南 总则》（HJ819-2017），项目噪声监测计划见下表：</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表4-10  项目运营期噪声监测计划表</w:t>
            </w:r>
          </w:p>
          <w:tbl>
            <w:tblPr>
              <w:tblStyle w:val="24"/>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191"/>
              <w:gridCol w:w="1603"/>
              <w:gridCol w:w="1122"/>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3" w:type="pct"/>
                  <w:vAlign w:val="center"/>
                </w:tcPr>
                <w:p>
                  <w:pPr>
                    <w:jc w:val="center"/>
                    <w:rPr>
                      <w:bCs/>
                      <w:szCs w:val="21"/>
                    </w:rPr>
                  </w:pPr>
                  <w:r>
                    <w:rPr>
                      <w:bCs/>
                      <w:szCs w:val="21"/>
                      <w:lang w:bidi="ar"/>
                    </w:rPr>
                    <w:t>类别</w:t>
                  </w:r>
                </w:p>
              </w:tc>
              <w:tc>
                <w:tcPr>
                  <w:tcW w:w="751" w:type="pct"/>
                  <w:vAlign w:val="center"/>
                </w:tcPr>
                <w:p>
                  <w:pPr>
                    <w:jc w:val="center"/>
                    <w:rPr>
                      <w:bCs/>
                      <w:szCs w:val="21"/>
                    </w:rPr>
                  </w:pPr>
                  <w:r>
                    <w:rPr>
                      <w:bCs/>
                      <w:szCs w:val="21"/>
                      <w:lang w:bidi="ar"/>
                    </w:rPr>
                    <w:t>监测项目</w:t>
                  </w:r>
                </w:p>
              </w:tc>
              <w:tc>
                <w:tcPr>
                  <w:tcW w:w="1010" w:type="pct"/>
                  <w:vAlign w:val="center"/>
                </w:tcPr>
                <w:p>
                  <w:pPr>
                    <w:jc w:val="center"/>
                    <w:rPr>
                      <w:bCs/>
                      <w:szCs w:val="21"/>
                    </w:rPr>
                  </w:pPr>
                  <w:r>
                    <w:rPr>
                      <w:bCs/>
                      <w:szCs w:val="21"/>
                      <w:lang w:bidi="ar"/>
                    </w:rPr>
                    <w:t>监测点位置</w:t>
                  </w:r>
                </w:p>
              </w:tc>
              <w:tc>
                <w:tcPr>
                  <w:tcW w:w="708" w:type="pct"/>
                  <w:vAlign w:val="center"/>
                </w:tcPr>
                <w:p>
                  <w:pPr>
                    <w:jc w:val="center"/>
                    <w:rPr>
                      <w:bCs/>
                      <w:szCs w:val="21"/>
                    </w:rPr>
                  </w:pPr>
                  <w:r>
                    <w:rPr>
                      <w:bCs/>
                      <w:szCs w:val="21"/>
                      <w:lang w:bidi="ar"/>
                    </w:rPr>
                    <w:t>监测频率</w:t>
                  </w:r>
                </w:p>
              </w:tc>
              <w:tc>
                <w:tcPr>
                  <w:tcW w:w="1885" w:type="pct"/>
                  <w:vAlign w:val="center"/>
                </w:tcPr>
                <w:p>
                  <w:pPr>
                    <w:jc w:val="center"/>
                    <w:rPr>
                      <w:bCs/>
                      <w:szCs w:val="21"/>
                    </w:rPr>
                  </w:pPr>
                  <w:r>
                    <w:rPr>
                      <w:bCs/>
                      <w:szCs w:val="21"/>
                      <w:lang w:bidi="ar"/>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3" w:type="pct"/>
                  <w:vAlign w:val="center"/>
                </w:tcPr>
                <w:p>
                  <w:pPr>
                    <w:jc w:val="center"/>
                    <w:rPr>
                      <w:szCs w:val="21"/>
                      <w:lang w:bidi="ar"/>
                    </w:rPr>
                  </w:pPr>
                  <w:r>
                    <w:rPr>
                      <w:szCs w:val="21"/>
                      <w:lang w:bidi="ar"/>
                    </w:rPr>
                    <w:t>厂界</w:t>
                  </w:r>
                </w:p>
                <w:p>
                  <w:pPr>
                    <w:jc w:val="center"/>
                    <w:rPr>
                      <w:szCs w:val="21"/>
                      <w:lang w:bidi="ar"/>
                    </w:rPr>
                  </w:pPr>
                  <w:r>
                    <w:rPr>
                      <w:szCs w:val="21"/>
                      <w:lang w:bidi="ar"/>
                    </w:rPr>
                    <w:t>噪声</w:t>
                  </w:r>
                </w:p>
              </w:tc>
              <w:tc>
                <w:tcPr>
                  <w:tcW w:w="751" w:type="pct"/>
                  <w:vAlign w:val="center"/>
                </w:tcPr>
                <w:p>
                  <w:pPr>
                    <w:jc w:val="center"/>
                    <w:rPr>
                      <w:szCs w:val="21"/>
                      <w:lang w:bidi="ar"/>
                    </w:rPr>
                  </w:pPr>
                  <w:r>
                    <w:rPr>
                      <w:szCs w:val="21"/>
                      <w:lang w:bidi="ar"/>
                    </w:rPr>
                    <w:t>Leq（A）</w:t>
                  </w:r>
                </w:p>
              </w:tc>
              <w:tc>
                <w:tcPr>
                  <w:tcW w:w="1010" w:type="pct"/>
                  <w:vAlign w:val="center"/>
                </w:tcPr>
                <w:p>
                  <w:pPr>
                    <w:jc w:val="center"/>
                    <w:rPr>
                      <w:szCs w:val="21"/>
                      <w:lang w:bidi="ar"/>
                    </w:rPr>
                  </w:pPr>
                  <w:r>
                    <w:rPr>
                      <w:szCs w:val="21"/>
                      <w:lang w:bidi="ar"/>
                    </w:rPr>
                    <w:t>厂界四周外1m</w:t>
                  </w:r>
                </w:p>
              </w:tc>
              <w:tc>
                <w:tcPr>
                  <w:tcW w:w="708" w:type="pct"/>
                  <w:vAlign w:val="center"/>
                </w:tcPr>
                <w:p>
                  <w:pPr>
                    <w:jc w:val="center"/>
                    <w:rPr>
                      <w:szCs w:val="21"/>
                      <w:lang w:bidi="ar"/>
                    </w:rPr>
                  </w:pPr>
                  <w:r>
                    <w:rPr>
                      <w:szCs w:val="21"/>
                      <w:lang w:bidi="ar"/>
                    </w:rPr>
                    <w:t>每季度</w:t>
                  </w:r>
                </w:p>
                <w:p>
                  <w:pPr>
                    <w:jc w:val="center"/>
                    <w:rPr>
                      <w:bCs/>
                      <w:szCs w:val="21"/>
                      <w:lang w:bidi="ar"/>
                    </w:rPr>
                  </w:pPr>
                  <w:r>
                    <w:rPr>
                      <w:szCs w:val="21"/>
                      <w:lang w:bidi="ar"/>
                    </w:rPr>
                    <w:t>1次</w:t>
                  </w:r>
                </w:p>
              </w:tc>
              <w:tc>
                <w:tcPr>
                  <w:tcW w:w="1885" w:type="pct"/>
                  <w:vAlign w:val="center"/>
                </w:tcPr>
                <w:p>
                  <w:pPr>
                    <w:jc w:val="center"/>
                    <w:rPr>
                      <w:szCs w:val="21"/>
                      <w:lang w:bidi="ar"/>
                    </w:rPr>
                  </w:pPr>
                  <w:r>
                    <w:rPr>
                      <w:kern w:val="0"/>
                      <w:szCs w:val="21"/>
                      <w:lang w:bidi="ar"/>
                    </w:rPr>
                    <w:t>执</w:t>
                  </w:r>
                  <w:r>
                    <w:rPr>
                      <w:szCs w:val="21"/>
                      <w:lang w:bidi="ar"/>
                    </w:rPr>
                    <w:t>行《工业企业厂界环境噪声排放标准》（GB12348-2008）中3类标准</w:t>
                  </w:r>
                </w:p>
              </w:tc>
            </w:tr>
          </w:tbl>
          <w:p>
            <w:pPr>
              <w:adjustRightInd w:val="0"/>
              <w:snapToGrid w:val="0"/>
              <w:spacing w:before="120" w:beforeLines="50" w:line="360" w:lineRule="auto"/>
              <w:ind w:firstLine="482" w:firstLineChars="200"/>
              <w:rPr>
                <w:b/>
                <w:bCs/>
                <w:sz w:val="24"/>
              </w:rPr>
            </w:pPr>
            <w:r>
              <w:rPr>
                <w:b/>
                <w:bCs/>
                <w:sz w:val="24"/>
              </w:rPr>
              <w:t>四、固体废物</w:t>
            </w:r>
          </w:p>
          <w:p>
            <w:pPr>
              <w:pStyle w:val="44"/>
              <w:spacing w:line="360" w:lineRule="auto"/>
              <w:ind w:firstLine="480"/>
              <w:jc w:val="left"/>
              <w:rPr>
                <w:sz w:val="24"/>
              </w:rPr>
            </w:pPr>
            <w:r>
              <w:rPr>
                <w:sz w:val="24"/>
              </w:rPr>
              <w:t>1、固体废物产生及处置情况</w:t>
            </w:r>
          </w:p>
          <w:p>
            <w:pPr>
              <w:pStyle w:val="44"/>
              <w:spacing w:line="360" w:lineRule="auto"/>
              <w:ind w:firstLine="480"/>
              <w:rPr>
                <w:kern w:val="0"/>
                <w:sz w:val="24"/>
              </w:rPr>
            </w:pPr>
            <w:r>
              <w:rPr>
                <w:kern w:val="0"/>
                <w:sz w:val="24"/>
              </w:rPr>
              <w:t>本项目运营过程中产生的固体废物包括</w:t>
            </w:r>
            <w:r>
              <w:rPr>
                <w:sz w:val="24"/>
              </w:rPr>
              <w:t>实验废液、废试剂瓶、废手套、实验清洗废水</w:t>
            </w:r>
            <w:r>
              <w:rPr>
                <w:bCs/>
                <w:sz w:val="24"/>
              </w:rPr>
              <w:t>、</w:t>
            </w:r>
            <w:r>
              <w:rPr>
                <w:sz w:val="24"/>
              </w:rPr>
              <w:t>废活性炭等危险废物、一般固废</w:t>
            </w:r>
            <w:r>
              <w:rPr>
                <w:kern w:val="0"/>
                <w:sz w:val="24"/>
              </w:rPr>
              <w:t>和生活垃圾。</w:t>
            </w:r>
          </w:p>
          <w:p>
            <w:pPr>
              <w:numPr>
                <w:ilvl w:val="0"/>
                <w:numId w:val="6"/>
              </w:numPr>
              <w:spacing w:line="360" w:lineRule="auto"/>
              <w:ind w:firstLine="480" w:firstLineChars="200"/>
              <w:rPr>
                <w:kern w:val="0"/>
                <w:sz w:val="24"/>
              </w:rPr>
            </w:pPr>
            <w:r>
              <w:rPr>
                <w:kern w:val="0"/>
                <w:sz w:val="24"/>
              </w:rPr>
              <w:t>危险废物</w:t>
            </w:r>
          </w:p>
          <w:p>
            <w:pPr>
              <w:spacing w:line="360" w:lineRule="auto"/>
              <w:ind w:firstLine="480" w:firstLineChars="200"/>
              <w:rPr>
                <w:kern w:val="0"/>
                <w:sz w:val="24"/>
              </w:rPr>
            </w:pPr>
            <w:r>
              <w:rPr>
                <w:rFonts w:hint="eastAsia" w:ascii="宋体" w:hAnsi="宋体" w:cs="宋体"/>
                <w:kern w:val="0"/>
                <w:sz w:val="24"/>
              </w:rPr>
              <w:t>①</w:t>
            </w:r>
            <w:r>
              <w:rPr>
                <w:kern w:val="0"/>
                <w:sz w:val="24"/>
              </w:rPr>
              <w:t>实验废液：项目实验过程反应剩余的废酸、废碱和其他废试剂、部分仪器在使用过程中产生的实验废液等，其属于危险废物，根据《国家危险废物名录（2021年版）》中规定，危废代码为HW49 900-047-49，本项目产生的实验废液量约3t/a，专用容器收集后暂存于危废贮存库，定期交由有资质单位处置。</w:t>
            </w:r>
          </w:p>
          <w:p>
            <w:pPr>
              <w:spacing w:line="360" w:lineRule="auto"/>
              <w:ind w:firstLine="480" w:firstLineChars="200"/>
              <w:rPr>
                <w:kern w:val="0"/>
                <w:sz w:val="24"/>
              </w:rPr>
            </w:pPr>
            <w:r>
              <w:rPr>
                <w:rFonts w:hint="eastAsia" w:ascii="宋体" w:hAnsi="宋体" w:cs="宋体"/>
                <w:kern w:val="0"/>
                <w:sz w:val="24"/>
              </w:rPr>
              <w:t>②</w:t>
            </w:r>
            <w:r>
              <w:rPr>
                <w:kern w:val="0"/>
                <w:sz w:val="24"/>
              </w:rPr>
              <w:t>废试剂瓶、废手套：项目实验过程产生的沾染化学品的废试剂瓶、废手套约0.02t/a，根据《国家危险废物名录（2021年版）》中规定，危废代码为HW49 900-041-49，暂存于危废贮存库，定期交由有资质单位处置。</w:t>
            </w:r>
          </w:p>
          <w:p>
            <w:pPr>
              <w:spacing w:line="360" w:lineRule="auto"/>
              <w:ind w:firstLine="480" w:firstLineChars="200"/>
              <w:rPr>
                <w:kern w:val="0"/>
                <w:sz w:val="24"/>
              </w:rPr>
            </w:pPr>
            <w:r>
              <w:rPr>
                <w:rFonts w:hint="eastAsia" w:ascii="宋体" w:hAnsi="宋体" w:cs="宋体"/>
                <w:kern w:val="0"/>
                <w:sz w:val="24"/>
              </w:rPr>
              <w:t>③</w:t>
            </w:r>
            <w:r>
              <w:rPr>
                <w:kern w:val="0"/>
                <w:sz w:val="24"/>
              </w:rPr>
              <w:t>第1次实验器具清洗废水：第1次实验器具清洗废水为6.0t/a，根据《国家危险废物名录（2021年版）》中规定，危废代码为HW49 900-047-49，专用容器收集后暂存危废贮存库，定期交由有资质单位处置。</w:t>
            </w:r>
          </w:p>
          <w:p>
            <w:pPr>
              <w:spacing w:line="360" w:lineRule="auto"/>
              <w:ind w:firstLine="480" w:firstLineChars="200"/>
              <w:rPr>
                <w:kern w:val="0"/>
                <w:sz w:val="24"/>
              </w:rPr>
            </w:pPr>
            <w:r>
              <w:rPr>
                <w:rFonts w:hint="eastAsia" w:ascii="宋体" w:hAnsi="宋体" w:cs="宋体"/>
                <w:kern w:val="0"/>
                <w:sz w:val="24"/>
              </w:rPr>
              <w:t>④</w:t>
            </w:r>
            <w:r>
              <w:rPr>
                <w:kern w:val="0"/>
                <w:sz w:val="24"/>
              </w:rPr>
              <w:t>废活性炭：本项目废气处理时产生废活性炭，根据同类工程调查，活性炭吸附有机废气的能力大概为自身单位重量的1/4，根据分析计算，项目吸附的非甲烷总烃及甲苯总量为0.3t/a，则废活性炭产生量约为1.2t/a，根据《国家危险废物名录（2021年版）》中规定，废活性炭属于危险废物HW49、废物代码900-039-49，每季度更换一次，暂存于危废贮存库，定期交由有资质单位处置。</w:t>
            </w:r>
          </w:p>
          <w:p>
            <w:pPr>
              <w:spacing w:line="360" w:lineRule="auto"/>
              <w:ind w:firstLine="480" w:firstLineChars="200"/>
              <w:rPr>
                <w:kern w:val="0"/>
                <w:sz w:val="24"/>
              </w:rPr>
            </w:pPr>
            <w:r>
              <w:rPr>
                <w:kern w:val="0"/>
                <w:sz w:val="24"/>
              </w:rPr>
              <w:t>（2）一般固废：项目产生废包装预估产生量为1.0t/a，统一收集后外售。</w:t>
            </w:r>
          </w:p>
          <w:p>
            <w:pPr>
              <w:spacing w:line="360" w:lineRule="auto"/>
              <w:ind w:firstLine="480" w:firstLineChars="200"/>
              <w:rPr>
                <w:b/>
                <w:sz w:val="24"/>
              </w:rPr>
            </w:pPr>
            <w:r>
              <w:rPr>
                <w:kern w:val="0"/>
                <w:sz w:val="24"/>
              </w:rPr>
              <w:t>（3）生活垃圾：项目职工20人，生活垃圾按每人每天0.5kg计算，则生活垃圾产生量约为3t/a，采用袋装收集后统一交由环卫部门清运处置。</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表4-11  项目固体废物利用处置方式一览表</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887"/>
              <w:gridCol w:w="1156"/>
              <w:gridCol w:w="1251"/>
              <w:gridCol w:w="16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jc w:val="center"/>
                    <w:rPr>
                      <w:szCs w:val="21"/>
                    </w:rPr>
                  </w:pPr>
                  <w:r>
                    <w:rPr>
                      <w:szCs w:val="21"/>
                    </w:rPr>
                    <w:t>序号</w:t>
                  </w:r>
                </w:p>
              </w:tc>
              <w:tc>
                <w:tcPr>
                  <w:tcW w:w="1189" w:type="pct"/>
                  <w:vAlign w:val="center"/>
                </w:tcPr>
                <w:p>
                  <w:pPr>
                    <w:jc w:val="center"/>
                    <w:rPr>
                      <w:szCs w:val="21"/>
                    </w:rPr>
                  </w:pPr>
                  <w:r>
                    <w:rPr>
                      <w:szCs w:val="21"/>
                    </w:rPr>
                    <w:t>固废名称</w:t>
                  </w:r>
                </w:p>
              </w:tc>
              <w:tc>
                <w:tcPr>
                  <w:tcW w:w="729" w:type="pct"/>
                  <w:vAlign w:val="center"/>
                </w:tcPr>
                <w:p>
                  <w:pPr>
                    <w:jc w:val="center"/>
                    <w:rPr>
                      <w:szCs w:val="21"/>
                    </w:rPr>
                  </w:pPr>
                  <w:r>
                    <w:rPr>
                      <w:szCs w:val="21"/>
                    </w:rPr>
                    <w:t>产生工序</w:t>
                  </w:r>
                </w:p>
              </w:tc>
              <w:tc>
                <w:tcPr>
                  <w:tcW w:w="789" w:type="pct"/>
                  <w:vAlign w:val="center"/>
                </w:tcPr>
                <w:p>
                  <w:pPr>
                    <w:jc w:val="center"/>
                    <w:rPr>
                      <w:szCs w:val="21"/>
                    </w:rPr>
                  </w:pPr>
                  <w:r>
                    <w:rPr>
                      <w:szCs w:val="21"/>
                    </w:rPr>
                    <w:t>产生量（t/a）</w:t>
                  </w:r>
                </w:p>
              </w:tc>
              <w:tc>
                <w:tcPr>
                  <w:tcW w:w="1030" w:type="pct"/>
                  <w:vAlign w:val="center"/>
                </w:tcPr>
                <w:p>
                  <w:pPr>
                    <w:jc w:val="center"/>
                    <w:rPr>
                      <w:szCs w:val="21"/>
                    </w:rPr>
                  </w:pPr>
                  <w:r>
                    <w:rPr>
                      <w:szCs w:val="21"/>
                    </w:rPr>
                    <w:t>危废代码</w:t>
                  </w:r>
                </w:p>
              </w:tc>
              <w:tc>
                <w:tcPr>
                  <w:tcW w:w="893" w:type="pct"/>
                  <w:vAlign w:val="center"/>
                </w:tcPr>
                <w:p>
                  <w:pPr>
                    <w:jc w:val="center"/>
                    <w:rPr>
                      <w:szCs w:val="21"/>
                    </w:rPr>
                  </w:pPr>
                  <w:r>
                    <w:rPr>
                      <w:szCs w:val="21"/>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jc w:val="center"/>
                    <w:rPr>
                      <w:szCs w:val="21"/>
                    </w:rPr>
                  </w:pPr>
                  <w:r>
                    <w:rPr>
                      <w:szCs w:val="21"/>
                    </w:rPr>
                    <w:t>1</w:t>
                  </w:r>
                </w:p>
              </w:tc>
              <w:tc>
                <w:tcPr>
                  <w:tcW w:w="1189" w:type="pct"/>
                  <w:vAlign w:val="center"/>
                </w:tcPr>
                <w:p>
                  <w:pPr>
                    <w:jc w:val="center"/>
                    <w:rPr>
                      <w:szCs w:val="21"/>
                    </w:rPr>
                  </w:pPr>
                  <w:r>
                    <w:rPr>
                      <w:szCs w:val="21"/>
                    </w:rPr>
                    <w:t>实验废液</w:t>
                  </w:r>
                </w:p>
              </w:tc>
              <w:tc>
                <w:tcPr>
                  <w:tcW w:w="729" w:type="pct"/>
                  <w:vAlign w:val="center"/>
                </w:tcPr>
                <w:p>
                  <w:pPr>
                    <w:jc w:val="center"/>
                    <w:rPr>
                      <w:szCs w:val="21"/>
                    </w:rPr>
                  </w:pPr>
                  <w:r>
                    <w:rPr>
                      <w:szCs w:val="21"/>
                    </w:rPr>
                    <w:t>实验</w:t>
                  </w:r>
                </w:p>
              </w:tc>
              <w:tc>
                <w:tcPr>
                  <w:tcW w:w="789" w:type="pct"/>
                  <w:vAlign w:val="center"/>
                </w:tcPr>
                <w:p>
                  <w:pPr>
                    <w:jc w:val="center"/>
                    <w:rPr>
                      <w:szCs w:val="21"/>
                    </w:rPr>
                  </w:pPr>
                  <w:r>
                    <w:rPr>
                      <w:szCs w:val="21"/>
                    </w:rPr>
                    <w:t>3</w:t>
                  </w:r>
                </w:p>
              </w:tc>
              <w:tc>
                <w:tcPr>
                  <w:tcW w:w="1030" w:type="pct"/>
                  <w:vAlign w:val="center"/>
                </w:tcPr>
                <w:p>
                  <w:pPr>
                    <w:jc w:val="center"/>
                    <w:rPr>
                      <w:szCs w:val="21"/>
                    </w:rPr>
                  </w:pPr>
                  <w:r>
                    <w:rPr>
                      <w:kern w:val="0"/>
                      <w:szCs w:val="21"/>
                    </w:rPr>
                    <w:t>HW49 900-047-49</w:t>
                  </w:r>
                </w:p>
              </w:tc>
              <w:tc>
                <w:tcPr>
                  <w:tcW w:w="893" w:type="pct"/>
                  <w:vMerge w:val="restart"/>
                  <w:vAlign w:val="center"/>
                </w:tcPr>
                <w:p>
                  <w:pPr>
                    <w:pStyle w:val="23"/>
                    <w:ind w:left="0" w:leftChars="0" w:firstLine="0" w:firstLineChars="0"/>
                    <w:jc w:val="left"/>
                  </w:pPr>
                  <w:r>
                    <w:t>专用容器收集，危废贮存库，交有资质单位处置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jc w:val="center"/>
                    <w:rPr>
                      <w:szCs w:val="21"/>
                    </w:rPr>
                  </w:pPr>
                  <w:r>
                    <w:rPr>
                      <w:szCs w:val="21"/>
                    </w:rPr>
                    <w:t>2</w:t>
                  </w:r>
                </w:p>
              </w:tc>
              <w:tc>
                <w:tcPr>
                  <w:tcW w:w="1189" w:type="pct"/>
                  <w:vAlign w:val="center"/>
                </w:tcPr>
                <w:p>
                  <w:pPr>
                    <w:jc w:val="center"/>
                    <w:rPr>
                      <w:szCs w:val="21"/>
                    </w:rPr>
                  </w:pPr>
                  <w:r>
                    <w:rPr>
                      <w:kern w:val="0"/>
                      <w:szCs w:val="21"/>
                    </w:rPr>
                    <w:t>废试剂瓶、废手套</w:t>
                  </w:r>
                </w:p>
              </w:tc>
              <w:tc>
                <w:tcPr>
                  <w:tcW w:w="729" w:type="pct"/>
                  <w:vAlign w:val="center"/>
                </w:tcPr>
                <w:p>
                  <w:pPr>
                    <w:jc w:val="center"/>
                    <w:rPr>
                      <w:szCs w:val="21"/>
                    </w:rPr>
                  </w:pPr>
                  <w:r>
                    <w:rPr>
                      <w:kern w:val="0"/>
                      <w:szCs w:val="21"/>
                    </w:rPr>
                    <w:t>包装</w:t>
                  </w:r>
                </w:p>
              </w:tc>
              <w:tc>
                <w:tcPr>
                  <w:tcW w:w="789" w:type="pct"/>
                  <w:vAlign w:val="center"/>
                </w:tcPr>
                <w:p>
                  <w:pPr>
                    <w:jc w:val="center"/>
                    <w:rPr>
                      <w:szCs w:val="21"/>
                    </w:rPr>
                  </w:pPr>
                  <w:r>
                    <w:rPr>
                      <w:kern w:val="0"/>
                      <w:szCs w:val="21"/>
                    </w:rPr>
                    <w:t>0.02</w:t>
                  </w:r>
                </w:p>
              </w:tc>
              <w:tc>
                <w:tcPr>
                  <w:tcW w:w="1030" w:type="pct"/>
                  <w:vAlign w:val="center"/>
                </w:tcPr>
                <w:p>
                  <w:pPr>
                    <w:jc w:val="center"/>
                    <w:rPr>
                      <w:szCs w:val="21"/>
                    </w:rPr>
                  </w:pPr>
                  <w:r>
                    <w:rPr>
                      <w:kern w:val="0"/>
                      <w:szCs w:val="21"/>
                    </w:rPr>
                    <w:t>HW49 900-041-49</w:t>
                  </w:r>
                </w:p>
              </w:tc>
              <w:tc>
                <w:tcPr>
                  <w:tcW w:w="893"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67" w:type="pct"/>
                  <w:vAlign w:val="center"/>
                </w:tcPr>
                <w:p>
                  <w:pPr>
                    <w:jc w:val="center"/>
                    <w:rPr>
                      <w:szCs w:val="21"/>
                    </w:rPr>
                  </w:pPr>
                  <w:r>
                    <w:rPr>
                      <w:szCs w:val="21"/>
                    </w:rPr>
                    <w:t>3</w:t>
                  </w:r>
                </w:p>
              </w:tc>
              <w:tc>
                <w:tcPr>
                  <w:tcW w:w="1189" w:type="pct"/>
                  <w:vAlign w:val="center"/>
                </w:tcPr>
                <w:p>
                  <w:pPr>
                    <w:jc w:val="center"/>
                    <w:rPr>
                      <w:kern w:val="0"/>
                      <w:szCs w:val="21"/>
                    </w:rPr>
                  </w:pPr>
                  <w:r>
                    <w:rPr>
                      <w:szCs w:val="21"/>
                    </w:rPr>
                    <w:t>第1次实验器具清洗废水</w:t>
                  </w:r>
                </w:p>
              </w:tc>
              <w:tc>
                <w:tcPr>
                  <w:tcW w:w="729" w:type="pct"/>
                  <w:vAlign w:val="center"/>
                </w:tcPr>
                <w:p>
                  <w:pPr>
                    <w:jc w:val="center"/>
                    <w:rPr>
                      <w:kern w:val="0"/>
                      <w:szCs w:val="21"/>
                    </w:rPr>
                  </w:pPr>
                  <w:r>
                    <w:rPr>
                      <w:kern w:val="0"/>
                      <w:szCs w:val="21"/>
                    </w:rPr>
                    <w:t>器具清洗</w:t>
                  </w:r>
                </w:p>
              </w:tc>
              <w:tc>
                <w:tcPr>
                  <w:tcW w:w="789" w:type="pct"/>
                  <w:vAlign w:val="center"/>
                </w:tcPr>
                <w:p>
                  <w:pPr>
                    <w:jc w:val="center"/>
                    <w:rPr>
                      <w:kern w:val="0"/>
                      <w:szCs w:val="21"/>
                    </w:rPr>
                  </w:pPr>
                  <w:r>
                    <w:rPr>
                      <w:szCs w:val="21"/>
                    </w:rPr>
                    <w:t>6.0</w:t>
                  </w:r>
                </w:p>
              </w:tc>
              <w:tc>
                <w:tcPr>
                  <w:tcW w:w="1030" w:type="pct"/>
                  <w:vAlign w:val="center"/>
                </w:tcPr>
                <w:p>
                  <w:pPr>
                    <w:jc w:val="center"/>
                    <w:rPr>
                      <w:szCs w:val="21"/>
                    </w:rPr>
                  </w:pPr>
                  <w:r>
                    <w:rPr>
                      <w:kern w:val="0"/>
                      <w:szCs w:val="21"/>
                    </w:rPr>
                    <w:t>HW49 900-047-49</w:t>
                  </w:r>
                </w:p>
              </w:tc>
              <w:tc>
                <w:tcPr>
                  <w:tcW w:w="893"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67" w:type="pct"/>
                  <w:vAlign w:val="center"/>
                </w:tcPr>
                <w:p>
                  <w:pPr>
                    <w:jc w:val="center"/>
                    <w:rPr>
                      <w:szCs w:val="21"/>
                    </w:rPr>
                  </w:pPr>
                  <w:r>
                    <w:rPr>
                      <w:szCs w:val="21"/>
                    </w:rPr>
                    <w:t>4</w:t>
                  </w:r>
                </w:p>
              </w:tc>
              <w:tc>
                <w:tcPr>
                  <w:tcW w:w="1189" w:type="pct"/>
                  <w:vAlign w:val="center"/>
                </w:tcPr>
                <w:p>
                  <w:pPr>
                    <w:jc w:val="center"/>
                    <w:rPr>
                      <w:kern w:val="0"/>
                      <w:szCs w:val="21"/>
                    </w:rPr>
                  </w:pPr>
                  <w:r>
                    <w:rPr>
                      <w:kern w:val="0"/>
                      <w:szCs w:val="21"/>
                    </w:rPr>
                    <w:t>废活性炭</w:t>
                  </w:r>
                </w:p>
              </w:tc>
              <w:tc>
                <w:tcPr>
                  <w:tcW w:w="729" w:type="pct"/>
                  <w:vAlign w:val="center"/>
                </w:tcPr>
                <w:p>
                  <w:pPr>
                    <w:jc w:val="center"/>
                    <w:rPr>
                      <w:kern w:val="0"/>
                      <w:szCs w:val="21"/>
                    </w:rPr>
                  </w:pPr>
                  <w:r>
                    <w:rPr>
                      <w:kern w:val="0"/>
                      <w:szCs w:val="21"/>
                    </w:rPr>
                    <w:t>废气处理</w:t>
                  </w:r>
                </w:p>
              </w:tc>
              <w:tc>
                <w:tcPr>
                  <w:tcW w:w="789" w:type="pct"/>
                  <w:vAlign w:val="center"/>
                </w:tcPr>
                <w:p>
                  <w:pPr>
                    <w:jc w:val="center"/>
                    <w:rPr>
                      <w:kern w:val="0"/>
                      <w:szCs w:val="21"/>
                    </w:rPr>
                  </w:pPr>
                  <w:r>
                    <w:rPr>
                      <w:kern w:val="0"/>
                      <w:szCs w:val="21"/>
                    </w:rPr>
                    <w:t>1.2</w:t>
                  </w:r>
                </w:p>
              </w:tc>
              <w:tc>
                <w:tcPr>
                  <w:tcW w:w="1030" w:type="pct"/>
                  <w:vAlign w:val="center"/>
                </w:tcPr>
                <w:p>
                  <w:pPr>
                    <w:jc w:val="center"/>
                    <w:rPr>
                      <w:szCs w:val="21"/>
                    </w:rPr>
                  </w:pPr>
                  <w:r>
                    <w:rPr>
                      <w:kern w:val="0"/>
                      <w:szCs w:val="21"/>
                    </w:rPr>
                    <w:t>HW49 900-039-49</w:t>
                  </w:r>
                </w:p>
              </w:tc>
              <w:tc>
                <w:tcPr>
                  <w:tcW w:w="893" w:type="pct"/>
                  <w:vMerge w:val="continue"/>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67" w:type="pct"/>
                  <w:vAlign w:val="center"/>
                </w:tcPr>
                <w:p>
                  <w:pPr>
                    <w:jc w:val="center"/>
                    <w:rPr>
                      <w:szCs w:val="21"/>
                    </w:rPr>
                  </w:pPr>
                  <w:r>
                    <w:rPr>
                      <w:szCs w:val="21"/>
                    </w:rPr>
                    <w:t>5</w:t>
                  </w:r>
                </w:p>
              </w:tc>
              <w:tc>
                <w:tcPr>
                  <w:tcW w:w="1189" w:type="pct"/>
                  <w:vAlign w:val="center"/>
                </w:tcPr>
                <w:p>
                  <w:pPr>
                    <w:jc w:val="center"/>
                    <w:rPr>
                      <w:kern w:val="0"/>
                      <w:szCs w:val="21"/>
                    </w:rPr>
                  </w:pPr>
                  <w:r>
                    <w:rPr>
                      <w:kern w:val="0"/>
                      <w:szCs w:val="21"/>
                    </w:rPr>
                    <w:t>一般固废</w:t>
                  </w:r>
                </w:p>
              </w:tc>
              <w:tc>
                <w:tcPr>
                  <w:tcW w:w="729" w:type="pct"/>
                  <w:vAlign w:val="center"/>
                </w:tcPr>
                <w:p>
                  <w:pPr>
                    <w:jc w:val="center"/>
                    <w:rPr>
                      <w:kern w:val="0"/>
                      <w:szCs w:val="21"/>
                    </w:rPr>
                  </w:pPr>
                  <w:r>
                    <w:rPr>
                      <w:kern w:val="0"/>
                      <w:szCs w:val="21"/>
                    </w:rPr>
                    <w:t>全流程</w:t>
                  </w:r>
                </w:p>
              </w:tc>
              <w:tc>
                <w:tcPr>
                  <w:tcW w:w="789" w:type="pct"/>
                  <w:vAlign w:val="center"/>
                </w:tcPr>
                <w:p>
                  <w:pPr>
                    <w:jc w:val="center"/>
                  </w:pPr>
                  <w:r>
                    <w:t>1.0</w:t>
                  </w:r>
                </w:p>
              </w:tc>
              <w:tc>
                <w:tcPr>
                  <w:tcW w:w="1030" w:type="pct"/>
                  <w:vAlign w:val="center"/>
                </w:tcPr>
                <w:p>
                  <w:pPr>
                    <w:jc w:val="center"/>
                  </w:pPr>
                  <w:r>
                    <w:t>/</w:t>
                  </w:r>
                </w:p>
              </w:tc>
              <w:tc>
                <w:tcPr>
                  <w:tcW w:w="893" w:type="pct"/>
                </w:tcPr>
                <w:p>
                  <w:pPr>
                    <w:jc w:val="center"/>
                  </w:pPr>
                  <w:r>
                    <w:t>统一收集后外售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67" w:type="pct"/>
                  <w:vAlign w:val="center"/>
                </w:tcPr>
                <w:p>
                  <w:pPr>
                    <w:jc w:val="center"/>
                    <w:rPr>
                      <w:szCs w:val="21"/>
                    </w:rPr>
                  </w:pPr>
                  <w:r>
                    <w:rPr>
                      <w:szCs w:val="21"/>
                    </w:rPr>
                    <w:t>6</w:t>
                  </w:r>
                </w:p>
              </w:tc>
              <w:tc>
                <w:tcPr>
                  <w:tcW w:w="1189" w:type="pct"/>
                  <w:vAlign w:val="center"/>
                </w:tcPr>
                <w:p>
                  <w:pPr>
                    <w:jc w:val="center"/>
                    <w:rPr>
                      <w:kern w:val="0"/>
                      <w:szCs w:val="21"/>
                    </w:rPr>
                  </w:pPr>
                  <w:r>
                    <w:rPr>
                      <w:kern w:val="0"/>
                      <w:szCs w:val="21"/>
                    </w:rPr>
                    <w:t>生活垃圾</w:t>
                  </w:r>
                </w:p>
              </w:tc>
              <w:tc>
                <w:tcPr>
                  <w:tcW w:w="729" w:type="pct"/>
                  <w:vAlign w:val="center"/>
                </w:tcPr>
                <w:p>
                  <w:pPr>
                    <w:jc w:val="center"/>
                    <w:rPr>
                      <w:kern w:val="0"/>
                      <w:szCs w:val="21"/>
                    </w:rPr>
                  </w:pPr>
                  <w:r>
                    <w:rPr>
                      <w:kern w:val="0"/>
                      <w:szCs w:val="21"/>
                    </w:rPr>
                    <w:t>日常生活</w:t>
                  </w:r>
                </w:p>
              </w:tc>
              <w:tc>
                <w:tcPr>
                  <w:tcW w:w="789" w:type="pct"/>
                  <w:vAlign w:val="center"/>
                </w:tcPr>
                <w:p>
                  <w:pPr>
                    <w:jc w:val="center"/>
                    <w:rPr>
                      <w:kern w:val="0"/>
                      <w:szCs w:val="21"/>
                    </w:rPr>
                  </w:pPr>
                  <w:r>
                    <w:rPr>
                      <w:kern w:val="0"/>
                      <w:szCs w:val="21"/>
                    </w:rPr>
                    <w:t>3</w:t>
                  </w:r>
                </w:p>
              </w:tc>
              <w:tc>
                <w:tcPr>
                  <w:tcW w:w="1030" w:type="pct"/>
                  <w:vAlign w:val="center"/>
                </w:tcPr>
                <w:p>
                  <w:pPr>
                    <w:jc w:val="center"/>
                    <w:rPr>
                      <w:szCs w:val="21"/>
                    </w:rPr>
                  </w:pPr>
                  <w:r>
                    <w:rPr>
                      <w:szCs w:val="21"/>
                    </w:rPr>
                    <w:t>/</w:t>
                  </w:r>
                </w:p>
              </w:tc>
              <w:tc>
                <w:tcPr>
                  <w:tcW w:w="893" w:type="pct"/>
                </w:tcPr>
                <w:p>
                  <w:pPr>
                    <w:jc w:val="left"/>
                    <w:rPr>
                      <w:szCs w:val="21"/>
                    </w:rPr>
                  </w:pPr>
                  <w:r>
                    <w:rPr>
                      <w:szCs w:val="21"/>
                    </w:rPr>
                    <w:t>交环卫部门处置</w:t>
                  </w:r>
                </w:p>
              </w:tc>
            </w:tr>
          </w:tbl>
          <w:p>
            <w:pPr>
              <w:pStyle w:val="4"/>
              <w:spacing w:before="120" w:beforeLines="50"/>
              <w:ind w:firstLine="480"/>
              <w:rPr>
                <w:szCs w:val="24"/>
              </w:rPr>
            </w:pPr>
            <w:r>
              <w:rPr>
                <w:szCs w:val="24"/>
              </w:rPr>
              <w:t>2、环境管理要求</w:t>
            </w:r>
          </w:p>
          <w:p>
            <w:pPr>
              <w:spacing w:line="360" w:lineRule="auto"/>
              <w:ind w:firstLine="482"/>
              <w:rPr>
                <w:bCs/>
                <w:sz w:val="24"/>
              </w:rPr>
            </w:pPr>
            <w:r>
              <w:rPr>
                <w:bCs/>
                <w:sz w:val="24"/>
              </w:rPr>
              <w:t>项目拟设置1间危废贮存库，主要用于实验废液、废活性炭等危险废物的暂存。根据《危险废物贮存污染控制标准</w:t>
            </w:r>
            <w:r>
              <w:rPr>
                <w:kern w:val="0"/>
                <w:sz w:val="24"/>
              </w:rPr>
              <w:t>》（GB18597-2023）相关要求，</w:t>
            </w:r>
            <w:r>
              <w:rPr>
                <w:bCs/>
                <w:sz w:val="24"/>
              </w:rPr>
              <w:t>危险废物贮存库要求如下：</w:t>
            </w:r>
          </w:p>
          <w:p>
            <w:pPr>
              <w:spacing w:line="360" w:lineRule="auto"/>
              <w:ind w:firstLine="482"/>
              <w:rPr>
                <w:bCs/>
                <w:sz w:val="24"/>
              </w:rPr>
            </w:pPr>
            <w:r>
              <w:rPr>
                <w:bCs/>
                <w:sz w:val="24"/>
              </w:rPr>
              <w:t>（1）贮存设施应根据危险废物的形态、物理化学性质、包装形式和污染物迁移途径，采取必要的防风、防晒、防雨、防漏、防渗、防腐以及其他环境污染防治措施，不应露天堆放危险废物。</w:t>
            </w:r>
          </w:p>
          <w:p>
            <w:pPr>
              <w:spacing w:line="360" w:lineRule="auto"/>
              <w:ind w:firstLine="482"/>
              <w:rPr>
                <w:bCs/>
                <w:sz w:val="24"/>
              </w:rPr>
            </w:pPr>
            <w:r>
              <w:rPr>
                <w:bCs/>
                <w:sz w:val="24"/>
              </w:rPr>
              <w:t>（2）贮存设施应根据危险废物的类别、数量、形态、物理化学性质和污染防治等要求设置必要的贮存分区，避免不相容的危险废物接触、混合。</w:t>
            </w:r>
          </w:p>
          <w:p>
            <w:pPr>
              <w:spacing w:line="360" w:lineRule="auto"/>
              <w:ind w:firstLine="482"/>
              <w:rPr>
                <w:bCs/>
                <w:sz w:val="24"/>
              </w:rPr>
            </w:pPr>
            <w:r>
              <w:rPr>
                <w:bCs/>
                <w:sz w:val="24"/>
              </w:rPr>
              <w:t>（3）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1m厚黏土层（渗透系数不大于10</w:t>
            </w:r>
            <w:r>
              <w:rPr>
                <w:bCs/>
                <w:sz w:val="24"/>
                <w:vertAlign w:val="superscript"/>
              </w:rPr>
              <w:t>-7</w:t>
            </w:r>
            <w:r>
              <w:rPr>
                <w:bCs/>
                <w:sz w:val="24"/>
              </w:rPr>
              <w:t>cm/s），或至少2mm厚高密度聚乙烯膜等人工防渗材料（渗透系数不大于10</w:t>
            </w:r>
            <w:r>
              <w:rPr>
                <w:bCs/>
                <w:sz w:val="24"/>
                <w:vertAlign w:val="superscript"/>
              </w:rPr>
              <w:t>-10</w:t>
            </w:r>
            <w:r>
              <w:rPr>
                <w:bCs/>
                <w:sz w:val="24"/>
              </w:rPr>
              <w:t>cm/s），或其他防渗性能等效的材料。</w:t>
            </w:r>
          </w:p>
          <w:p>
            <w:pPr>
              <w:spacing w:line="360" w:lineRule="auto"/>
              <w:ind w:firstLine="482"/>
              <w:rPr>
                <w:bCs/>
                <w:sz w:val="24"/>
              </w:rPr>
            </w:pPr>
            <w:r>
              <w:rPr>
                <w:bCs/>
                <w:sz w:val="24"/>
              </w:rPr>
              <w:t>（4）贮存设施应采取技术和管理措施防止无关人员进入。</w:t>
            </w:r>
          </w:p>
          <w:p>
            <w:pPr>
              <w:spacing w:line="360" w:lineRule="auto"/>
              <w:ind w:firstLine="482"/>
              <w:rPr>
                <w:bCs/>
                <w:sz w:val="24"/>
              </w:rPr>
            </w:pPr>
            <w:r>
              <w:rPr>
                <w:bCs/>
                <w:sz w:val="24"/>
              </w:rPr>
              <w:t>综上所述，本项目固体废物的处置技术可行，经济合理。本项目固体废物对周围环境影响较小。</w:t>
            </w:r>
          </w:p>
          <w:p>
            <w:pPr>
              <w:tabs>
                <w:tab w:val="left" w:pos="480"/>
              </w:tabs>
              <w:spacing w:line="360" w:lineRule="auto"/>
              <w:ind w:firstLine="482"/>
              <w:rPr>
                <w:b/>
                <w:bCs/>
                <w:sz w:val="24"/>
                <w:szCs w:val="32"/>
              </w:rPr>
            </w:pPr>
            <w:r>
              <w:rPr>
                <w:b/>
                <w:bCs/>
                <w:sz w:val="24"/>
                <w:szCs w:val="32"/>
              </w:rPr>
              <w:t>五、地下水、土壤</w:t>
            </w:r>
          </w:p>
          <w:p>
            <w:pPr>
              <w:widowControl/>
              <w:spacing w:line="360" w:lineRule="auto"/>
              <w:ind w:firstLine="480" w:firstLineChars="200"/>
            </w:pPr>
            <w:r>
              <w:rPr>
                <w:kern w:val="0"/>
                <w:sz w:val="24"/>
                <w:lang w:bidi="ar"/>
              </w:rPr>
              <w:t>本项目正常运行期，实验室内处于第4层并且所有地面均采取硬化措施，不存在地下水及土壤污染途径，本次环评建议建设单位采取防渗混凝土的防渗措施，对地下水及土壤环境影响甚微。</w:t>
            </w:r>
          </w:p>
          <w:p>
            <w:pPr>
              <w:adjustRightInd w:val="0"/>
              <w:snapToGrid w:val="0"/>
              <w:spacing w:line="360" w:lineRule="auto"/>
              <w:ind w:firstLine="482" w:firstLineChars="200"/>
              <w:rPr>
                <w:b/>
                <w:bCs/>
                <w:sz w:val="24"/>
                <w:szCs w:val="32"/>
              </w:rPr>
            </w:pPr>
            <w:r>
              <w:rPr>
                <w:b/>
                <w:bCs/>
                <w:sz w:val="24"/>
                <w:szCs w:val="32"/>
              </w:rPr>
              <w:t>六、风险</w:t>
            </w:r>
          </w:p>
          <w:p>
            <w:pPr>
              <w:pStyle w:val="37"/>
              <w:spacing w:line="360" w:lineRule="auto"/>
              <w:rPr>
                <w:sz w:val="24"/>
                <w:szCs w:val="32"/>
              </w:rPr>
            </w:pPr>
            <w:r>
              <w:rPr>
                <w:sz w:val="24"/>
                <w:szCs w:val="32"/>
              </w:rPr>
              <w:t>1、环境风险调查</w:t>
            </w:r>
          </w:p>
          <w:p>
            <w:pPr>
              <w:spacing w:line="360" w:lineRule="auto"/>
              <w:ind w:firstLine="480" w:firstLineChars="200"/>
              <w:textAlignment w:val="baseline"/>
              <w:rPr>
                <w:rFonts w:eastAsia="黑体"/>
                <w:sz w:val="24"/>
              </w:rPr>
            </w:pPr>
            <w:r>
              <w:rPr>
                <w:sz w:val="24"/>
              </w:rPr>
              <w:t>根据《建设项目环境风险评价技术导则》（HJ 169-2018）附录B和</w:t>
            </w:r>
            <w:r>
              <w:rPr>
                <w:rFonts w:hint="eastAsia" w:ascii="宋体" w:hAnsi="宋体" w:cs="宋体"/>
                <w:kern w:val="0"/>
                <w:sz w:val="24"/>
                <w:szCs w:val="22"/>
              </w:rPr>
              <w:t>《</w:t>
            </w:r>
            <w:r>
              <w:rPr>
                <w:kern w:val="0"/>
                <w:sz w:val="24"/>
                <w:szCs w:val="22"/>
              </w:rPr>
              <w:t>企业突发环境事件风险分级方法》（HJ 941-2018）</w:t>
            </w:r>
            <w:r>
              <w:rPr>
                <w:sz w:val="24"/>
              </w:rPr>
              <w:t>附录A，本项目风险物质识别、储存情况及其数量与临界量比值Q计算见表4-12，本项目实验室涉及的危险物质主要为</w:t>
            </w:r>
            <w:r>
              <w:rPr>
                <w:sz w:val="24"/>
                <w:lang w:val="en-GB"/>
              </w:rPr>
              <w:t>甲醇、乙醇、</w:t>
            </w:r>
            <w:r>
              <w:rPr>
                <w:sz w:val="24"/>
              </w:rPr>
              <w:t>二氯甲烷、甲苯</w:t>
            </w:r>
            <w:r>
              <w:rPr>
                <w:sz w:val="24"/>
                <w:lang w:val="en-GB"/>
              </w:rPr>
              <w:t>等</w:t>
            </w:r>
            <w:r>
              <w:rPr>
                <w:sz w:val="24"/>
              </w:rPr>
              <w:t>有毒有害或易燃易爆物质。</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表4-12  项目风险物质数量、临界量及Q值计算表</w:t>
            </w:r>
          </w:p>
          <w:tbl>
            <w:tblPr>
              <w:tblStyle w:val="24"/>
              <w:tblW w:w="50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188"/>
              <w:gridCol w:w="2232"/>
              <w:gridCol w:w="1188"/>
              <w:gridCol w:w="133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536" w:type="pct"/>
                  <w:vAlign w:val="center"/>
                </w:tcPr>
                <w:p>
                  <w:pPr>
                    <w:pStyle w:val="49"/>
                    <w:autoSpaceDE w:val="0"/>
                    <w:autoSpaceDN w:val="0"/>
                    <w:spacing w:before="16"/>
                    <w:ind w:left="218" w:right="206"/>
                    <w:rPr>
                      <w:szCs w:val="21"/>
                    </w:rPr>
                  </w:pPr>
                  <w:r>
                    <w:rPr>
                      <w:rFonts w:hint="eastAsia" w:ascii="宋体" w:hAnsi="宋体" w:eastAsia="宋体" w:cs="宋体"/>
                      <w:szCs w:val="21"/>
                    </w:rPr>
                    <w:t>序号</w:t>
                  </w:r>
                </w:p>
              </w:tc>
              <w:tc>
                <w:tcPr>
                  <w:tcW w:w="744" w:type="pct"/>
                  <w:vAlign w:val="center"/>
                </w:tcPr>
                <w:p>
                  <w:pPr>
                    <w:pStyle w:val="49"/>
                    <w:autoSpaceDE w:val="0"/>
                    <w:autoSpaceDN w:val="0"/>
                    <w:spacing w:before="16"/>
                    <w:rPr>
                      <w:szCs w:val="21"/>
                    </w:rPr>
                  </w:pPr>
                  <w:r>
                    <w:rPr>
                      <w:rFonts w:hint="eastAsia" w:ascii="宋体" w:hAnsi="宋体" w:eastAsia="宋体" w:cs="宋体"/>
                      <w:szCs w:val="21"/>
                    </w:rPr>
                    <w:t>危险源单元</w:t>
                  </w:r>
                </w:p>
              </w:tc>
              <w:tc>
                <w:tcPr>
                  <w:tcW w:w="1398" w:type="pct"/>
                  <w:vAlign w:val="center"/>
                </w:tcPr>
                <w:p>
                  <w:pPr>
                    <w:pStyle w:val="49"/>
                    <w:autoSpaceDE w:val="0"/>
                    <w:autoSpaceDN w:val="0"/>
                    <w:spacing w:before="16"/>
                    <w:ind w:left="512" w:right="505"/>
                    <w:rPr>
                      <w:szCs w:val="21"/>
                    </w:rPr>
                  </w:pPr>
                  <w:r>
                    <w:rPr>
                      <w:rFonts w:hint="eastAsia" w:ascii="宋体" w:hAnsi="宋体" w:eastAsia="宋体" w:cs="宋体"/>
                      <w:szCs w:val="21"/>
                    </w:rPr>
                    <w:t>危险品名称</w:t>
                  </w:r>
                </w:p>
              </w:tc>
              <w:tc>
                <w:tcPr>
                  <w:tcW w:w="744" w:type="pct"/>
                  <w:vAlign w:val="center"/>
                </w:tcPr>
                <w:p>
                  <w:pPr>
                    <w:widowControl/>
                    <w:jc w:val="center"/>
                    <w:textAlignment w:val="center"/>
                    <w:rPr>
                      <w:kern w:val="0"/>
                      <w:szCs w:val="21"/>
                      <w:lang w:bidi="ar"/>
                    </w:rPr>
                  </w:pPr>
                  <w:r>
                    <w:rPr>
                      <w:kern w:val="0"/>
                      <w:szCs w:val="21"/>
                      <w:lang w:bidi="ar"/>
                    </w:rPr>
                    <w:t>储量q（t）</w:t>
                  </w:r>
                </w:p>
              </w:tc>
              <w:tc>
                <w:tcPr>
                  <w:tcW w:w="833" w:type="pct"/>
                  <w:vAlign w:val="center"/>
                </w:tcPr>
                <w:p>
                  <w:pPr>
                    <w:widowControl/>
                    <w:jc w:val="center"/>
                    <w:textAlignment w:val="center"/>
                    <w:rPr>
                      <w:kern w:val="0"/>
                      <w:szCs w:val="21"/>
                      <w:lang w:bidi="ar"/>
                    </w:rPr>
                  </w:pPr>
                  <w:r>
                    <w:rPr>
                      <w:kern w:val="0"/>
                      <w:szCs w:val="21"/>
                      <w:lang w:bidi="ar"/>
                    </w:rPr>
                    <w:t>临界量Q（t）</w:t>
                  </w:r>
                </w:p>
              </w:tc>
              <w:tc>
                <w:tcPr>
                  <w:tcW w:w="742" w:type="pct"/>
                  <w:vAlign w:val="center"/>
                </w:tcPr>
                <w:p>
                  <w:pPr>
                    <w:widowControl/>
                    <w:jc w:val="center"/>
                    <w:textAlignment w:val="center"/>
                    <w:rPr>
                      <w:kern w:val="0"/>
                      <w:szCs w:val="21"/>
                      <w:lang w:bidi="ar"/>
                    </w:rPr>
                  </w:pPr>
                  <w:r>
                    <w:rPr>
                      <w:kern w:val="0"/>
                      <w:szCs w:val="21"/>
                      <w:lang w:bidi="ar"/>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536" w:type="pct"/>
                  <w:vAlign w:val="center"/>
                </w:tcPr>
                <w:p>
                  <w:pPr>
                    <w:pStyle w:val="49"/>
                    <w:autoSpaceDE w:val="0"/>
                    <w:autoSpaceDN w:val="0"/>
                    <w:spacing w:before="16"/>
                    <w:ind w:left="218" w:right="206"/>
                    <w:rPr>
                      <w:szCs w:val="21"/>
                    </w:rPr>
                  </w:pPr>
                  <w:r>
                    <w:rPr>
                      <w:szCs w:val="21"/>
                    </w:rPr>
                    <w:t>1</w:t>
                  </w:r>
                </w:p>
              </w:tc>
              <w:tc>
                <w:tcPr>
                  <w:tcW w:w="744" w:type="pct"/>
                  <w:vMerge w:val="restart"/>
                  <w:vAlign w:val="center"/>
                </w:tcPr>
                <w:p>
                  <w:pPr>
                    <w:pStyle w:val="49"/>
                    <w:autoSpaceDE w:val="0"/>
                    <w:autoSpaceDN w:val="0"/>
                    <w:rPr>
                      <w:szCs w:val="21"/>
                    </w:rPr>
                  </w:pPr>
                  <w:r>
                    <w:rPr>
                      <w:rFonts w:hint="eastAsia" w:ascii="宋体" w:hAnsi="宋体" w:eastAsia="宋体" w:cs="宋体"/>
                      <w:szCs w:val="21"/>
                    </w:rPr>
                    <w:t>仓库</w:t>
                  </w:r>
                </w:p>
              </w:tc>
              <w:tc>
                <w:tcPr>
                  <w:tcW w:w="1398" w:type="pct"/>
                  <w:vAlign w:val="center"/>
                </w:tcPr>
                <w:p>
                  <w:pPr>
                    <w:adjustRightInd w:val="0"/>
                    <w:snapToGrid w:val="0"/>
                    <w:jc w:val="center"/>
                    <w:rPr>
                      <w:szCs w:val="21"/>
                    </w:rPr>
                  </w:pPr>
                  <w:r>
                    <w:rPr>
                      <w:szCs w:val="21"/>
                    </w:rPr>
                    <w:t>石油醚</w:t>
                  </w:r>
                </w:p>
              </w:tc>
              <w:tc>
                <w:tcPr>
                  <w:tcW w:w="744" w:type="pct"/>
                  <w:vAlign w:val="center"/>
                </w:tcPr>
                <w:p>
                  <w:pPr>
                    <w:widowControl/>
                    <w:jc w:val="center"/>
                    <w:textAlignment w:val="center"/>
                    <w:rPr>
                      <w:kern w:val="0"/>
                      <w:szCs w:val="21"/>
                      <w:lang w:bidi="ar"/>
                    </w:rPr>
                  </w:pPr>
                  <w:r>
                    <w:rPr>
                      <w:kern w:val="0"/>
                      <w:szCs w:val="21"/>
                      <w:lang w:bidi="ar"/>
                    </w:rPr>
                    <w:t>0.033</w:t>
                  </w:r>
                </w:p>
              </w:tc>
              <w:tc>
                <w:tcPr>
                  <w:tcW w:w="833" w:type="pct"/>
                  <w:vAlign w:val="center"/>
                </w:tcPr>
                <w:p>
                  <w:pPr>
                    <w:widowControl/>
                    <w:jc w:val="center"/>
                    <w:textAlignment w:val="center"/>
                    <w:rPr>
                      <w:kern w:val="0"/>
                      <w:szCs w:val="21"/>
                      <w:lang w:bidi="ar"/>
                    </w:rPr>
                  </w:pPr>
                  <w:r>
                    <w:rPr>
                      <w:kern w:val="0"/>
                      <w:szCs w:val="21"/>
                      <w:lang w:bidi="ar"/>
                    </w:rPr>
                    <w:t>10</w:t>
                  </w:r>
                </w:p>
              </w:tc>
              <w:tc>
                <w:tcPr>
                  <w:tcW w:w="742" w:type="pct"/>
                  <w:vAlign w:val="center"/>
                </w:tcPr>
                <w:p>
                  <w:pPr>
                    <w:widowControl/>
                    <w:jc w:val="center"/>
                    <w:textAlignment w:val="center"/>
                    <w:rPr>
                      <w:kern w:val="0"/>
                      <w:szCs w:val="21"/>
                      <w:lang w:bidi="ar"/>
                    </w:rPr>
                  </w:pPr>
                  <w:r>
                    <w:rPr>
                      <w:kern w:val="0"/>
                      <w:szCs w:val="21"/>
                      <w:lang w:bidi="ar"/>
                    </w:rPr>
                    <w:t>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536" w:type="pct"/>
                  <w:vAlign w:val="center"/>
                </w:tcPr>
                <w:p>
                  <w:pPr>
                    <w:pStyle w:val="49"/>
                    <w:autoSpaceDE w:val="0"/>
                    <w:autoSpaceDN w:val="0"/>
                    <w:spacing w:before="16"/>
                    <w:ind w:left="218" w:right="206"/>
                    <w:rPr>
                      <w:szCs w:val="21"/>
                    </w:rPr>
                  </w:pPr>
                  <w:r>
                    <w:rPr>
                      <w:szCs w:val="21"/>
                    </w:rPr>
                    <w:t>2</w:t>
                  </w:r>
                </w:p>
              </w:tc>
              <w:tc>
                <w:tcPr>
                  <w:tcW w:w="744" w:type="pct"/>
                  <w:vMerge w:val="continue"/>
                  <w:vAlign w:val="center"/>
                </w:tcPr>
                <w:p>
                  <w:pPr>
                    <w:pStyle w:val="49"/>
                    <w:autoSpaceDE w:val="0"/>
                    <w:autoSpaceDN w:val="0"/>
                    <w:spacing w:before="16"/>
                    <w:rPr>
                      <w:szCs w:val="21"/>
                    </w:rPr>
                  </w:pPr>
                </w:p>
              </w:tc>
              <w:tc>
                <w:tcPr>
                  <w:tcW w:w="1398" w:type="pct"/>
                  <w:vAlign w:val="center"/>
                </w:tcPr>
                <w:p>
                  <w:pPr>
                    <w:adjustRightInd w:val="0"/>
                    <w:snapToGrid w:val="0"/>
                    <w:jc w:val="center"/>
                    <w:rPr>
                      <w:szCs w:val="21"/>
                    </w:rPr>
                  </w:pPr>
                  <w:r>
                    <w:rPr>
                      <w:szCs w:val="21"/>
                    </w:rPr>
                    <w:t>乙酸乙酯</w:t>
                  </w:r>
                </w:p>
              </w:tc>
              <w:tc>
                <w:tcPr>
                  <w:tcW w:w="744" w:type="pct"/>
                  <w:vAlign w:val="center"/>
                </w:tcPr>
                <w:p>
                  <w:pPr>
                    <w:widowControl/>
                    <w:jc w:val="center"/>
                    <w:textAlignment w:val="center"/>
                    <w:rPr>
                      <w:kern w:val="0"/>
                      <w:szCs w:val="21"/>
                      <w:lang w:bidi="ar"/>
                    </w:rPr>
                  </w:pPr>
                  <w:r>
                    <w:rPr>
                      <w:kern w:val="0"/>
                      <w:szCs w:val="21"/>
                      <w:lang w:bidi="ar"/>
                    </w:rPr>
                    <w:t>0.0451</w:t>
                  </w:r>
                </w:p>
              </w:tc>
              <w:tc>
                <w:tcPr>
                  <w:tcW w:w="833" w:type="pct"/>
                  <w:vAlign w:val="center"/>
                </w:tcPr>
                <w:p>
                  <w:pPr>
                    <w:widowControl/>
                    <w:jc w:val="center"/>
                    <w:textAlignment w:val="center"/>
                    <w:rPr>
                      <w:kern w:val="0"/>
                      <w:szCs w:val="21"/>
                      <w:lang w:bidi="ar"/>
                    </w:rPr>
                  </w:pPr>
                  <w:r>
                    <w:rPr>
                      <w:kern w:val="0"/>
                      <w:szCs w:val="21"/>
                      <w:lang w:bidi="ar"/>
                    </w:rPr>
                    <w:t>10</w:t>
                  </w:r>
                </w:p>
              </w:tc>
              <w:tc>
                <w:tcPr>
                  <w:tcW w:w="742" w:type="pct"/>
                  <w:vAlign w:val="center"/>
                </w:tcPr>
                <w:p>
                  <w:pPr>
                    <w:widowControl/>
                    <w:jc w:val="center"/>
                    <w:textAlignment w:val="center"/>
                    <w:rPr>
                      <w:kern w:val="0"/>
                      <w:szCs w:val="21"/>
                      <w:lang w:bidi="ar"/>
                    </w:rPr>
                  </w:pPr>
                  <w:r>
                    <w:rPr>
                      <w:kern w:val="0"/>
                      <w:szCs w:val="21"/>
                      <w:lang w:bidi="ar"/>
                    </w:rPr>
                    <w:t>0.00451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536" w:type="pct"/>
                  <w:vAlign w:val="center"/>
                </w:tcPr>
                <w:p>
                  <w:pPr>
                    <w:pStyle w:val="49"/>
                    <w:autoSpaceDE w:val="0"/>
                    <w:autoSpaceDN w:val="0"/>
                    <w:spacing w:before="16"/>
                    <w:ind w:left="218" w:right="206"/>
                    <w:rPr>
                      <w:szCs w:val="21"/>
                    </w:rPr>
                  </w:pPr>
                  <w:r>
                    <w:rPr>
                      <w:szCs w:val="21"/>
                    </w:rPr>
                    <w:t>3</w:t>
                  </w:r>
                </w:p>
              </w:tc>
              <w:tc>
                <w:tcPr>
                  <w:tcW w:w="744" w:type="pct"/>
                  <w:vMerge w:val="continue"/>
                  <w:vAlign w:val="center"/>
                </w:tcPr>
                <w:p>
                  <w:pPr>
                    <w:pStyle w:val="49"/>
                    <w:autoSpaceDE w:val="0"/>
                    <w:autoSpaceDN w:val="0"/>
                    <w:spacing w:before="16"/>
                    <w:rPr>
                      <w:szCs w:val="21"/>
                    </w:rPr>
                  </w:pPr>
                </w:p>
              </w:tc>
              <w:tc>
                <w:tcPr>
                  <w:tcW w:w="1398" w:type="pct"/>
                  <w:vAlign w:val="center"/>
                </w:tcPr>
                <w:p>
                  <w:pPr>
                    <w:adjustRightInd w:val="0"/>
                    <w:snapToGrid w:val="0"/>
                    <w:jc w:val="center"/>
                    <w:rPr>
                      <w:szCs w:val="21"/>
                      <w:lang w:val="zh-CN"/>
                    </w:rPr>
                  </w:pPr>
                  <w:r>
                    <w:rPr>
                      <w:szCs w:val="21"/>
                    </w:rPr>
                    <w:t>二氯甲烷</w:t>
                  </w:r>
                </w:p>
              </w:tc>
              <w:tc>
                <w:tcPr>
                  <w:tcW w:w="744" w:type="pct"/>
                  <w:vAlign w:val="center"/>
                </w:tcPr>
                <w:p>
                  <w:pPr>
                    <w:widowControl/>
                    <w:jc w:val="center"/>
                    <w:textAlignment w:val="center"/>
                    <w:rPr>
                      <w:kern w:val="0"/>
                      <w:szCs w:val="21"/>
                      <w:lang w:bidi="ar"/>
                    </w:rPr>
                  </w:pPr>
                  <w:r>
                    <w:rPr>
                      <w:kern w:val="0"/>
                      <w:szCs w:val="21"/>
                      <w:lang w:bidi="ar"/>
                    </w:rPr>
                    <w:t>0.06625</w:t>
                  </w:r>
                </w:p>
              </w:tc>
              <w:tc>
                <w:tcPr>
                  <w:tcW w:w="833" w:type="pct"/>
                  <w:vAlign w:val="center"/>
                </w:tcPr>
                <w:p>
                  <w:pPr>
                    <w:widowControl/>
                    <w:jc w:val="center"/>
                    <w:textAlignment w:val="center"/>
                    <w:rPr>
                      <w:kern w:val="0"/>
                      <w:szCs w:val="21"/>
                      <w:lang w:val="zh-CN" w:bidi="ar"/>
                    </w:rPr>
                  </w:pPr>
                  <w:r>
                    <w:rPr>
                      <w:kern w:val="0"/>
                      <w:szCs w:val="21"/>
                      <w:lang w:bidi="ar"/>
                    </w:rPr>
                    <w:t>10</w:t>
                  </w:r>
                </w:p>
              </w:tc>
              <w:tc>
                <w:tcPr>
                  <w:tcW w:w="742" w:type="pct"/>
                  <w:vAlign w:val="center"/>
                </w:tcPr>
                <w:p>
                  <w:pPr>
                    <w:widowControl/>
                    <w:jc w:val="center"/>
                    <w:textAlignment w:val="center"/>
                    <w:rPr>
                      <w:kern w:val="0"/>
                      <w:szCs w:val="21"/>
                      <w:lang w:bidi="ar"/>
                    </w:rPr>
                  </w:pPr>
                  <w:r>
                    <w:rPr>
                      <w:kern w:val="0"/>
                      <w:szCs w:val="21"/>
                      <w:lang w:bidi="ar"/>
                    </w:rPr>
                    <w:t>0.006625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536" w:type="pct"/>
                  <w:vAlign w:val="center"/>
                </w:tcPr>
                <w:p>
                  <w:pPr>
                    <w:pStyle w:val="49"/>
                    <w:autoSpaceDE w:val="0"/>
                    <w:autoSpaceDN w:val="0"/>
                    <w:spacing w:before="16"/>
                    <w:ind w:left="218" w:right="206"/>
                    <w:rPr>
                      <w:szCs w:val="21"/>
                    </w:rPr>
                  </w:pPr>
                  <w:r>
                    <w:rPr>
                      <w:szCs w:val="21"/>
                    </w:rPr>
                    <w:t>4</w:t>
                  </w:r>
                </w:p>
              </w:tc>
              <w:tc>
                <w:tcPr>
                  <w:tcW w:w="744" w:type="pct"/>
                  <w:vMerge w:val="continue"/>
                  <w:vAlign w:val="center"/>
                </w:tcPr>
                <w:p>
                  <w:pPr>
                    <w:pStyle w:val="49"/>
                    <w:autoSpaceDE w:val="0"/>
                    <w:autoSpaceDN w:val="0"/>
                    <w:spacing w:before="16"/>
                    <w:rPr>
                      <w:szCs w:val="21"/>
                    </w:rPr>
                  </w:pPr>
                </w:p>
              </w:tc>
              <w:tc>
                <w:tcPr>
                  <w:tcW w:w="1398" w:type="pct"/>
                  <w:vAlign w:val="center"/>
                </w:tcPr>
                <w:p>
                  <w:pPr>
                    <w:adjustRightInd w:val="0"/>
                    <w:snapToGrid w:val="0"/>
                    <w:jc w:val="center"/>
                    <w:rPr>
                      <w:szCs w:val="21"/>
                    </w:rPr>
                  </w:pPr>
                  <w:r>
                    <w:rPr>
                      <w:szCs w:val="21"/>
                    </w:rPr>
                    <w:t>甲醇</w:t>
                  </w:r>
                </w:p>
              </w:tc>
              <w:tc>
                <w:tcPr>
                  <w:tcW w:w="744" w:type="pct"/>
                  <w:vAlign w:val="center"/>
                </w:tcPr>
                <w:p>
                  <w:pPr>
                    <w:widowControl/>
                    <w:jc w:val="center"/>
                    <w:textAlignment w:val="center"/>
                    <w:rPr>
                      <w:kern w:val="0"/>
                      <w:szCs w:val="21"/>
                      <w:lang w:bidi="ar"/>
                    </w:rPr>
                  </w:pPr>
                  <w:r>
                    <w:rPr>
                      <w:kern w:val="0"/>
                      <w:szCs w:val="21"/>
                      <w:lang w:bidi="ar"/>
                    </w:rPr>
                    <w:t>0.019795</w:t>
                  </w:r>
                </w:p>
              </w:tc>
              <w:tc>
                <w:tcPr>
                  <w:tcW w:w="833" w:type="pct"/>
                  <w:vAlign w:val="center"/>
                </w:tcPr>
                <w:p>
                  <w:pPr>
                    <w:widowControl/>
                    <w:jc w:val="center"/>
                    <w:textAlignment w:val="center"/>
                    <w:rPr>
                      <w:kern w:val="0"/>
                      <w:szCs w:val="21"/>
                      <w:lang w:bidi="ar"/>
                    </w:rPr>
                  </w:pPr>
                  <w:r>
                    <w:rPr>
                      <w:kern w:val="0"/>
                      <w:szCs w:val="21"/>
                      <w:lang w:bidi="ar"/>
                    </w:rPr>
                    <w:t>10</w:t>
                  </w:r>
                </w:p>
              </w:tc>
              <w:tc>
                <w:tcPr>
                  <w:tcW w:w="742" w:type="pct"/>
                  <w:vAlign w:val="center"/>
                </w:tcPr>
                <w:p>
                  <w:pPr>
                    <w:widowControl/>
                    <w:jc w:val="center"/>
                    <w:textAlignment w:val="center"/>
                    <w:rPr>
                      <w:kern w:val="0"/>
                      <w:szCs w:val="21"/>
                      <w:lang w:bidi="ar"/>
                    </w:rPr>
                  </w:pPr>
                  <w:r>
                    <w:rPr>
                      <w:kern w:val="0"/>
                      <w:szCs w:val="21"/>
                      <w:lang w:bidi="ar"/>
                    </w:rPr>
                    <w:t>0.0019795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536" w:type="pct"/>
                  <w:vAlign w:val="center"/>
                </w:tcPr>
                <w:p>
                  <w:pPr>
                    <w:pStyle w:val="49"/>
                    <w:autoSpaceDE w:val="0"/>
                    <w:autoSpaceDN w:val="0"/>
                    <w:spacing w:before="16"/>
                    <w:ind w:left="218" w:right="206"/>
                    <w:rPr>
                      <w:szCs w:val="21"/>
                    </w:rPr>
                  </w:pPr>
                  <w:r>
                    <w:rPr>
                      <w:szCs w:val="21"/>
                    </w:rPr>
                    <w:t>5</w:t>
                  </w:r>
                </w:p>
              </w:tc>
              <w:tc>
                <w:tcPr>
                  <w:tcW w:w="744" w:type="pct"/>
                  <w:vMerge w:val="continue"/>
                  <w:vAlign w:val="center"/>
                </w:tcPr>
                <w:p>
                  <w:pPr>
                    <w:pStyle w:val="49"/>
                    <w:autoSpaceDE w:val="0"/>
                    <w:autoSpaceDN w:val="0"/>
                    <w:spacing w:before="16"/>
                    <w:rPr>
                      <w:szCs w:val="21"/>
                    </w:rPr>
                  </w:pPr>
                </w:p>
              </w:tc>
              <w:tc>
                <w:tcPr>
                  <w:tcW w:w="1398" w:type="pct"/>
                  <w:vAlign w:val="center"/>
                </w:tcPr>
                <w:p>
                  <w:pPr>
                    <w:adjustRightInd w:val="0"/>
                    <w:snapToGrid w:val="0"/>
                    <w:jc w:val="center"/>
                    <w:rPr>
                      <w:szCs w:val="21"/>
                    </w:rPr>
                  </w:pPr>
                  <w:r>
                    <w:rPr>
                      <w:szCs w:val="21"/>
                    </w:rPr>
                    <w:t>乙腈</w:t>
                  </w:r>
                </w:p>
              </w:tc>
              <w:tc>
                <w:tcPr>
                  <w:tcW w:w="744" w:type="pct"/>
                  <w:vAlign w:val="center"/>
                </w:tcPr>
                <w:p>
                  <w:pPr>
                    <w:widowControl/>
                    <w:jc w:val="center"/>
                    <w:textAlignment w:val="center"/>
                    <w:rPr>
                      <w:kern w:val="0"/>
                      <w:szCs w:val="21"/>
                      <w:lang w:bidi="ar"/>
                    </w:rPr>
                  </w:pPr>
                  <w:r>
                    <w:rPr>
                      <w:kern w:val="0"/>
                      <w:szCs w:val="21"/>
                      <w:lang w:bidi="ar"/>
                    </w:rPr>
                    <w:t>0.01975</w:t>
                  </w:r>
                </w:p>
              </w:tc>
              <w:tc>
                <w:tcPr>
                  <w:tcW w:w="833" w:type="pct"/>
                  <w:vAlign w:val="center"/>
                </w:tcPr>
                <w:p>
                  <w:pPr>
                    <w:widowControl/>
                    <w:jc w:val="center"/>
                    <w:textAlignment w:val="center"/>
                    <w:rPr>
                      <w:kern w:val="0"/>
                      <w:szCs w:val="21"/>
                      <w:lang w:bidi="ar"/>
                    </w:rPr>
                  </w:pPr>
                  <w:r>
                    <w:rPr>
                      <w:kern w:val="0"/>
                      <w:szCs w:val="21"/>
                      <w:lang w:bidi="ar"/>
                    </w:rPr>
                    <w:t>10</w:t>
                  </w:r>
                </w:p>
              </w:tc>
              <w:tc>
                <w:tcPr>
                  <w:tcW w:w="742" w:type="pct"/>
                  <w:vAlign w:val="center"/>
                </w:tcPr>
                <w:p>
                  <w:pPr>
                    <w:widowControl/>
                    <w:jc w:val="center"/>
                    <w:textAlignment w:val="center"/>
                    <w:rPr>
                      <w:kern w:val="0"/>
                      <w:szCs w:val="21"/>
                      <w:lang w:bidi="ar"/>
                    </w:rPr>
                  </w:pPr>
                  <w:r>
                    <w:rPr>
                      <w:kern w:val="0"/>
                      <w:szCs w:val="21"/>
                      <w:lang w:bidi="ar"/>
                    </w:rPr>
                    <w:t>0.001975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536" w:type="pct"/>
                  <w:vAlign w:val="center"/>
                </w:tcPr>
                <w:p>
                  <w:pPr>
                    <w:pStyle w:val="49"/>
                    <w:autoSpaceDE w:val="0"/>
                    <w:autoSpaceDN w:val="0"/>
                    <w:spacing w:before="16"/>
                    <w:ind w:left="218" w:right="206"/>
                    <w:rPr>
                      <w:szCs w:val="21"/>
                    </w:rPr>
                  </w:pPr>
                  <w:r>
                    <w:rPr>
                      <w:szCs w:val="21"/>
                    </w:rPr>
                    <w:t>6</w:t>
                  </w:r>
                </w:p>
              </w:tc>
              <w:tc>
                <w:tcPr>
                  <w:tcW w:w="744" w:type="pct"/>
                  <w:vMerge w:val="continue"/>
                  <w:vAlign w:val="center"/>
                </w:tcPr>
                <w:p>
                  <w:pPr>
                    <w:pStyle w:val="49"/>
                    <w:autoSpaceDE w:val="0"/>
                    <w:autoSpaceDN w:val="0"/>
                    <w:spacing w:before="16"/>
                    <w:rPr>
                      <w:szCs w:val="21"/>
                    </w:rPr>
                  </w:pPr>
                </w:p>
              </w:tc>
              <w:tc>
                <w:tcPr>
                  <w:tcW w:w="1398" w:type="pct"/>
                  <w:vAlign w:val="center"/>
                </w:tcPr>
                <w:p>
                  <w:pPr>
                    <w:adjustRightInd w:val="0"/>
                    <w:snapToGrid w:val="0"/>
                    <w:jc w:val="center"/>
                    <w:rPr>
                      <w:szCs w:val="21"/>
                    </w:rPr>
                  </w:pPr>
                  <w:r>
                    <w:rPr>
                      <w:szCs w:val="21"/>
                    </w:rPr>
                    <w:t>乙醇</w:t>
                  </w:r>
                </w:p>
              </w:tc>
              <w:tc>
                <w:tcPr>
                  <w:tcW w:w="744" w:type="pct"/>
                  <w:vAlign w:val="center"/>
                </w:tcPr>
                <w:p>
                  <w:pPr>
                    <w:widowControl/>
                    <w:jc w:val="center"/>
                    <w:textAlignment w:val="center"/>
                    <w:rPr>
                      <w:kern w:val="0"/>
                      <w:szCs w:val="21"/>
                      <w:lang w:bidi="ar"/>
                    </w:rPr>
                  </w:pPr>
                  <w:r>
                    <w:rPr>
                      <w:kern w:val="0"/>
                      <w:szCs w:val="21"/>
                      <w:lang w:bidi="ar"/>
                    </w:rPr>
                    <w:t>0.019725</w:t>
                  </w:r>
                </w:p>
              </w:tc>
              <w:tc>
                <w:tcPr>
                  <w:tcW w:w="833" w:type="pct"/>
                  <w:vAlign w:val="center"/>
                </w:tcPr>
                <w:p>
                  <w:pPr>
                    <w:widowControl/>
                    <w:jc w:val="center"/>
                    <w:textAlignment w:val="center"/>
                    <w:rPr>
                      <w:kern w:val="0"/>
                      <w:szCs w:val="21"/>
                      <w:lang w:bidi="ar"/>
                    </w:rPr>
                  </w:pPr>
                  <w:r>
                    <w:rPr>
                      <w:kern w:val="0"/>
                      <w:szCs w:val="21"/>
                      <w:lang w:bidi="ar"/>
                    </w:rPr>
                    <w:t>500</w:t>
                  </w:r>
                </w:p>
              </w:tc>
              <w:tc>
                <w:tcPr>
                  <w:tcW w:w="742" w:type="pct"/>
                  <w:vAlign w:val="center"/>
                </w:tcPr>
                <w:p>
                  <w:pPr>
                    <w:widowControl/>
                    <w:jc w:val="center"/>
                    <w:textAlignment w:val="center"/>
                    <w:rPr>
                      <w:kern w:val="0"/>
                      <w:szCs w:val="21"/>
                      <w:lang w:bidi="ar"/>
                    </w:rPr>
                  </w:pPr>
                  <w:r>
                    <w:rPr>
                      <w:kern w:val="0"/>
                      <w:szCs w:val="21"/>
                      <w:lang w:bidi="ar"/>
                    </w:rPr>
                    <w:t>0.00003945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536" w:type="pct"/>
                  <w:vAlign w:val="center"/>
                </w:tcPr>
                <w:p>
                  <w:pPr>
                    <w:pStyle w:val="49"/>
                    <w:autoSpaceDE w:val="0"/>
                    <w:autoSpaceDN w:val="0"/>
                    <w:spacing w:before="16"/>
                    <w:ind w:left="218" w:right="206"/>
                    <w:rPr>
                      <w:szCs w:val="21"/>
                    </w:rPr>
                  </w:pPr>
                  <w:r>
                    <w:rPr>
                      <w:szCs w:val="21"/>
                    </w:rPr>
                    <w:t>7</w:t>
                  </w:r>
                </w:p>
              </w:tc>
              <w:tc>
                <w:tcPr>
                  <w:tcW w:w="744" w:type="pct"/>
                  <w:vMerge w:val="continue"/>
                  <w:vAlign w:val="center"/>
                </w:tcPr>
                <w:p>
                  <w:pPr>
                    <w:pStyle w:val="49"/>
                    <w:autoSpaceDE w:val="0"/>
                    <w:autoSpaceDN w:val="0"/>
                    <w:spacing w:before="16"/>
                    <w:rPr>
                      <w:szCs w:val="21"/>
                    </w:rPr>
                  </w:pPr>
                </w:p>
              </w:tc>
              <w:tc>
                <w:tcPr>
                  <w:tcW w:w="1398" w:type="pct"/>
                  <w:vAlign w:val="center"/>
                </w:tcPr>
                <w:p>
                  <w:pPr>
                    <w:adjustRightInd w:val="0"/>
                    <w:snapToGrid w:val="0"/>
                    <w:jc w:val="center"/>
                    <w:rPr>
                      <w:szCs w:val="21"/>
                    </w:rPr>
                  </w:pPr>
                  <w:r>
                    <w:rPr>
                      <w:szCs w:val="21"/>
                    </w:rPr>
                    <w:t>N,N-二甲基甲酰胺</w:t>
                  </w:r>
                </w:p>
              </w:tc>
              <w:tc>
                <w:tcPr>
                  <w:tcW w:w="744" w:type="pct"/>
                  <w:vAlign w:val="center"/>
                </w:tcPr>
                <w:p>
                  <w:pPr>
                    <w:widowControl/>
                    <w:jc w:val="center"/>
                    <w:textAlignment w:val="center"/>
                    <w:rPr>
                      <w:kern w:val="0"/>
                      <w:szCs w:val="21"/>
                      <w:lang w:bidi="ar"/>
                    </w:rPr>
                  </w:pPr>
                  <w:r>
                    <w:rPr>
                      <w:kern w:val="0"/>
                      <w:szCs w:val="21"/>
                      <w:lang w:bidi="ar"/>
                    </w:rPr>
                    <w:t>0.001896</w:t>
                  </w:r>
                </w:p>
              </w:tc>
              <w:tc>
                <w:tcPr>
                  <w:tcW w:w="833" w:type="pct"/>
                  <w:vAlign w:val="center"/>
                </w:tcPr>
                <w:p>
                  <w:pPr>
                    <w:widowControl/>
                    <w:jc w:val="center"/>
                    <w:textAlignment w:val="center"/>
                    <w:rPr>
                      <w:kern w:val="0"/>
                      <w:szCs w:val="21"/>
                      <w:lang w:bidi="ar"/>
                    </w:rPr>
                  </w:pPr>
                  <w:r>
                    <w:rPr>
                      <w:kern w:val="0"/>
                      <w:szCs w:val="21"/>
                      <w:lang w:bidi="ar"/>
                    </w:rPr>
                    <w:t>5</w:t>
                  </w:r>
                </w:p>
              </w:tc>
              <w:tc>
                <w:tcPr>
                  <w:tcW w:w="742" w:type="pct"/>
                  <w:vAlign w:val="center"/>
                </w:tcPr>
                <w:p>
                  <w:pPr>
                    <w:widowControl/>
                    <w:jc w:val="center"/>
                    <w:textAlignment w:val="center"/>
                    <w:rPr>
                      <w:kern w:val="0"/>
                      <w:szCs w:val="21"/>
                      <w:lang w:bidi="ar"/>
                    </w:rPr>
                  </w:pPr>
                  <w:r>
                    <w:rPr>
                      <w:kern w:val="0"/>
                      <w:szCs w:val="21"/>
                      <w:lang w:bidi="ar"/>
                    </w:rPr>
                    <w:t>0.0003792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536" w:type="pct"/>
                  <w:vAlign w:val="center"/>
                </w:tcPr>
                <w:p>
                  <w:pPr>
                    <w:pStyle w:val="49"/>
                    <w:autoSpaceDE w:val="0"/>
                    <w:autoSpaceDN w:val="0"/>
                    <w:spacing w:before="16"/>
                    <w:ind w:left="218" w:right="206"/>
                    <w:rPr>
                      <w:szCs w:val="21"/>
                    </w:rPr>
                  </w:pPr>
                  <w:r>
                    <w:rPr>
                      <w:szCs w:val="21"/>
                    </w:rPr>
                    <w:t>8</w:t>
                  </w:r>
                </w:p>
              </w:tc>
              <w:tc>
                <w:tcPr>
                  <w:tcW w:w="744" w:type="pct"/>
                  <w:vMerge w:val="continue"/>
                  <w:vAlign w:val="center"/>
                </w:tcPr>
                <w:p>
                  <w:pPr>
                    <w:pStyle w:val="49"/>
                    <w:autoSpaceDE w:val="0"/>
                    <w:autoSpaceDN w:val="0"/>
                    <w:spacing w:before="16"/>
                    <w:rPr>
                      <w:szCs w:val="21"/>
                    </w:rPr>
                  </w:pPr>
                </w:p>
              </w:tc>
              <w:tc>
                <w:tcPr>
                  <w:tcW w:w="1398" w:type="pct"/>
                  <w:vAlign w:val="center"/>
                </w:tcPr>
                <w:p>
                  <w:pPr>
                    <w:adjustRightInd w:val="0"/>
                    <w:snapToGrid w:val="0"/>
                    <w:jc w:val="center"/>
                    <w:rPr>
                      <w:szCs w:val="21"/>
                    </w:rPr>
                  </w:pPr>
                  <w:r>
                    <w:rPr>
                      <w:szCs w:val="21"/>
                    </w:rPr>
                    <w:t>甲苯</w:t>
                  </w:r>
                </w:p>
              </w:tc>
              <w:tc>
                <w:tcPr>
                  <w:tcW w:w="744" w:type="pct"/>
                  <w:vAlign w:val="center"/>
                </w:tcPr>
                <w:p>
                  <w:pPr>
                    <w:widowControl/>
                    <w:jc w:val="center"/>
                    <w:textAlignment w:val="center"/>
                    <w:rPr>
                      <w:kern w:val="0"/>
                      <w:szCs w:val="21"/>
                      <w:lang w:bidi="ar"/>
                    </w:rPr>
                  </w:pPr>
                  <w:r>
                    <w:rPr>
                      <w:kern w:val="0"/>
                      <w:szCs w:val="21"/>
                      <w:lang w:bidi="ar"/>
                    </w:rPr>
                    <w:t>0.001732</w:t>
                  </w:r>
                </w:p>
              </w:tc>
              <w:tc>
                <w:tcPr>
                  <w:tcW w:w="833" w:type="pct"/>
                  <w:vAlign w:val="center"/>
                </w:tcPr>
                <w:p>
                  <w:pPr>
                    <w:widowControl/>
                    <w:jc w:val="center"/>
                    <w:textAlignment w:val="center"/>
                    <w:rPr>
                      <w:kern w:val="0"/>
                      <w:szCs w:val="21"/>
                      <w:lang w:bidi="ar"/>
                    </w:rPr>
                  </w:pPr>
                  <w:r>
                    <w:rPr>
                      <w:kern w:val="0"/>
                      <w:szCs w:val="21"/>
                      <w:lang w:bidi="ar"/>
                    </w:rPr>
                    <w:t>10</w:t>
                  </w:r>
                </w:p>
              </w:tc>
              <w:tc>
                <w:tcPr>
                  <w:tcW w:w="742" w:type="pct"/>
                  <w:vAlign w:val="center"/>
                </w:tcPr>
                <w:p>
                  <w:pPr>
                    <w:widowControl/>
                    <w:jc w:val="center"/>
                    <w:textAlignment w:val="center"/>
                    <w:rPr>
                      <w:kern w:val="0"/>
                      <w:szCs w:val="21"/>
                      <w:lang w:bidi="ar"/>
                    </w:rPr>
                  </w:pPr>
                  <w:r>
                    <w:rPr>
                      <w:kern w:val="0"/>
                      <w:szCs w:val="21"/>
                      <w:lang w:bidi="ar"/>
                    </w:rPr>
                    <w:t>0.0001732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536" w:type="pct"/>
                  <w:vAlign w:val="center"/>
                </w:tcPr>
                <w:p>
                  <w:pPr>
                    <w:pStyle w:val="49"/>
                    <w:autoSpaceDE w:val="0"/>
                    <w:autoSpaceDN w:val="0"/>
                    <w:spacing w:before="16"/>
                    <w:ind w:left="218" w:right="206"/>
                    <w:rPr>
                      <w:szCs w:val="21"/>
                    </w:rPr>
                  </w:pPr>
                  <w:r>
                    <w:rPr>
                      <w:szCs w:val="21"/>
                    </w:rPr>
                    <w:t>9</w:t>
                  </w:r>
                </w:p>
              </w:tc>
              <w:tc>
                <w:tcPr>
                  <w:tcW w:w="744" w:type="pct"/>
                  <w:vMerge w:val="continue"/>
                  <w:vAlign w:val="center"/>
                </w:tcPr>
                <w:p>
                  <w:pPr>
                    <w:pStyle w:val="49"/>
                    <w:autoSpaceDE w:val="0"/>
                    <w:autoSpaceDN w:val="0"/>
                    <w:spacing w:before="16"/>
                    <w:rPr>
                      <w:szCs w:val="21"/>
                    </w:rPr>
                  </w:pPr>
                </w:p>
              </w:tc>
              <w:tc>
                <w:tcPr>
                  <w:tcW w:w="1398" w:type="pct"/>
                  <w:vAlign w:val="center"/>
                </w:tcPr>
                <w:p>
                  <w:pPr>
                    <w:adjustRightInd w:val="0"/>
                    <w:snapToGrid w:val="0"/>
                    <w:jc w:val="center"/>
                    <w:rPr>
                      <w:szCs w:val="21"/>
                    </w:rPr>
                  </w:pPr>
                  <w:r>
                    <w:rPr>
                      <w:szCs w:val="21"/>
                    </w:rPr>
                    <w:t>氯化氢</w:t>
                  </w:r>
                </w:p>
              </w:tc>
              <w:tc>
                <w:tcPr>
                  <w:tcW w:w="744" w:type="pct"/>
                  <w:vAlign w:val="center"/>
                </w:tcPr>
                <w:p>
                  <w:pPr>
                    <w:widowControl/>
                    <w:jc w:val="center"/>
                    <w:textAlignment w:val="center"/>
                    <w:rPr>
                      <w:kern w:val="0"/>
                      <w:szCs w:val="21"/>
                      <w:lang w:bidi="ar"/>
                    </w:rPr>
                  </w:pPr>
                  <w:r>
                    <w:rPr>
                      <w:kern w:val="0"/>
                      <w:szCs w:val="21"/>
                      <w:lang w:bidi="ar"/>
                    </w:rPr>
                    <w:t>0.0024</w:t>
                  </w:r>
                </w:p>
              </w:tc>
              <w:tc>
                <w:tcPr>
                  <w:tcW w:w="833" w:type="pct"/>
                  <w:vAlign w:val="center"/>
                </w:tcPr>
                <w:p>
                  <w:pPr>
                    <w:widowControl/>
                    <w:jc w:val="center"/>
                    <w:textAlignment w:val="center"/>
                    <w:rPr>
                      <w:kern w:val="0"/>
                      <w:szCs w:val="21"/>
                      <w:lang w:bidi="ar"/>
                    </w:rPr>
                  </w:pPr>
                  <w:r>
                    <w:rPr>
                      <w:kern w:val="0"/>
                      <w:szCs w:val="21"/>
                      <w:lang w:bidi="ar"/>
                    </w:rPr>
                    <w:t>2.5</w:t>
                  </w:r>
                </w:p>
              </w:tc>
              <w:tc>
                <w:tcPr>
                  <w:tcW w:w="742" w:type="pct"/>
                  <w:vAlign w:val="center"/>
                </w:tcPr>
                <w:p>
                  <w:pPr>
                    <w:widowControl/>
                    <w:jc w:val="center"/>
                    <w:textAlignment w:val="center"/>
                    <w:rPr>
                      <w:kern w:val="0"/>
                      <w:szCs w:val="21"/>
                      <w:lang w:bidi="ar"/>
                    </w:rPr>
                  </w:pPr>
                  <w:r>
                    <w:rPr>
                      <w:kern w:val="0"/>
                      <w:szCs w:val="21"/>
                      <w:lang w:bidi="ar"/>
                    </w:rPr>
                    <w:t>0.00096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536" w:type="pct"/>
                  <w:vAlign w:val="center"/>
                </w:tcPr>
                <w:p>
                  <w:pPr>
                    <w:pStyle w:val="49"/>
                    <w:autoSpaceDE w:val="0"/>
                    <w:autoSpaceDN w:val="0"/>
                    <w:spacing w:before="16"/>
                    <w:ind w:left="218" w:right="206"/>
                    <w:rPr>
                      <w:szCs w:val="21"/>
                    </w:rPr>
                  </w:pPr>
                  <w:r>
                    <w:rPr>
                      <w:szCs w:val="21"/>
                    </w:rPr>
                    <w:t>10</w:t>
                  </w:r>
                </w:p>
              </w:tc>
              <w:tc>
                <w:tcPr>
                  <w:tcW w:w="744" w:type="pct"/>
                  <w:vMerge w:val="continue"/>
                  <w:vAlign w:val="center"/>
                </w:tcPr>
                <w:p>
                  <w:pPr>
                    <w:pStyle w:val="49"/>
                    <w:autoSpaceDE w:val="0"/>
                    <w:autoSpaceDN w:val="0"/>
                    <w:spacing w:before="16"/>
                    <w:rPr>
                      <w:szCs w:val="21"/>
                    </w:rPr>
                  </w:pPr>
                </w:p>
              </w:tc>
              <w:tc>
                <w:tcPr>
                  <w:tcW w:w="1398" w:type="pct"/>
                  <w:vAlign w:val="center"/>
                </w:tcPr>
                <w:p>
                  <w:pPr>
                    <w:adjustRightInd w:val="0"/>
                    <w:snapToGrid w:val="0"/>
                    <w:jc w:val="center"/>
                    <w:rPr>
                      <w:szCs w:val="21"/>
                    </w:rPr>
                  </w:pPr>
                  <w:r>
                    <w:rPr>
                      <w:szCs w:val="21"/>
                    </w:rPr>
                    <w:t>硫酸</w:t>
                  </w:r>
                </w:p>
              </w:tc>
              <w:tc>
                <w:tcPr>
                  <w:tcW w:w="744" w:type="pct"/>
                  <w:vAlign w:val="center"/>
                </w:tcPr>
                <w:p>
                  <w:pPr>
                    <w:widowControl/>
                    <w:jc w:val="center"/>
                    <w:textAlignment w:val="center"/>
                    <w:rPr>
                      <w:kern w:val="0"/>
                      <w:szCs w:val="21"/>
                      <w:lang w:bidi="ar"/>
                    </w:rPr>
                  </w:pPr>
                  <w:r>
                    <w:rPr>
                      <w:kern w:val="0"/>
                      <w:szCs w:val="21"/>
                      <w:lang w:bidi="ar"/>
                    </w:rPr>
                    <w:t>0.00092</w:t>
                  </w:r>
                </w:p>
              </w:tc>
              <w:tc>
                <w:tcPr>
                  <w:tcW w:w="833" w:type="pct"/>
                  <w:vAlign w:val="center"/>
                </w:tcPr>
                <w:p>
                  <w:pPr>
                    <w:widowControl/>
                    <w:jc w:val="center"/>
                    <w:textAlignment w:val="center"/>
                    <w:rPr>
                      <w:kern w:val="0"/>
                      <w:szCs w:val="21"/>
                      <w:lang w:bidi="ar"/>
                    </w:rPr>
                  </w:pPr>
                  <w:r>
                    <w:rPr>
                      <w:kern w:val="0"/>
                      <w:szCs w:val="21"/>
                      <w:lang w:bidi="ar"/>
                    </w:rPr>
                    <w:t>2</w:t>
                  </w:r>
                </w:p>
              </w:tc>
              <w:tc>
                <w:tcPr>
                  <w:tcW w:w="742" w:type="pct"/>
                  <w:vAlign w:val="center"/>
                </w:tcPr>
                <w:p>
                  <w:pPr>
                    <w:widowControl/>
                    <w:jc w:val="center"/>
                    <w:textAlignment w:val="center"/>
                    <w:rPr>
                      <w:kern w:val="0"/>
                      <w:szCs w:val="21"/>
                      <w:lang w:bidi="ar"/>
                    </w:rPr>
                  </w:pPr>
                  <w:r>
                    <w:rPr>
                      <w:kern w:val="0"/>
                      <w:szCs w:val="21"/>
                      <w:lang w:bidi="ar"/>
                    </w:rPr>
                    <w:t>0.00046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4257" w:type="pct"/>
                  <w:gridSpan w:val="5"/>
                  <w:vAlign w:val="center"/>
                </w:tcPr>
                <w:p>
                  <w:pPr>
                    <w:pStyle w:val="49"/>
                    <w:autoSpaceDE w:val="0"/>
                    <w:autoSpaceDN w:val="0"/>
                    <w:spacing w:before="63"/>
                    <w:ind w:left="540" w:right="525"/>
                    <w:rPr>
                      <w:rFonts w:eastAsia="宋体"/>
                      <w:kern w:val="0"/>
                      <w:szCs w:val="21"/>
                      <w:lang w:bidi="ar"/>
                    </w:rPr>
                  </w:pPr>
                  <w:r>
                    <w:rPr>
                      <w:rFonts w:eastAsia="宋体"/>
                      <w:kern w:val="0"/>
                      <w:szCs w:val="21"/>
                      <w:lang w:bidi="ar"/>
                    </w:rPr>
                    <w:t>合计</w:t>
                  </w:r>
                </w:p>
              </w:tc>
              <w:tc>
                <w:tcPr>
                  <w:tcW w:w="742" w:type="pct"/>
                  <w:vAlign w:val="center"/>
                </w:tcPr>
                <w:p>
                  <w:pPr>
                    <w:widowControl/>
                    <w:jc w:val="center"/>
                    <w:textAlignment w:val="center"/>
                    <w:rPr>
                      <w:kern w:val="0"/>
                      <w:szCs w:val="21"/>
                      <w:lang w:bidi="ar"/>
                    </w:rPr>
                  </w:pPr>
                  <w:r>
                    <w:rPr>
                      <w:kern w:val="0"/>
                      <w:szCs w:val="21"/>
                      <w:lang w:bidi="ar"/>
                    </w:rPr>
                    <w:t>0.02040135</w:t>
                  </w:r>
                </w:p>
              </w:tc>
            </w:tr>
          </w:tbl>
          <w:p>
            <w:pPr>
              <w:spacing w:before="120" w:beforeLines="50" w:line="360" w:lineRule="auto"/>
              <w:ind w:firstLine="480" w:firstLineChars="200"/>
              <w:textAlignment w:val="baseline"/>
              <w:rPr>
                <w:sz w:val="24"/>
              </w:rPr>
            </w:pPr>
            <w:r>
              <w:rPr>
                <w:sz w:val="24"/>
              </w:rPr>
              <w:t>根据上表，本项目Q＜1，本项目环境风险潜势为I，对环境风险开展简单分析。</w:t>
            </w:r>
          </w:p>
          <w:p>
            <w:pPr>
              <w:spacing w:line="360" w:lineRule="auto"/>
              <w:ind w:firstLine="480" w:firstLineChars="200"/>
              <w:textAlignment w:val="baseline"/>
              <w:rPr>
                <w:sz w:val="24"/>
              </w:rPr>
            </w:pPr>
            <w:r>
              <w:rPr>
                <w:sz w:val="24"/>
              </w:rPr>
              <w:t>2、环境风险源分布情况</w:t>
            </w:r>
          </w:p>
          <w:p>
            <w:pPr>
              <w:pStyle w:val="49"/>
              <w:tabs>
                <w:tab w:val="left" w:pos="1090"/>
              </w:tabs>
              <w:spacing w:before="0" w:line="360" w:lineRule="auto"/>
              <w:ind w:firstLine="480" w:firstLineChars="200"/>
              <w:jc w:val="left"/>
              <w:rPr>
                <w:rFonts w:eastAsia="宋体"/>
                <w:sz w:val="24"/>
              </w:rPr>
            </w:pPr>
            <w:r>
              <w:rPr>
                <w:rFonts w:eastAsia="宋体"/>
                <w:sz w:val="24"/>
              </w:rPr>
              <w:t>本项目环境风险源主要分布</w:t>
            </w:r>
            <w:r>
              <w:rPr>
                <w:rFonts w:hint="eastAsia" w:eastAsia="宋体"/>
                <w:sz w:val="24"/>
              </w:rPr>
              <w:t>于</w:t>
            </w:r>
            <w:r>
              <w:rPr>
                <w:rFonts w:eastAsia="宋体"/>
                <w:sz w:val="24"/>
              </w:rPr>
              <w:t>库房。</w:t>
            </w:r>
          </w:p>
          <w:p>
            <w:pPr>
              <w:pStyle w:val="49"/>
              <w:tabs>
                <w:tab w:val="left" w:pos="1090"/>
              </w:tabs>
              <w:spacing w:before="0" w:line="360" w:lineRule="auto"/>
              <w:ind w:firstLine="480" w:firstLineChars="200"/>
              <w:jc w:val="left"/>
              <w:rPr>
                <w:sz w:val="24"/>
              </w:rPr>
            </w:pPr>
            <w:r>
              <w:rPr>
                <w:rFonts w:eastAsia="宋体"/>
                <w:sz w:val="24"/>
              </w:rPr>
              <w:t>3、</w:t>
            </w:r>
            <w:r>
              <w:rPr>
                <w:rFonts w:hint="eastAsia" w:ascii="宋体" w:hAnsi="宋体" w:eastAsia="宋体" w:cs="宋体"/>
                <w:sz w:val="24"/>
              </w:rPr>
              <w:t>影响途径</w:t>
            </w:r>
          </w:p>
          <w:p>
            <w:pPr>
              <w:pStyle w:val="49"/>
              <w:spacing w:before="0" w:line="360" w:lineRule="auto"/>
              <w:ind w:firstLine="480" w:firstLineChars="200"/>
              <w:jc w:val="left"/>
              <w:rPr>
                <w:sz w:val="24"/>
              </w:rPr>
            </w:pPr>
            <w:r>
              <w:rPr>
                <w:rFonts w:hint="eastAsia" w:ascii="宋体" w:hAnsi="宋体" w:eastAsia="宋体" w:cs="宋体"/>
                <w:sz w:val="24"/>
              </w:rPr>
              <w:t>项目环境风险的主要影响途径为：</w:t>
            </w:r>
          </w:p>
          <w:p>
            <w:pPr>
              <w:spacing w:line="360" w:lineRule="auto"/>
              <w:ind w:firstLine="480" w:firstLineChars="200"/>
              <w:textAlignment w:val="baseline"/>
              <w:rPr>
                <w:sz w:val="24"/>
              </w:rPr>
            </w:pPr>
            <w:r>
              <w:rPr>
                <w:sz w:val="24"/>
              </w:rPr>
              <w:t>（1）危化品在储存或使用过程中容器发生破损，导致危化品泄露，进入自然环境会对大气、地下水、土壤造成污染；</w:t>
            </w:r>
          </w:p>
          <w:p>
            <w:pPr>
              <w:spacing w:line="360" w:lineRule="auto"/>
              <w:ind w:firstLine="480" w:firstLineChars="200"/>
              <w:textAlignment w:val="baseline"/>
              <w:rPr>
                <w:sz w:val="24"/>
              </w:rPr>
            </w:pPr>
            <w:r>
              <w:rPr>
                <w:sz w:val="24"/>
              </w:rPr>
              <w:t>（2）危化品泄露如遇明火、高热可引起燃烧产生消防废水等次生污染物，会造成大气污染以及对人群健康产生危害。</w:t>
            </w:r>
          </w:p>
          <w:p>
            <w:pPr>
              <w:spacing w:line="360" w:lineRule="auto"/>
              <w:ind w:firstLine="480" w:firstLineChars="200"/>
              <w:textAlignment w:val="baseline"/>
              <w:rPr>
                <w:sz w:val="24"/>
              </w:rPr>
            </w:pPr>
            <w:r>
              <w:rPr>
                <w:sz w:val="24"/>
              </w:rPr>
              <w:t>4、环境风险防范措施</w:t>
            </w:r>
          </w:p>
          <w:p>
            <w:pPr>
              <w:adjustRightInd w:val="0"/>
              <w:snapToGrid w:val="0"/>
              <w:spacing w:line="360" w:lineRule="auto"/>
              <w:ind w:firstLine="480" w:firstLineChars="200"/>
              <w:rPr>
                <w:sz w:val="24"/>
              </w:rPr>
            </w:pPr>
            <w:r>
              <w:rPr>
                <w:sz w:val="24"/>
              </w:rPr>
              <w:t>（1）化学试剂由专业生产厂家购置，由厂家派专用车辆负责运送。用于危险化学品运输的工具及容器，必须经检测、检验合格，方可使用。输送有毒有害物料，应采取防止泄漏、渗漏的措施。</w:t>
            </w:r>
          </w:p>
          <w:p>
            <w:pPr>
              <w:adjustRightInd w:val="0"/>
              <w:snapToGrid w:val="0"/>
              <w:spacing w:line="360" w:lineRule="auto"/>
              <w:ind w:firstLine="480" w:firstLineChars="200"/>
              <w:rPr>
                <w:sz w:val="24"/>
              </w:rPr>
            </w:pPr>
            <w:r>
              <w:rPr>
                <w:sz w:val="24"/>
              </w:rPr>
              <w:t>（2）化学试剂购置后直接交管理员接收并入库。管理员先检查包装的完好性，封口是否严密，试剂是否泄漏，标签是否粘贴牢固无破损，内容清晰，贮存条件明确。瓶签已部分脱胶的，应及时用胶水粘贴。无标签的试剂不得入库，应及时予销毁。</w:t>
            </w:r>
          </w:p>
          <w:p>
            <w:pPr>
              <w:adjustRightInd w:val="0"/>
              <w:snapToGrid w:val="0"/>
              <w:spacing w:line="360" w:lineRule="auto"/>
              <w:ind w:firstLine="480" w:firstLineChars="200"/>
              <w:rPr>
                <w:sz w:val="24"/>
              </w:rPr>
            </w:pPr>
            <w:r>
              <w:rPr>
                <w:sz w:val="24"/>
              </w:rPr>
              <w:t>（3）化学试剂须严格按其性质如剧毒、易燃、易挥发、强腐蚀品等和贮存要求分类存放。</w:t>
            </w:r>
          </w:p>
          <w:p>
            <w:pPr>
              <w:adjustRightInd w:val="0"/>
              <w:snapToGrid w:val="0"/>
              <w:spacing w:line="360" w:lineRule="auto"/>
              <w:ind w:firstLine="480" w:firstLineChars="200"/>
              <w:rPr>
                <w:sz w:val="24"/>
              </w:rPr>
            </w:pPr>
            <w:r>
              <w:rPr>
                <w:sz w:val="24"/>
              </w:rPr>
              <w:t>（4）实验员必须每周检查一次温湿度表并记录。超出规定范围的应及时调整。</w:t>
            </w:r>
          </w:p>
          <w:p>
            <w:pPr>
              <w:adjustRightInd w:val="0"/>
              <w:snapToGrid w:val="0"/>
              <w:spacing w:line="360" w:lineRule="auto"/>
              <w:ind w:firstLine="480" w:firstLineChars="200"/>
              <w:rPr>
                <w:sz w:val="24"/>
              </w:rPr>
            </w:pPr>
            <w:r>
              <w:rPr>
                <w:sz w:val="24"/>
              </w:rPr>
              <w:t>（5）盛放化学试剂的贮存柜需用防尘、耐腐蚀、避光的材料制成。</w:t>
            </w:r>
          </w:p>
          <w:p>
            <w:pPr>
              <w:adjustRightInd w:val="0"/>
              <w:snapToGrid w:val="0"/>
              <w:spacing w:line="360" w:lineRule="auto"/>
              <w:ind w:firstLine="480" w:firstLineChars="200"/>
              <w:rPr>
                <w:sz w:val="24"/>
              </w:rPr>
            </w:pPr>
            <w:r>
              <w:rPr>
                <w:sz w:val="24"/>
              </w:rPr>
              <w:t>（6）易潮解、易失水风化、易挥发、易吸收二氧化碳、易氧化、易吸水变质化学试剂，需密闭保存或蜡封保存，应存放试剂柜下部柜中，平时应关门上锁。</w:t>
            </w:r>
          </w:p>
          <w:p>
            <w:pPr>
              <w:adjustRightInd w:val="0"/>
              <w:snapToGrid w:val="0"/>
              <w:spacing w:line="360" w:lineRule="auto"/>
              <w:ind w:firstLine="480" w:firstLineChars="200"/>
              <w:rPr>
                <w:sz w:val="24"/>
              </w:rPr>
            </w:pPr>
            <w:r>
              <w:rPr>
                <w:sz w:val="24"/>
              </w:rPr>
              <w:t>（7）易爆炸品、易燃品、腐蚀品应单独存放，平时应关门上锁。</w:t>
            </w:r>
          </w:p>
          <w:p>
            <w:pPr>
              <w:adjustRightInd w:val="0"/>
              <w:snapToGrid w:val="0"/>
              <w:spacing w:line="360" w:lineRule="auto"/>
              <w:ind w:firstLine="482" w:firstLineChars="200"/>
              <w:rPr>
                <w:b/>
                <w:bCs/>
                <w:sz w:val="24"/>
                <w:szCs w:val="32"/>
              </w:rPr>
            </w:pPr>
            <w:r>
              <w:rPr>
                <w:b/>
                <w:bCs/>
                <w:sz w:val="24"/>
                <w:szCs w:val="32"/>
              </w:rPr>
              <w:t>七、环境管理</w:t>
            </w:r>
          </w:p>
          <w:p>
            <w:pPr>
              <w:spacing w:line="360" w:lineRule="auto"/>
              <w:ind w:firstLine="480" w:firstLineChars="200"/>
              <w:outlineLvl w:val="2"/>
              <w:rPr>
                <w:sz w:val="24"/>
                <w:szCs w:val="32"/>
              </w:rPr>
            </w:pPr>
            <w:r>
              <w:rPr>
                <w:sz w:val="24"/>
                <w:szCs w:val="32"/>
              </w:rPr>
              <w:t>1、环境管理人员和制度</w:t>
            </w:r>
          </w:p>
          <w:p>
            <w:pPr>
              <w:spacing w:line="360" w:lineRule="auto"/>
              <w:ind w:firstLine="480" w:firstLineChars="200"/>
              <w:rPr>
                <w:sz w:val="24"/>
                <w:szCs w:val="32"/>
              </w:rPr>
            </w:pPr>
            <w:r>
              <w:rPr>
                <w:sz w:val="24"/>
                <w:szCs w:val="32"/>
              </w:rPr>
              <w:t>设立环境管理机构，配备兼职环保管理人员1~2名，负责环境监督管理工作，同时建立环境保护制度，加强对管理人员的环保培训。</w:t>
            </w:r>
          </w:p>
          <w:p>
            <w:pPr>
              <w:spacing w:line="360" w:lineRule="auto"/>
              <w:ind w:firstLine="480" w:firstLineChars="200"/>
              <w:rPr>
                <w:sz w:val="24"/>
              </w:rPr>
            </w:pPr>
            <w:r>
              <w:rPr>
                <w:sz w:val="24"/>
                <w:szCs w:val="32"/>
              </w:rPr>
              <w:t>建议制定的环境保护工作条例有：环境保护职责管理条例、污水和废气排放管理制度、危险废物日常运行管理制度、排污情况报告制度、污染事故处理制度、环保教育制</w:t>
            </w:r>
            <w:r>
              <w:rPr>
                <w:sz w:val="24"/>
              </w:rPr>
              <w:t>度等。</w:t>
            </w:r>
          </w:p>
          <w:p>
            <w:pPr>
              <w:pStyle w:val="39"/>
              <w:ind w:firstLine="484" w:firstLineChars="200"/>
              <w:rPr>
                <w:rFonts w:hAnsi="Times New Roman"/>
                <w:szCs w:val="24"/>
              </w:rPr>
            </w:pPr>
            <w:r>
              <w:rPr>
                <w:rFonts w:hAnsi="Times New Roman"/>
                <w:szCs w:val="24"/>
              </w:rPr>
              <w:t>2、环境管理台账要求</w:t>
            </w:r>
          </w:p>
          <w:p>
            <w:pPr>
              <w:pStyle w:val="39"/>
              <w:ind w:firstLine="484" w:firstLineChars="200"/>
              <w:rPr>
                <w:rFonts w:hAnsi="Times New Roman"/>
                <w:szCs w:val="24"/>
              </w:rPr>
            </w:pPr>
            <w:r>
              <w:rPr>
                <w:rFonts w:hAnsi="Times New Roman"/>
                <w:szCs w:val="24"/>
              </w:rPr>
              <w:t>排污单位环境管理台账应真实记录污染治理设施运行管理信息、危险废物管理信息和监测记录信息，其中污染治理设施运行管理信息可每周记录1次；危险废物的收集存放信息记录频次原则不少于1次/天；转移处置信息按照清运周期进行记录。监测数据的记录频次按照自行监测频次要求记录。记录的保存采用纸质存储和电子化存储，保存时间原则上不低于5年。</w:t>
            </w:r>
          </w:p>
          <w:p>
            <w:pPr>
              <w:pStyle w:val="39"/>
              <w:ind w:firstLine="484"/>
              <w:rPr>
                <w:rFonts w:hAnsi="Times New Roman"/>
                <w:szCs w:val="24"/>
              </w:rPr>
            </w:pPr>
            <w:r>
              <w:rPr>
                <w:rFonts w:hAnsi="Times New Roman"/>
                <w:szCs w:val="24"/>
              </w:rPr>
              <w:t>3、企业应提交年度执行报告，报告至少应包括排污单位基本情况、污染治理设施运行情况、自行监测执行情况、环境管理台账执行情况、实际排放情况及合规判定分析、结论等。</w:t>
            </w:r>
          </w:p>
          <w:p>
            <w:pPr>
              <w:spacing w:line="360" w:lineRule="auto"/>
              <w:ind w:firstLine="482" w:firstLineChars="200"/>
              <w:rPr>
                <w:b/>
                <w:bCs/>
                <w:sz w:val="24"/>
              </w:rPr>
            </w:pPr>
            <w:r>
              <w:rPr>
                <w:b/>
                <w:bCs/>
                <w:sz w:val="24"/>
              </w:rPr>
              <w:t>八、环保投资估算</w:t>
            </w:r>
          </w:p>
          <w:p>
            <w:pPr>
              <w:spacing w:line="360" w:lineRule="auto"/>
              <w:ind w:firstLine="480" w:firstLineChars="200"/>
              <w:rPr>
                <w:sz w:val="24"/>
              </w:rPr>
            </w:pPr>
            <w:r>
              <w:rPr>
                <w:sz w:val="24"/>
              </w:rPr>
              <w:t>本项目总投资80万元，本次评价估算环保投资18万元，占总投资的22.5%，见表4-13。</w:t>
            </w:r>
          </w:p>
          <w:p>
            <w:pPr>
              <w:pStyle w:val="33"/>
              <w:adjustRightInd w:val="0"/>
              <w:spacing w:before="0" w:after="0" w:line="360" w:lineRule="auto"/>
              <w:ind w:right="0" w:firstLine="420" w:firstLineChars="200"/>
              <w:rPr>
                <w:rFonts w:eastAsia="黑体"/>
                <w:b w:val="0"/>
                <w:kern w:val="24"/>
                <w:sz w:val="21"/>
                <w:szCs w:val="21"/>
              </w:rPr>
            </w:pPr>
            <w:r>
              <w:rPr>
                <w:rFonts w:eastAsia="黑体"/>
                <w:b w:val="0"/>
                <w:kern w:val="24"/>
                <w:sz w:val="21"/>
                <w:szCs w:val="21"/>
              </w:rPr>
              <w:t>表4-13  环保投资估算表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18"/>
              <w:gridCol w:w="699"/>
              <w:gridCol w:w="1628"/>
              <w:gridCol w:w="3982"/>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728" w:type="pct"/>
                  <w:gridSpan w:val="3"/>
                  <w:vAlign w:val="center"/>
                </w:tcPr>
                <w:p>
                  <w:pPr>
                    <w:tabs>
                      <w:tab w:val="left" w:leader="middleDot" w:pos="8399"/>
                    </w:tabs>
                    <w:adjustRightInd w:val="0"/>
                    <w:snapToGrid w:val="0"/>
                    <w:jc w:val="center"/>
                  </w:pPr>
                  <w:r>
                    <w:t>治理工程</w:t>
                  </w:r>
                </w:p>
              </w:tc>
              <w:tc>
                <w:tcPr>
                  <w:tcW w:w="2508" w:type="pct"/>
                  <w:vAlign w:val="center"/>
                </w:tcPr>
                <w:p>
                  <w:pPr>
                    <w:tabs>
                      <w:tab w:val="left" w:leader="middleDot" w:pos="8399"/>
                    </w:tabs>
                    <w:adjustRightInd w:val="0"/>
                    <w:snapToGrid w:val="0"/>
                    <w:jc w:val="center"/>
                  </w:pPr>
                  <w:r>
                    <w:t>环保设备</w:t>
                  </w:r>
                </w:p>
              </w:tc>
              <w:tc>
                <w:tcPr>
                  <w:tcW w:w="762" w:type="pct"/>
                  <w:vAlign w:val="center"/>
                </w:tcPr>
                <w:p>
                  <w:pPr>
                    <w:tabs>
                      <w:tab w:val="left" w:leader="middleDot" w:pos="8399"/>
                    </w:tabs>
                    <w:adjustRightInd w:val="0"/>
                    <w:snapToGrid w:val="0"/>
                    <w:jc w:val="center"/>
                  </w:pPr>
                  <w:r>
                    <w:t>环保投资</w:t>
                  </w:r>
                </w:p>
                <w:p>
                  <w:pPr>
                    <w:tabs>
                      <w:tab w:val="left" w:leader="middleDot" w:pos="8399"/>
                    </w:tabs>
                    <w:adjustRightInd w:val="0"/>
                    <w:snapToGrid w:val="0"/>
                    <w:jc w:val="center"/>
                  </w:pP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63" w:type="pct"/>
                  <w:vMerge w:val="restart"/>
                  <w:vAlign w:val="center"/>
                </w:tcPr>
                <w:p>
                  <w:pPr>
                    <w:tabs>
                      <w:tab w:val="left" w:leader="middleDot" w:pos="8399"/>
                    </w:tabs>
                    <w:adjustRightInd w:val="0"/>
                    <w:snapToGrid w:val="0"/>
                    <w:jc w:val="center"/>
                  </w:pPr>
                  <w:r>
                    <w:t>运</w:t>
                  </w:r>
                </w:p>
                <w:p>
                  <w:pPr>
                    <w:tabs>
                      <w:tab w:val="left" w:leader="middleDot" w:pos="8399"/>
                    </w:tabs>
                    <w:adjustRightInd w:val="0"/>
                    <w:snapToGrid w:val="0"/>
                    <w:jc w:val="center"/>
                  </w:pPr>
                  <w:r>
                    <w:t>营</w:t>
                  </w:r>
                </w:p>
                <w:p>
                  <w:pPr>
                    <w:tabs>
                      <w:tab w:val="left" w:leader="middleDot" w:pos="8399"/>
                    </w:tabs>
                    <w:adjustRightInd w:val="0"/>
                    <w:snapToGrid w:val="0"/>
                    <w:jc w:val="center"/>
                  </w:pPr>
                  <w:r>
                    <w:t>期</w:t>
                  </w:r>
                </w:p>
              </w:tc>
              <w:tc>
                <w:tcPr>
                  <w:tcW w:w="440" w:type="pct"/>
                  <w:vAlign w:val="center"/>
                </w:tcPr>
                <w:p>
                  <w:pPr>
                    <w:tabs>
                      <w:tab w:val="left" w:leader="middleDot" w:pos="8399"/>
                    </w:tabs>
                    <w:adjustRightInd w:val="0"/>
                    <w:snapToGrid w:val="0"/>
                    <w:jc w:val="center"/>
                  </w:pPr>
                  <w:r>
                    <w:t>废气</w:t>
                  </w:r>
                </w:p>
              </w:tc>
              <w:tc>
                <w:tcPr>
                  <w:tcW w:w="1025" w:type="pct"/>
                  <w:vAlign w:val="center"/>
                </w:tcPr>
                <w:p>
                  <w:pPr>
                    <w:adjustRightInd w:val="0"/>
                    <w:snapToGrid w:val="0"/>
                    <w:spacing w:line="260" w:lineRule="exact"/>
                    <w:jc w:val="center"/>
                  </w:pPr>
                  <w:r>
                    <w:t>实验室废气</w:t>
                  </w:r>
                </w:p>
              </w:tc>
              <w:tc>
                <w:tcPr>
                  <w:tcW w:w="2508" w:type="pct"/>
                  <w:vAlign w:val="center"/>
                </w:tcPr>
                <w:p>
                  <w:pPr>
                    <w:tabs>
                      <w:tab w:val="left" w:leader="middleDot" w:pos="8399"/>
                    </w:tabs>
                    <w:adjustRightInd w:val="0"/>
                    <w:snapToGrid w:val="0"/>
                    <w:jc w:val="center"/>
                  </w:pPr>
                  <w:r>
                    <w:rPr>
                      <w:szCs w:val="21"/>
                    </w:rPr>
                    <w:t>活性炭吸附装置+15m高排气筒</w:t>
                  </w:r>
                </w:p>
              </w:tc>
              <w:tc>
                <w:tcPr>
                  <w:tcW w:w="762" w:type="pct"/>
                  <w:vAlign w:val="center"/>
                </w:tcPr>
                <w:p>
                  <w:pPr>
                    <w:tabs>
                      <w:tab w:val="left" w:leader="middleDot" w:pos="8399"/>
                    </w:tabs>
                    <w:adjustRightInd w:val="0"/>
                    <w:snapToGrid w:val="0"/>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5" w:hRule="atLeast"/>
                <w:jc w:val="center"/>
              </w:trPr>
              <w:tc>
                <w:tcPr>
                  <w:tcW w:w="263" w:type="pct"/>
                  <w:vMerge w:val="continue"/>
                  <w:vAlign w:val="center"/>
                </w:tcPr>
                <w:p>
                  <w:pPr>
                    <w:tabs>
                      <w:tab w:val="left" w:leader="middleDot" w:pos="8399"/>
                    </w:tabs>
                    <w:adjustRightInd w:val="0"/>
                    <w:snapToGrid w:val="0"/>
                    <w:jc w:val="center"/>
                  </w:pPr>
                </w:p>
              </w:tc>
              <w:tc>
                <w:tcPr>
                  <w:tcW w:w="440" w:type="pct"/>
                  <w:vAlign w:val="center"/>
                </w:tcPr>
                <w:p>
                  <w:pPr>
                    <w:tabs>
                      <w:tab w:val="left" w:leader="middleDot" w:pos="8399"/>
                    </w:tabs>
                    <w:adjustRightInd w:val="0"/>
                    <w:snapToGrid w:val="0"/>
                    <w:jc w:val="center"/>
                  </w:pPr>
                  <w:r>
                    <w:t>废水</w:t>
                  </w:r>
                </w:p>
              </w:tc>
              <w:tc>
                <w:tcPr>
                  <w:tcW w:w="1025" w:type="pct"/>
                  <w:vAlign w:val="center"/>
                </w:tcPr>
                <w:p>
                  <w:pPr>
                    <w:tabs>
                      <w:tab w:val="left" w:leader="middleDot" w:pos="8399"/>
                    </w:tabs>
                    <w:adjustRightInd w:val="0"/>
                    <w:snapToGrid w:val="0"/>
                    <w:jc w:val="center"/>
                  </w:pPr>
                  <w:r>
                    <w:t>综合废水</w:t>
                  </w:r>
                </w:p>
              </w:tc>
              <w:tc>
                <w:tcPr>
                  <w:tcW w:w="2508" w:type="pct"/>
                  <w:vAlign w:val="center"/>
                </w:tcPr>
                <w:p>
                  <w:pPr>
                    <w:tabs>
                      <w:tab w:val="left" w:leader="middleDot" w:pos="8399"/>
                    </w:tabs>
                    <w:adjustRightInd w:val="0"/>
                    <w:snapToGrid w:val="0"/>
                    <w:jc w:val="center"/>
                  </w:pPr>
                  <w:r>
                    <w:t>中和池（新建）+化粪池（依托）</w:t>
                  </w:r>
                </w:p>
              </w:tc>
              <w:tc>
                <w:tcPr>
                  <w:tcW w:w="762" w:type="pct"/>
                  <w:vAlign w:val="center"/>
                </w:tcPr>
                <w:p>
                  <w:pPr>
                    <w:tabs>
                      <w:tab w:val="left" w:leader="middleDot" w:pos="8399"/>
                    </w:tabs>
                    <w:adjustRightInd w:val="0"/>
                    <w:snapToGrid w:val="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63" w:type="pct"/>
                  <w:vMerge w:val="continue"/>
                  <w:vAlign w:val="center"/>
                </w:tcPr>
                <w:p>
                  <w:pPr>
                    <w:tabs>
                      <w:tab w:val="left" w:leader="middleDot" w:pos="8399"/>
                    </w:tabs>
                    <w:adjustRightInd w:val="0"/>
                    <w:snapToGrid w:val="0"/>
                    <w:jc w:val="center"/>
                  </w:pPr>
                </w:p>
              </w:tc>
              <w:tc>
                <w:tcPr>
                  <w:tcW w:w="1465" w:type="pct"/>
                  <w:gridSpan w:val="2"/>
                  <w:vAlign w:val="center"/>
                </w:tcPr>
                <w:p>
                  <w:pPr>
                    <w:tabs>
                      <w:tab w:val="left" w:leader="middleDot" w:pos="8399"/>
                    </w:tabs>
                    <w:adjustRightInd w:val="0"/>
                    <w:snapToGrid w:val="0"/>
                    <w:jc w:val="center"/>
                  </w:pPr>
                  <w:r>
                    <w:t>噪声</w:t>
                  </w:r>
                </w:p>
              </w:tc>
              <w:tc>
                <w:tcPr>
                  <w:tcW w:w="2508" w:type="pct"/>
                  <w:vAlign w:val="center"/>
                </w:tcPr>
                <w:p>
                  <w:pPr>
                    <w:tabs>
                      <w:tab w:val="left" w:leader="middleDot" w:pos="8399"/>
                    </w:tabs>
                    <w:adjustRightInd w:val="0"/>
                    <w:snapToGrid w:val="0"/>
                    <w:jc w:val="center"/>
                  </w:pPr>
                  <w:r>
                    <w:t>基础减震、消声、隔声</w:t>
                  </w:r>
                </w:p>
              </w:tc>
              <w:tc>
                <w:tcPr>
                  <w:tcW w:w="762" w:type="pct"/>
                  <w:vAlign w:val="center"/>
                </w:tcPr>
                <w:p>
                  <w:pPr>
                    <w:tabs>
                      <w:tab w:val="left" w:pos="405"/>
                    </w:tabs>
                    <w:adjustRightInd w:val="0"/>
                    <w:snapToGrid w:val="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63" w:type="pct"/>
                  <w:vMerge w:val="continue"/>
                  <w:vAlign w:val="center"/>
                </w:tcPr>
                <w:p>
                  <w:pPr>
                    <w:tabs>
                      <w:tab w:val="left" w:leader="middleDot" w:pos="8399"/>
                    </w:tabs>
                    <w:adjustRightInd w:val="0"/>
                    <w:snapToGrid w:val="0"/>
                    <w:jc w:val="center"/>
                  </w:pPr>
                </w:p>
              </w:tc>
              <w:tc>
                <w:tcPr>
                  <w:tcW w:w="440" w:type="pct"/>
                  <w:vMerge w:val="restart"/>
                  <w:vAlign w:val="center"/>
                </w:tcPr>
                <w:p>
                  <w:pPr>
                    <w:tabs>
                      <w:tab w:val="left" w:leader="middleDot" w:pos="8399"/>
                    </w:tabs>
                    <w:adjustRightInd w:val="0"/>
                    <w:snapToGrid w:val="0"/>
                    <w:jc w:val="center"/>
                  </w:pPr>
                  <w:r>
                    <w:t>固废</w:t>
                  </w:r>
                </w:p>
              </w:tc>
              <w:tc>
                <w:tcPr>
                  <w:tcW w:w="1025" w:type="pct"/>
                  <w:vAlign w:val="center"/>
                </w:tcPr>
                <w:p>
                  <w:pPr>
                    <w:tabs>
                      <w:tab w:val="left" w:leader="middleDot" w:pos="8399"/>
                    </w:tabs>
                    <w:adjustRightInd w:val="0"/>
                    <w:snapToGrid w:val="0"/>
                    <w:jc w:val="center"/>
                  </w:pPr>
                  <w:r>
                    <w:t>一般固废</w:t>
                  </w:r>
                </w:p>
              </w:tc>
              <w:tc>
                <w:tcPr>
                  <w:tcW w:w="2508" w:type="pct"/>
                  <w:vAlign w:val="center"/>
                </w:tcPr>
                <w:p>
                  <w:pPr>
                    <w:tabs>
                      <w:tab w:val="left" w:leader="middleDot" w:pos="8399"/>
                    </w:tabs>
                    <w:adjustRightInd w:val="0"/>
                    <w:snapToGrid w:val="0"/>
                    <w:jc w:val="center"/>
                  </w:pPr>
                  <w:r>
                    <w:t>废包装收集后外售</w:t>
                  </w:r>
                </w:p>
              </w:tc>
              <w:tc>
                <w:tcPr>
                  <w:tcW w:w="762" w:type="pct"/>
                  <w:vMerge w:val="restart"/>
                  <w:vAlign w:val="center"/>
                </w:tcPr>
                <w:p>
                  <w:pPr>
                    <w:tabs>
                      <w:tab w:val="left" w:pos="405"/>
                    </w:tabs>
                    <w:adjustRightInd w:val="0"/>
                    <w:snapToGrid w:val="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4" w:hRule="atLeast"/>
                <w:jc w:val="center"/>
              </w:trPr>
              <w:tc>
                <w:tcPr>
                  <w:tcW w:w="263" w:type="pct"/>
                  <w:vMerge w:val="continue"/>
                  <w:vAlign w:val="center"/>
                </w:tcPr>
                <w:p>
                  <w:pPr>
                    <w:tabs>
                      <w:tab w:val="left" w:leader="middleDot" w:pos="8399"/>
                    </w:tabs>
                    <w:adjustRightInd w:val="0"/>
                    <w:snapToGrid w:val="0"/>
                    <w:jc w:val="center"/>
                  </w:pPr>
                </w:p>
              </w:tc>
              <w:tc>
                <w:tcPr>
                  <w:tcW w:w="440" w:type="pct"/>
                  <w:vMerge w:val="continue"/>
                  <w:vAlign w:val="center"/>
                </w:tcPr>
                <w:p>
                  <w:pPr>
                    <w:tabs>
                      <w:tab w:val="left" w:leader="middleDot" w:pos="8399"/>
                    </w:tabs>
                    <w:adjustRightInd w:val="0"/>
                    <w:snapToGrid w:val="0"/>
                    <w:jc w:val="center"/>
                  </w:pPr>
                </w:p>
              </w:tc>
              <w:tc>
                <w:tcPr>
                  <w:tcW w:w="1025" w:type="pct"/>
                  <w:vAlign w:val="center"/>
                </w:tcPr>
                <w:p>
                  <w:pPr>
                    <w:tabs>
                      <w:tab w:val="left" w:leader="middleDot" w:pos="8399"/>
                    </w:tabs>
                    <w:adjustRightInd w:val="0"/>
                    <w:snapToGrid w:val="0"/>
                    <w:jc w:val="center"/>
                  </w:pPr>
                  <w:r>
                    <w:t>危险废物</w:t>
                  </w:r>
                </w:p>
              </w:tc>
              <w:tc>
                <w:tcPr>
                  <w:tcW w:w="2508" w:type="pct"/>
                  <w:vAlign w:val="center"/>
                </w:tcPr>
                <w:p>
                  <w:pPr>
                    <w:tabs>
                      <w:tab w:val="left" w:leader="middleDot" w:pos="8399"/>
                    </w:tabs>
                    <w:adjustRightInd w:val="0"/>
                    <w:snapToGrid w:val="0"/>
                    <w:jc w:val="center"/>
                  </w:pPr>
                  <w:r>
                    <w:t>暂存于危废贮存库，委托有资质单位处理</w:t>
                  </w:r>
                </w:p>
              </w:tc>
              <w:tc>
                <w:tcPr>
                  <w:tcW w:w="762" w:type="pct"/>
                  <w:vMerge w:val="continue"/>
                  <w:vAlign w:val="center"/>
                </w:tcPr>
                <w:p>
                  <w:pPr>
                    <w:tabs>
                      <w:tab w:val="left" w:pos="405"/>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63" w:type="pct"/>
                  <w:vMerge w:val="continue"/>
                  <w:vAlign w:val="center"/>
                </w:tcPr>
                <w:p>
                  <w:pPr>
                    <w:tabs>
                      <w:tab w:val="left" w:leader="middleDot" w:pos="8399"/>
                    </w:tabs>
                    <w:adjustRightInd w:val="0"/>
                    <w:snapToGrid w:val="0"/>
                    <w:jc w:val="center"/>
                  </w:pPr>
                </w:p>
              </w:tc>
              <w:tc>
                <w:tcPr>
                  <w:tcW w:w="440" w:type="pct"/>
                  <w:vMerge w:val="continue"/>
                  <w:vAlign w:val="center"/>
                </w:tcPr>
                <w:p>
                  <w:pPr>
                    <w:tabs>
                      <w:tab w:val="left" w:leader="middleDot" w:pos="8399"/>
                    </w:tabs>
                    <w:adjustRightInd w:val="0"/>
                    <w:snapToGrid w:val="0"/>
                    <w:jc w:val="center"/>
                  </w:pPr>
                </w:p>
              </w:tc>
              <w:tc>
                <w:tcPr>
                  <w:tcW w:w="1025" w:type="pct"/>
                  <w:vAlign w:val="center"/>
                </w:tcPr>
                <w:p>
                  <w:pPr>
                    <w:tabs>
                      <w:tab w:val="left" w:leader="middleDot" w:pos="8399"/>
                    </w:tabs>
                    <w:adjustRightInd w:val="0"/>
                    <w:snapToGrid w:val="0"/>
                    <w:jc w:val="center"/>
                  </w:pPr>
                  <w:r>
                    <w:t>生活垃圾</w:t>
                  </w:r>
                </w:p>
              </w:tc>
              <w:tc>
                <w:tcPr>
                  <w:tcW w:w="2508" w:type="pct"/>
                  <w:vAlign w:val="center"/>
                </w:tcPr>
                <w:p>
                  <w:pPr>
                    <w:tabs>
                      <w:tab w:val="left" w:leader="middleDot" w:pos="8399"/>
                    </w:tabs>
                    <w:adjustRightInd w:val="0"/>
                    <w:snapToGrid w:val="0"/>
                    <w:jc w:val="center"/>
                  </w:pPr>
                  <w:r>
                    <w:t>委托环卫部门清运</w:t>
                  </w:r>
                </w:p>
              </w:tc>
              <w:tc>
                <w:tcPr>
                  <w:tcW w:w="762" w:type="pct"/>
                  <w:vMerge w:val="continue"/>
                  <w:vAlign w:val="center"/>
                </w:tcPr>
                <w:p>
                  <w:pPr>
                    <w:tabs>
                      <w:tab w:val="left" w:pos="405"/>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728" w:type="pct"/>
                  <w:gridSpan w:val="3"/>
                  <w:vAlign w:val="center"/>
                </w:tcPr>
                <w:p>
                  <w:pPr>
                    <w:tabs>
                      <w:tab w:val="left" w:leader="middleDot" w:pos="8399"/>
                    </w:tabs>
                    <w:adjustRightInd w:val="0"/>
                    <w:snapToGrid w:val="0"/>
                    <w:jc w:val="center"/>
                  </w:pPr>
                  <w:r>
                    <w:t>合计</w:t>
                  </w:r>
                </w:p>
              </w:tc>
              <w:tc>
                <w:tcPr>
                  <w:tcW w:w="2508" w:type="pct"/>
                  <w:vAlign w:val="center"/>
                </w:tcPr>
                <w:p>
                  <w:pPr>
                    <w:tabs>
                      <w:tab w:val="left" w:leader="middleDot" w:pos="8399"/>
                    </w:tabs>
                    <w:adjustRightInd w:val="0"/>
                    <w:snapToGrid w:val="0"/>
                    <w:jc w:val="center"/>
                  </w:pPr>
                  <w:r>
                    <w:t>环保投资</w:t>
                  </w:r>
                </w:p>
              </w:tc>
              <w:tc>
                <w:tcPr>
                  <w:tcW w:w="762" w:type="pct"/>
                  <w:vAlign w:val="center"/>
                </w:tcPr>
                <w:p>
                  <w:pPr>
                    <w:tabs>
                      <w:tab w:val="left" w:leader="middleDot" w:pos="8399"/>
                    </w:tabs>
                    <w:adjustRightInd w:val="0"/>
                    <w:snapToGrid w:val="0"/>
                    <w:jc w:val="center"/>
                  </w:pPr>
                  <w:r>
                    <w:t>18</w:t>
                  </w:r>
                </w:p>
              </w:tc>
            </w:tr>
          </w:tbl>
          <w:p>
            <w:pPr>
              <w:adjustRightInd w:val="0"/>
              <w:snapToGrid w:val="0"/>
              <w:jc w:val="left"/>
              <w:rPr>
                <w:b/>
                <w:bCs/>
                <w:sz w:val="24"/>
              </w:rPr>
            </w:pPr>
          </w:p>
          <w:p>
            <w:pPr>
              <w:pStyle w:val="31"/>
              <w:jc w:val="left"/>
              <w:rPr>
                <w:rFonts w:ascii="Times New Roman" w:cs="Times New Roman"/>
                <w:b/>
                <w:bCs/>
                <w:color w:val="auto"/>
              </w:rPr>
            </w:pPr>
          </w:p>
          <w:p>
            <w:pPr>
              <w:pStyle w:val="19"/>
              <w:jc w:val="left"/>
              <w:rPr>
                <w:b/>
                <w:bCs/>
                <w:sz w:val="24"/>
              </w:rPr>
            </w:pPr>
          </w:p>
          <w:p>
            <w:pPr>
              <w:pStyle w:val="19"/>
              <w:jc w:val="left"/>
              <w:rPr>
                <w:b/>
                <w:bCs/>
                <w:sz w:val="24"/>
              </w:rPr>
            </w:pPr>
          </w:p>
          <w:p>
            <w:pPr>
              <w:pStyle w:val="19"/>
              <w:jc w:val="left"/>
              <w:rPr>
                <w:b/>
                <w:bCs/>
                <w:sz w:val="24"/>
              </w:rPr>
            </w:pPr>
          </w:p>
          <w:p>
            <w:pPr>
              <w:pStyle w:val="19"/>
              <w:jc w:val="left"/>
              <w:rPr>
                <w:b/>
                <w:bCs/>
                <w:sz w:val="24"/>
              </w:rPr>
            </w:pPr>
          </w:p>
          <w:p>
            <w:pPr>
              <w:pStyle w:val="19"/>
              <w:jc w:val="left"/>
              <w:rPr>
                <w:b/>
                <w:bCs/>
                <w:sz w:val="24"/>
              </w:rPr>
            </w:pPr>
          </w:p>
          <w:p>
            <w:pPr>
              <w:pStyle w:val="19"/>
              <w:jc w:val="left"/>
              <w:rPr>
                <w:b/>
                <w:bCs/>
                <w:sz w:val="24"/>
              </w:rPr>
            </w:pPr>
          </w:p>
          <w:p>
            <w:pPr>
              <w:pStyle w:val="18"/>
              <w:jc w:val="left"/>
              <w:rPr>
                <w:rFonts w:ascii="Times New Roman" w:hAnsi="Times New Roman"/>
                <w:bCs/>
                <w:sz w:val="24"/>
              </w:rPr>
            </w:pPr>
          </w:p>
          <w:p>
            <w:pPr>
              <w:pStyle w:val="19"/>
              <w:jc w:val="left"/>
              <w:rPr>
                <w:b/>
                <w:bCs/>
                <w:sz w:val="24"/>
              </w:rPr>
            </w:pPr>
          </w:p>
          <w:p>
            <w:pPr>
              <w:jc w:val="left"/>
              <w:rPr>
                <w:b/>
                <w:bCs/>
                <w:sz w:val="24"/>
              </w:rPr>
            </w:pPr>
          </w:p>
          <w:p>
            <w:pPr>
              <w:pStyle w:val="31"/>
              <w:jc w:val="left"/>
              <w:rPr>
                <w:rFonts w:ascii="Times New Roman" w:cs="Times New Roman"/>
                <w:b/>
                <w:bCs/>
                <w:color w:val="auto"/>
              </w:rPr>
            </w:pPr>
          </w:p>
          <w:p>
            <w:pPr>
              <w:pStyle w:val="18"/>
              <w:jc w:val="left"/>
              <w:rPr>
                <w:rFonts w:ascii="Times New Roman" w:hAnsi="Times New Roman"/>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left"/>
              <w:rPr>
                <w:b/>
                <w:bCs/>
                <w:sz w:val="24"/>
              </w:rPr>
            </w:pPr>
          </w:p>
          <w:p>
            <w:pPr>
              <w:adjustRightInd w:val="0"/>
              <w:snapToGrid w:val="0"/>
              <w:jc w:val="center"/>
              <w:rPr>
                <w:b/>
                <w:bCs/>
                <w:sz w:val="24"/>
              </w:rPr>
            </w:pPr>
          </w:p>
          <w:p>
            <w:pPr>
              <w:adjustRightInd w:val="0"/>
              <w:snapToGrid w:val="0"/>
              <w:jc w:val="center"/>
              <w:rPr>
                <w:b/>
                <w:bCs/>
                <w:sz w:val="24"/>
              </w:rPr>
            </w:pPr>
            <w:r>
              <w:rPr>
                <w:b/>
                <w:bCs/>
                <w:sz w:val="24"/>
              </w:rPr>
              <w:t xml:space="preserve">  </w:t>
            </w:r>
          </w:p>
          <w:p/>
        </w:tc>
      </w:tr>
    </w:tbl>
    <w:p>
      <w:pPr>
        <w:adjustRightInd w:val="0"/>
        <w:snapToGrid w:val="0"/>
        <w:spacing w:line="360" w:lineRule="auto"/>
        <w:rPr>
          <w:bCs/>
          <w:spacing w:val="-10"/>
          <w:sz w:val="24"/>
        </w:rPr>
        <w:sectPr>
          <w:pgSz w:w="11907" w:h="16840"/>
          <w:pgMar w:top="1701" w:right="1531" w:bottom="2127" w:left="1531" w:header="851" w:footer="851" w:gutter="0"/>
          <w:cols w:space="720" w:num="1"/>
          <w:docGrid w:linePitch="312" w:charSpace="0"/>
        </w:sectPr>
      </w:pPr>
    </w:p>
    <w:p>
      <w:pPr>
        <w:pStyle w:val="21"/>
        <w:jc w:val="center"/>
        <w:outlineLvl w:val="0"/>
        <w:rPr>
          <w:rFonts w:ascii="Times New Roman" w:hAnsi="Times New Roman" w:eastAsia="黑体"/>
          <w:snapToGrid w:val="0"/>
          <w:sz w:val="30"/>
          <w:szCs w:val="30"/>
        </w:rPr>
      </w:pPr>
      <w:bookmarkStart w:id="12" w:name="_Toc117495862"/>
      <w:r>
        <w:rPr>
          <w:rFonts w:ascii="Times New Roman" w:hAnsi="Times New Roman" w:eastAsia="黑体"/>
          <w:snapToGrid w:val="0"/>
          <w:sz w:val="30"/>
          <w:szCs w:val="30"/>
        </w:rPr>
        <w:t>五、</w:t>
      </w:r>
      <w:bookmarkStart w:id="13" w:name="_Hlk54167917"/>
      <w:r>
        <w:rPr>
          <w:rFonts w:ascii="Times New Roman" w:hAnsi="Times New Roman" w:eastAsia="黑体"/>
          <w:snapToGrid w:val="0"/>
          <w:sz w:val="30"/>
          <w:szCs w:val="30"/>
        </w:rPr>
        <w:t>环境保护措施监督检查清单</w:t>
      </w:r>
      <w:bookmarkEnd w:id="12"/>
      <w:bookmarkEnd w:id="13"/>
    </w:p>
    <w:tbl>
      <w:tblPr>
        <w:tblStyle w:val="24"/>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581"/>
        <w:gridCol w:w="1612"/>
        <w:gridCol w:w="1679"/>
        <w:gridCol w:w="27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2" w:type="dxa"/>
            <w:tcBorders>
              <w:tl2br w:val="single" w:color="auto" w:sz="4" w:space="0"/>
            </w:tcBorders>
          </w:tcPr>
          <w:p>
            <w:pPr>
              <w:adjustRightInd w:val="0"/>
              <w:snapToGrid w:val="0"/>
              <w:jc w:val="right"/>
              <w:rPr>
                <w:sz w:val="24"/>
              </w:rPr>
            </w:pPr>
            <w:r>
              <w:rPr>
                <w:sz w:val="24"/>
              </w:rPr>
              <w:t>内容</w:t>
            </w:r>
          </w:p>
          <w:p>
            <w:pPr>
              <w:adjustRightInd w:val="0"/>
              <w:snapToGrid w:val="0"/>
              <w:rPr>
                <w:sz w:val="24"/>
              </w:rPr>
            </w:pPr>
          </w:p>
          <w:p>
            <w:pPr>
              <w:adjustRightInd w:val="0"/>
              <w:snapToGrid w:val="0"/>
              <w:rPr>
                <w:sz w:val="24"/>
              </w:rPr>
            </w:pPr>
            <w:r>
              <w:rPr>
                <w:sz w:val="24"/>
              </w:rPr>
              <w:t>要素</w:t>
            </w:r>
          </w:p>
        </w:tc>
        <w:tc>
          <w:tcPr>
            <w:tcW w:w="1581" w:type="dxa"/>
            <w:vAlign w:val="center"/>
          </w:tcPr>
          <w:p>
            <w:pPr>
              <w:adjustRightInd w:val="0"/>
              <w:snapToGrid w:val="0"/>
              <w:jc w:val="center"/>
              <w:rPr>
                <w:sz w:val="24"/>
              </w:rPr>
            </w:pPr>
            <w:r>
              <w:rPr>
                <w:sz w:val="24"/>
              </w:rPr>
              <w:t>排放口(编号、名称)/污染源</w:t>
            </w:r>
          </w:p>
        </w:tc>
        <w:tc>
          <w:tcPr>
            <w:tcW w:w="1612" w:type="dxa"/>
            <w:vAlign w:val="center"/>
          </w:tcPr>
          <w:p>
            <w:pPr>
              <w:adjustRightInd w:val="0"/>
              <w:snapToGrid w:val="0"/>
              <w:jc w:val="center"/>
              <w:rPr>
                <w:sz w:val="24"/>
              </w:rPr>
            </w:pPr>
            <w:r>
              <w:rPr>
                <w:sz w:val="24"/>
              </w:rPr>
              <w:t>污染物项目</w:t>
            </w:r>
          </w:p>
        </w:tc>
        <w:tc>
          <w:tcPr>
            <w:tcW w:w="1679" w:type="dxa"/>
            <w:vAlign w:val="center"/>
          </w:tcPr>
          <w:p>
            <w:pPr>
              <w:adjustRightInd w:val="0"/>
              <w:snapToGrid w:val="0"/>
              <w:jc w:val="center"/>
              <w:rPr>
                <w:sz w:val="24"/>
              </w:rPr>
            </w:pPr>
            <w:r>
              <w:rPr>
                <w:sz w:val="24"/>
              </w:rPr>
              <w:t>环境保护</w:t>
            </w:r>
          </w:p>
          <w:p>
            <w:pPr>
              <w:adjustRightInd w:val="0"/>
              <w:snapToGrid w:val="0"/>
              <w:jc w:val="center"/>
              <w:rPr>
                <w:sz w:val="24"/>
              </w:rPr>
            </w:pPr>
            <w:r>
              <w:rPr>
                <w:sz w:val="24"/>
              </w:rPr>
              <w:t>措施</w:t>
            </w:r>
          </w:p>
        </w:tc>
        <w:tc>
          <w:tcPr>
            <w:tcW w:w="2726" w:type="dxa"/>
            <w:vAlign w:val="center"/>
          </w:tcPr>
          <w:p>
            <w:pPr>
              <w:adjustRightInd w:val="0"/>
              <w:snapToGrid w:val="0"/>
              <w:jc w:val="center"/>
              <w:rPr>
                <w:sz w:val="24"/>
              </w:rPr>
            </w:pPr>
            <w:r>
              <w:rPr>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202" w:type="dxa"/>
            <w:vMerge w:val="restart"/>
            <w:vAlign w:val="center"/>
          </w:tcPr>
          <w:p>
            <w:pPr>
              <w:adjustRightInd w:val="0"/>
              <w:snapToGrid w:val="0"/>
              <w:jc w:val="center"/>
              <w:rPr>
                <w:sz w:val="24"/>
              </w:rPr>
            </w:pPr>
            <w:r>
              <w:rPr>
                <w:sz w:val="24"/>
              </w:rPr>
              <w:t>大气环境</w:t>
            </w:r>
          </w:p>
        </w:tc>
        <w:tc>
          <w:tcPr>
            <w:tcW w:w="1581" w:type="dxa"/>
            <w:vAlign w:val="center"/>
          </w:tcPr>
          <w:p>
            <w:pPr>
              <w:adjustRightInd w:val="0"/>
              <w:snapToGrid w:val="0"/>
              <w:jc w:val="center"/>
              <w:rPr>
                <w:sz w:val="24"/>
              </w:rPr>
            </w:pPr>
            <w:r>
              <w:rPr>
                <w:sz w:val="24"/>
              </w:rPr>
              <w:t>DA001</w:t>
            </w:r>
          </w:p>
        </w:tc>
        <w:tc>
          <w:tcPr>
            <w:tcW w:w="1612" w:type="dxa"/>
            <w:vMerge w:val="restart"/>
            <w:vAlign w:val="center"/>
          </w:tcPr>
          <w:p>
            <w:pPr>
              <w:adjustRightInd w:val="0"/>
              <w:snapToGrid w:val="0"/>
              <w:jc w:val="center"/>
              <w:rPr>
                <w:sz w:val="24"/>
              </w:rPr>
            </w:pPr>
            <w:r>
              <w:rPr>
                <w:sz w:val="24"/>
              </w:rPr>
              <w:t>非甲烷总烃、</w:t>
            </w:r>
          </w:p>
          <w:p>
            <w:pPr>
              <w:adjustRightInd w:val="0"/>
              <w:snapToGrid w:val="0"/>
              <w:jc w:val="center"/>
              <w:rPr>
                <w:sz w:val="24"/>
              </w:rPr>
            </w:pPr>
            <w:r>
              <w:rPr>
                <w:sz w:val="24"/>
              </w:rPr>
              <w:t>甲苯、二氯甲烷、硫酸雾、氯化氢</w:t>
            </w:r>
          </w:p>
        </w:tc>
        <w:tc>
          <w:tcPr>
            <w:tcW w:w="1679" w:type="dxa"/>
            <w:vAlign w:val="center"/>
          </w:tcPr>
          <w:p>
            <w:pPr>
              <w:pStyle w:val="4"/>
              <w:adjustRightInd w:val="0"/>
              <w:snapToGrid w:val="0"/>
              <w:spacing w:line="240" w:lineRule="auto"/>
              <w:ind w:firstLine="0" w:firstLineChars="0"/>
              <w:jc w:val="center"/>
              <w:rPr>
                <w:szCs w:val="24"/>
              </w:rPr>
            </w:pPr>
            <w:r>
              <w:rPr>
                <w:szCs w:val="24"/>
              </w:rPr>
              <w:t>活性炭吸附装置+排气筒（DA001）</w:t>
            </w:r>
          </w:p>
        </w:tc>
        <w:tc>
          <w:tcPr>
            <w:tcW w:w="2726" w:type="dxa"/>
            <w:vAlign w:val="center"/>
          </w:tcPr>
          <w:p>
            <w:pPr>
              <w:adjustRightInd w:val="0"/>
              <w:snapToGrid w:val="0"/>
              <w:jc w:val="center"/>
              <w:rPr>
                <w:sz w:val="24"/>
              </w:rPr>
            </w:pPr>
            <w:r>
              <w:rPr>
                <w:sz w:val="24"/>
              </w:rPr>
              <w:t>《大气污染物综合排放标准》（GB16297-1996）表2中浓度限值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02" w:type="dxa"/>
            <w:vMerge w:val="continue"/>
            <w:vAlign w:val="center"/>
          </w:tcPr>
          <w:p>
            <w:pPr>
              <w:adjustRightInd w:val="0"/>
              <w:snapToGrid w:val="0"/>
              <w:jc w:val="center"/>
              <w:rPr>
                <w:sz w:val="24"/>
              </w:rPr>
            </w:pPr>
          </w:p>
        </w:tc>
        <w:tc>
          <w:tcPr>
            <w:tcW w:w="1581" w:type="dxa"/>
            <w:vAlign w:val="center"/>
          </w:tcPr>
          <w:p>
            <w:pPr>
              <w:adjustRightInd w:val="0"/>
              <w:snapToGrid w:val="0"/>
              <w:jc w:val="center"/>
              <w:rPr>
                <w:sz w:val="24"/>
              </w:rPr>
            </w:pPr>
            <w:r>
              <w:rPr>
                <w:rFonts w:hint="eastAsia"/>
                <w:sz w:val="24"/>
              </w:rPr>
              <w:t>实验室无组织废气</w:t>
            </w:r>
          </w:p>
        </w:tc>
        <w:tc>
          <w:tcPr>
            <w:tcW w:w="1612" w:type="dxa"/>
            <w:vMerge w:val="continue"/>
            <w:vAlign w:val="center"/>
          </w:tcPr>
          <w:p>
            <w:pPr>
              <w:adjustRightInd w:val="0"/>
              <w:snapToGrid w:val="0"/>
              <w:jc w:val="center"/>
              <w:rPr>
                <w:sz w:val="24"/>
              </w:rPr>
            </w:pPr>
          </w:p>
        </w:tc>
        <w:tc>
          <w:tcPr>
            <w:tcW w:w="1679" w:type="dxa"/>
            <w:vAlign w:val="center"/>
          </w:tcPr>
          <w:p>
            <w:pPr>
              <w:pStyle w:val="4"/>
              <w:adjustRightInd w:val="0"/>
              <w:snapToGrid w:val="0"/>
              <w:spacing w:line="240" w:lineRule="auto"/>
              <w:ind w:firstLine="0" w:firstLineChars="0"/>
              <w:jc w:val="center"/>
              <w:rPr>
                <w:szCs w:val="24"/>
              </w:rPr>
            </w:pPr>
            <w:r>
              <w:rPr>
                <w:rFonts w:hint="eastAsia"/>
                <w:szCs w:val="24"/>
              </w:rPr>
              <w:t>/</w:t>
            </w:r>
          </w:p>
        </w:tc>
        <w:tc>
          <w:tcPr>
            <w:tcW w:w="2726" w:type="dxa"/>
            <w:vAlign w:val="center"/>
          </w:tcPr>
          <w:p>
            <w:pPr>
              <w:wordWrap w:val="0"/>
              <w:adjustRightInd w:val="0"/>
              <w:snapToGrid w:val="0"/>
              <w:jc w:val="center"/>
              <w:rPr>
                <w:sz w:val="24"/>
              </w:rPr>
            </w:pPr>
            <w:r>
              <w:rPr>
                <w:sz w:val="24"/>
              </w:rPr>
              <w:t>《挥发性有机物无组织排放控制标准》</w:t>
            </w:r>
            <w:r>
              <w:rPr>
                <w:rFonts w:hint="eastAsia"/>
                <w:sz w:val="24"/>
              </w:rPr>
              <w:t>（</w:t>
            </w:r>
            <w:r>
              <w:rPr>
                <w:sz w:val="24"/>
              </w:rPr>
              <w:t>GB37822-2019</w:t>
            </w:r>
            <w:r>
              <w:rPr>
                <w:rFonts w:hint="eastAsia"/>
                <w:sz w:val="24"/>
              </w:rPr>
              <w:t>）及</w:t>
            </w:r>
            <w:r>
              <w:rPr>
                <w:sz w:val="24"/>
              </w:rPr>
              <w:t>《大气污染物综合排放标准》（GB16297-1996）表2中浓度限值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202" w:type="dxa"/>
            <w:vAlign w:val="center"/>
          </w:tcPr>
          <w:p>
            <w:pPr>
              <w:adjustRightInd w:val="0"/>
              <w:snapToGrid w:val="0"/>
              <w:jc w:val="center"/>
              <w:rPr>
                <w:sz w:val="24"/>
              </w:rPr>
            </w:pPr>
            <w:r>
              <w:rPr>
                <w:sz w:val="24"/>
              </w:rPr>
              <w:t>地表水</w:t>
            </w:r>
          </w:p>
          <w:p>
            <w:pPr>
              <w:adjustRightInd w:val="0"/>
              <w:snapToGrid w:val="0"/>
              <w:jc w:val="center"/>
              <w:rPr>
                <w:sz w:val="24"/>
              </w:rPr>
            </w:pPr>
            <w:r>
              <w:rPr>
                <w:sz w:val="24"/>
              </w:rPr>
              <w:t>环境</w:t>
            </w:r>
          </w:p>
        </w:tc>
        <w:tc>
          <w:tcPr>
            <w:tcW w:w="1581" w:type="dxa"/>
            <w:vAlign w:val="center"/>
          </w:tcPr>
          <w:p>
            <w:pPr>
              <w:adjustRightInd w:val="0"/>
              <w:snapToGrid w:val="0"/>
              <w:jc w:val="center"/>
              <w:rPr>
                <w:sz w:val="24"/>
              </w:rPr>
            </w:pPr>
            <w:r>
              <w:rPr>
                <w:sz w:val="24"/>
              </w:rPr>
              <w:t>综合废水</w:t>
            </w:r>
          </w:p>
        </w:tc>
        <w:tc>
          <w:tcPr>
            <w:tcW w:w="1612" w:type="dxa"/>
            <w:vAlign w:val="center"/>
          </w:tcPr>
          <w:p>
            <w:pPr>
              <w:adjustRightInd w:val="0"/>
              <w:snapToGrid w:val="0"/>
              <w:jc w:val="center"/>
              <w:rPr>
                <w:sz w:val="24"/>
              </w:rPr>
            </w:pPr>
            <w:r>
              <w:rPr>
                <w:rFonts w:hint="eastAsia"/>
                <w:sz w:val="24"/>
              </w:rPr>
              <w:t>pH、</w:t>
            </w:r>
            <w:r>
              <w:rPr>
                <w:sz w:val="24"/>
              </w:rPr>
              <w:t>COD、BOD</w:t>
            </w:r>
            <w:r>
              <w:rPr>
                <w:sz w:val="24"/>
                <w:vertAlign w:val="subscript"/>
              </w:rPr>
              <w:t>5</w:t>
            </w:r>
            <w:r>
              <w:rPr>
                <w:sz w:val="24"/>
              </w:rPr>
              <w:t>、氨氮、SS</w:t>
            </w:r>
          </w:p>
        </w:tc>
        <w:tc>
          <w:tcPr>
            <w:tcW w:w="1679" w:type="dxa"/>
            <w:vAlign w:val="center"/>
          </w:tcPr>
          <w:p>
            <w:pPr>
              <w:adjustRightInd w:val="0"/>
              <w:snapToGrid w:val="0"/>
              <w:jc w:val="center"/>
              <w:rPr>
                <w:sz w:val="24"/>
              </w:rPr>
            </w:pPr>
            <w:r>
              <w:rPr>
                <w:rFonts w:hint="eastAsia"/>
                <w:sz w:val="24"/>
              </w:rPr>
              <w:t>中和池、</w:t>
            </w:r>
            <w:r>
              <w:rPr>
                <w:sz w:val="24"/>
              </w:rPr>
              <w:t>园区化粪池（依托）</w:t>
            </w:r>
          </w:p>
        </w:tc>
        <w:tc>
          <w:tcPr>
            <w:tcW w:w="2726" w:type="dxa"/>
            <w:vAlign w:val="center"/>
          </w:tcPr>
          <w:p>
            <w:pPr>
              <w:wordWrap w:val="0"/>
              <w:adjustRightInd w:val="0"/>
              <w:snapToGrid w:val="0"/>
              <w:jc w:val="center"/>
              <w:rPr>
                <w:sz w:val="24"/>
              </w:rPr>
            </w:pPr>
            <w:r>
              <w:rPr>
                <w:sz w:val="24"/>
              </w:rPr>
              <w:t>《污水综合排放标准》（GB8978-1996）三级标准及《污水排入城镇下水道水质标准》（GB/T 31962-2015）B级标准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202" w:type="dxa"/>
            <w:vAlign w:val="center"/>
          </w:tcPr>
          <w:p>
            <w:pPr>
              <w:adjustRightInd w:val="0"/>
              <w:snapToGrid w:val="0"/>
              <w:jc w:val="center"/>
              <w:rPr>
                <w:sz w:val="24"/>
              </w:rPr>
            </w:pPr>
            <w:r>
              <w:rPr>
                <w:sz w:val="24"/>
              </w:rPr>
              <w:t>声环境</w:t>
            </w:r>
          </w:p>
        </w:tc>
        <w:tc>
          <w:tcPr>
            <w:tcW w:w="1581" w:type="dxa"/>
            <w:vAlign w:val="center"/>
          </w:tcPr>
          <w:p>
            <w:pPr>
              <w:adjustRightInd w:val="0"/>
              <w:snapToGrid w:val="0"/>
              <w:jc w:val="center"/>
              <w:rPr>
                <w:sz w:val="24"/>
              </w:rPr>
            </w:pPr>
            <w:r>
              <w:rPr>
                <w:sz w:val="24"/>
              </w:rPr>
              <w:t>生产设备</w:t>
            </w:r>
          </w:p>
        </w:tc>
        <w:tc>
          <w:tcPr>
            <w:tcW w:w="1612" w:type="dxa"/>
            <w:vAlign w:val="center"/>
          </w:tcPr>
          <w:p>
            <w:pPr>
              <w:adjustRightInd w:val="0"/>
              <w:snapToGrid w:val="0"/>
              <w:jc w:val="center"/>
              <w:rPr>
                <w:sz w:val="24"/>
              </w:rPr>
            </w:pPr>
            <w:r>
              <w:rPr>
                <w:kern w:val="0"/>
                <w:sz w:val="24"/>
              </w:rPr>
              <w:t>80~85dB（A）</w:t>
            </w:r>
          </w:p>
        </w:tc>
        <w:tc>
          <w:tcPr>
            <w:tcW w:w="1679" w:type="dxa"/>
            <w:vAlign w:val="center"/>
          </w:tcPr>
          <w:p>
            <w:pPr>
              <w:adjustRightInd w:val="0"/>
              <w:snapToGrid w:val="0"/>
              <w:jc w:val="center"/>
              <w:rPr>
                <w:sz w:val="24"/>
              </w:rPr>
            </w:pPr>
            <w:r>
              <w:rPr>
                <w:kern w:val="0"/>
                <w:sz w:val="24"/>
              </w:rPr>
              <w:t>选用低噪设备、厂房隔声、基础减振</w:t>
            </w:r>
          </w:p>
        </w:tc>
        <w:tc>
          <w:tcPr>
            <w:tcW w:w="2726" w:type="dxa"/>
            <w:vAlign w:val="center"/>
          </w:tcPr>
          <w:p>
            <w:pPr>
              <w:wordWrap w:val="0"/>
              <w:adjustRightInd w:val="0"/>
              <w:snapToGrid w:val="0"/>
              <w:jc w:val="center"/>
              <w:rPr>
                <w:sz w:val="24"/>
              </w:rPr>
            </w:pPr>
            <w:r>
              <w:rPr>
                <w:bCs/>
                <w:sz w:val="24"/>
              </w:rPr>
              <w:t>《工业企业厂界环境噪声排放标准》</w:t>
            </w:r>
            <w:r>
              <w:rPr>
                <w:sz w:val="24"/>
              </w:rPr>
              <w:t>（</w:t>
            </w:r>
            <w:r>
              <w:rPr>
                <w:bCs/>
                <w:sz w:val="24"/>
              </w:rPr>
              <w:t>GB12348-2008）</w:t>
            </w:r>
            <w:r>
              <w:rPr>
                <w:spacing w:val="6"/>
                <w:sz w:val="24"/>
              </w:rPr>
              <w:t>中的3类标准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202" w:type="dxa"/>
            <w:vAlign w:val="center"/>
          </w:tcPr>
          <w:p>
            <w:pPr>
              <w:adjustRightInd w:val="0"/>
              <w:snapToGrid w:val="0"/>
              <w:jc w:val="center"/>
              <w:rPr>
                <w:sz w:val="24"/>
              </w:rPr>
            </w:pPr>
            <w:r>
              <w:rPr>
                <w:sz w:val="24"/>
              </w:rPr>
              <w:t>电磁辐射</w:t>
            </w:r>
          </w:p>
        </w:tc>
        <w:tc>
          <w:tcPr>
            <w:tcW w:w="1581" w:type="dxa"/>
            <w:vAlign w:val="center"/>
          </w:tcPr>
          <w:p>
            <w:pPr>
              <w:adjustRightInd w:val="0"/>
              <w:snapToGrid w:val="0"/>
              <w:jc w:val="center"/>
              <w:rPr>
                <w:sz w:val="24"/>
              </w:rPr>
            </w:pPr>
            <w:r>
              <w:rPr>
                <w:sz w:val="24"/>
              </w:rPr>
              <w:t>/</w:t>
            </w:r>
          </w:p>
        </w:tc>
        <w:tc>
          <w:tcPr>
            <w:tcW w:w="1612" w:type="dxa"/>
            <w:vAlign w:val="center"/>
          </w:tcPr>
          <w:p>
            <w:pPr>
              <w:adjustRightInd w:val="0"/>
              <w:snapToGrid w:val="0"/>
              <w:jc w:val="center"/>
              <w:rPr>
                <w:sz w:val="24"/>
              </w:rPr>
            </w:pPr>
            <w:r>
              <w:rPr>
                <w:sz w:val="24"/>
              </w:rPr>
              <w:t>/</w:t>
            </w:r>
          </w:p>
        </w:tc>
        <w:tc>
          <w:tcPr>
            <w:tcW w:w="1679" w:type="dxa"/>
            <w:vAlign w:val="center"/>
          </w:tcPr>
          <w:p>
            <w:pPr>
              <w:adjustRightInd w:val="0"/>
              <w:snapToGrid w:val="0"/>
              <w:jc w:val="center"/>
              <w:rPr>
                <w:sz w:val="24"/>
              </w:rPr>
            </w:pPr>
            <w:r>
              <w:rPr>
                <w:sz w:val="24"/>
              </w:rPr>
              <w:t>/</w:t>
            </w:r>
          </w:p>
        </w:tc>
        <w:tc>
          <w:tcPr>
            <w:tcW w:w="2726" w:type="dxa"/>
            <w:vAlign w:val="center"/>
          </w:tcPr>
          <w:p>
            <w:pPr>
              <w:adjustRightInd w:val="0"/>
              <w:snapToGrid w:val="0"/>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202" w:type="dxa"/>
            <w:vAlign w:val="center"/>
          </w:tcPr>
          <w:p>
            <w:pPr>
              <w:adjustRightInd w:val="0"/>
              <w:snapToGrid w:val="0"/>
              <w:jc w:val="center"/>
              <w:rPr>
                <w:sz w:val="24"/>
              </w:rPr>
            </w:pPr>
            <w:r>
              <w:rPr>
                <w:sz w:val="24"/>
              </w:rPr>
              <w:t>固体废物</w:t>
            </w:r>
          </w:p>
        </w:tc>
        <w:tc>
          <w:tcPr>
            <w:tcW w:w="7598" w:type="dxa"/>
            <w:gridSpan w:val="4"/>
            <w:vAlign w:val="center"/>
          </w:tcPr>
          <w:p>
            <w:pPr>
              <w:adjustRightInd w:val="0"/>
              <w:snapToGrid w:val="0"/>
              <w:spacing w:before="120" w:beforeLines="50" w:line="360" w:lineRule="auto"/>
              <w:jc w:val="left"/>
              <w:rPr>
                <w:sz w:val="24"/>
              </w:rPr>
            </w:pPr>
            <w:r>
              <w:rPr>
                <w:sz w:val="24"/>
              </w:rPr>
              <w:t>实验过程产生的实验废液、废试剂瓶、废手套、废气处理产生的废活性炭等危险废物由专有容器收集后统一暂存于危废贮存库，定期交有资质单位处置；废包装等一般固废收集后外售；生活垃圾定期收集后由环卫部门外运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02" w:type="dxa"/>
            <w:vAlign w:val="center"/>
          </w:tcPr>
          <w:p>
            <w:pPr>
              <w:adjustRightInd w:val="0"/>
              <w:snapToGrid w:val="0"/>
              <w:jc w:val="center"/>
              <w:rPr>
                <w:sz w:val="24"/>
              </w:rPr>
            </w:pPr>
            <w:r>
              <w:rPr>
                <w:sz w:val="24"/>
              </w:rPr>
              <w:t>土壤及地下水污染防治措施</w:t>
            </w:r>
          </w:p>
        </w:tc>
        <w:tc>
          <w:tcPr>
            <w:tcW w:w="7598" w:type="dxa"/>
            <w:gridSpan w:val="4"/>
            <w:vAlign w:val="center"/>
          </w:tcPr>
          <w:p>
            <w:pPr>
              <w:adjustRightInd w:val="0"/>
              <w:snapToGrid w:val="0"/>
              <w:spacing w:line="360" w:lineRule="auto"/>
              <w:jc w:val="left"/>
              <w:rPr>
                <w:sz w:val="24"/>
              </w:rPr>
            </w:pPr>
            <w:r>
              <w:rPr>
                <w:sz w:val="24"/>
              </w:rPr>
              <w:t>项目采取铺设地砖，危废贮存库、仓库地面进行防渗处理，并设置防渗托盘等措施。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202" w:type="dxa"/>
            <w:vAlign w:val="center"/>
          </w:tcPr>
          <w:p>
            <w:pPr>
              <w:adjustRightInd w:val="0"/>
              <w:snapToGrid w:val="0"/>
              <w:jc w:val="center"/>
              <w:rPr>
                <w:sz w:val="24"/>
              </w:rPr>
            </w:pPr>
            <w:r>
              <w:rPr>
                <w:sz w:val="24"/>
              </w:rPr>
              <w:t>生态保护措施</w:t>
            </w:r>
          </w:p>
        </w:tc>
        <w:tc>
          <w:tcPr>
            <w:tcW w:w="7598" w:type="dxa"/>
            <w:gridSpan w:val="4"/>
            <w:vAlign w:val="center"/>
          </w:tcPr>
          <w:p>
            <w:pPr>
              <w:adjustRightInd w:val="0"/>
              <w:snapToGrid w:val="0"/>
              <w:spacing w:line="360" w:lineRule="auto"/>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202" w:type="dxa"/>
            <w:vAlign w:val="center"/>
          </w:tcPr>
          <w:p>
            <w:pPr>
              <w:adjustRightInd w:val="0"/>
              <w:snapToGrid w:val="0"/>
              <w:jc w:val="center"/>
              <w:rPr>
                <w:spacing w:val="-8"/>
                <w:sz w:val="24"/>
              </w:rPr>
            </w:pPr>
            <w:r>
              <w:rPr>
                <w:spacing w:val="-8"/>
                <w:sz w:val="24"/>
              </w:rPr>
              <w:t>环境风险</w:t>
            </w:r>
          </w:p>
          <w:p>
            <w:pPr>
              <w:adjustRightInd w:val="0"/>
              <w:snapToGrid w:val="0"/>
              <w:jc w:val="center"/>
              <w:rPr>
                <w:spacing w:val="-8"/>
                <w:sz w:val="24"/>
              </w:rPr>
            </w:pPr>
            <w:r>
              <w:rPr>
                <w:spacing w:val="-8"/>
                <w:sz w:val="24"/>
              </w:rPr>
              <w:t>防范措施</w:t>
            </w:r>
          </w:p>
        </w:tc>
        <w:tc>
          <w:tcPr>
            <w:tcW w:w="7598" w:type="dxa"/>
            <w:gridSpan w:val="4"/>
            <w:vAlign w:val="center"/>
          </w:tcPr>
          <w:p>
            <w:pPr>
              <w:spacing w:line="360" w:lineRule="auto"/>
            </w:pPr>
            <w:r>
              <w:rPr>
                <w:sz w:val="24"/>
              </w:rPr>
              <w:t>实验制订操作程序和动作标准，实现标准化操作；化学试剂须严格按其性质如剧毒、易燃、易挥发、强腐蚀品等和贮存要求分类存放；实验员必须每周检查一次温湿度表并记录。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85" w:hRule="atLeast"/>
          <w:jc w:val="center"/>
        </w:trPr>
        <w:tc>
          <w:tcPr>
            <w:tcW w:w="1202" w:type="dxa"/>
            <w:vAlign w:val="center"/>
          </w:tcPr>
          <w:p>
            <w:pPr>
              <w:adjustRightInd w:val="0"/>
              <w:snapToGrid w:val="0"/>
              <w:jc w:val="center"/>
              <w:rPr>
                <w:spacing w:val="-8"/>
                <w:sz w:val="24"/>
              </w:rPr>
            </w:pPr>
            <w:r>
              <w:rPr>
                <w:spacing w:val="-8"/>
                <w:sz w:val="24"/>
              </w:rPr>
              <w:t>其他环境</w:t>
            </w:r>
          </w:p>
          <w:p>
            <w:pPr>
              <w:adjustRightInd w:val="0"/>
              <w:snapToGrid w:val="0"/>
              <w:jc w:val="center"/>
              <w:rPr>
                <w:spacing w:val="-8"/>
                <w:sz w:val="24"/>
              </w:rPr>
            </w:pPr>
            <w:r>
              <w:rPr>
                <w:spacing w:val="-8"/>
                <w:sz w:val="24"/>
              </w:rPr>
              <w:t>管理要求</w:t>
            </w:r>
          </w:p>
        </w:tc>
        <w:tc>
          <w:tcPr>
            <w:tcW w:w="7598" w:type="dxa"/>
            <w:gridSpan w:val="4"/>
            <w:vAlign w:val="center"/>
          </w:tcPr>
          <w:p>
            <w:pPr>
              <w:adjustRightInd w:val="0"/>
              <w:snapToGrid w:val="0"/>
              <w:spacing w:line="360" w:lineRule="auto"/>
              <w:ind w:firstLine="480" w:firstLineChars="200"/>
              <w:rPr>
                <w:kern w:val="0"/>
                <w:sz w:val="24"/>
              </w:rPr>
            </w:pPr>
            <w:r>
              <w:rPr>
                <w:kern w:val="0"/>
                <w:sz w:val="24"/>
              </w:rPr>
              <w:t>一、</w:t>
            </w:r>
            <w:r>
              <w:rPr>
                <w:rFonts w:asciiTheme="minorEastAsia" w:hAnsiTheme="minorEastAsia" w:eastAsiaTheme="minorEastAsia"/>
                <w:kern w:val="0"/>
                <w:sz w:val="24"/>
              </w:rPr>
              <w:t>“三同时”制度：</w:t>
            </w:r>
          </w:p>
          <w:p>
            <w:pPr>
              <w:spacing w:line="360" w:lineRule="auto"/>
              <w:ind w:firstLine="480" w:firstLineChars="200"/>
              <w:outlineLvl w:val="2"/>
              <w:rPr>
                <w:sz w:val="24"/>
                <w:szCs w:val="32"/>
              </w:rPr>
            </w:pPr>
            <w:r>
              <w:rPr>
                <w:sz w:val="24"/>
                <w:szCs w:val="32"/>
              </w:rPr>
              <w:t>按照设计和建设单位认真落实废气、污(废)水、固废、噪声等防治措施。</w:t>
            </w:r>
          </w:p>
          <w:p>
            <w:pPr>
              <w:widowControl/>
              <w:adjustRightInd w:val="0"/>
              <w:snapToGrid w:val="0"/>
              <w:spacing w:line="360" w:lineRule="auto"/>
              <w:ind w:firstLine="480" w:firstLineChars="200"/>
              <w:rPr>
                <w:kern w:val="0"/>
                <w:sz w:val="24"/>
                <w:lang w:bidi="ar"/>
              </w:rPr>
            </w:pPr>
            <w:r>
              <w:rPr>
                <w:kern w:val="0"/>
                <w:sz w:val="24"/>
                <w:lang w:bidi="ar"/>
              </w:rPr>
              <w:t>二、环境管理制度：</w:t>
            </w:r>
          </w:p>
          <w:p>
            <w:pPr>
              <w:widowControl/>
              <w:adjustRightInd w:val="0"/>
              <w:snapToGrid w:val="0"/>
              <w:spacing w:line="360" w:lineRule="auto"/>
              <w:ind w:firstLine="480" w:firstLineChars="200"/>
              <w:rPr>
                <w:kern w:val="0"/>
                <w:sz w:val="24"/>
              </w:rPr>
            </w:pPr>
            <w:r>
              <w:rPr>
                <w:kern w:val="0"/>
                <w:sz w:val="24"/>
              </w:rPr>
              <w:t>加强环保设施的管理，落实废气、固废等的治理。建立岗位责任制和工作台账制度，对污染防治情况进行定时监测，及时掌握污染治理设施的运行情况，做好各污染物的达标排放工作。</w:t>
            </w:r>
          </w:p>
          <w:p>
            <w:pPr>
              <w:widowControl/>
              <w:adjustRightInd w:val="0"/>
              <w:snapToGrid w:val="0"/>
              <w:spacing w:line="360" w:lineRule="auto"/>
              <w:ind w:left="482"/>
              <w:rPr>
                <w:kern w:val="0"/>
                <w:sz w:val="24"/>
                <w:lang w:bidi="ar"/>
              </w:rPr>
            </w:pPr>
            <w:r>
              <w:rPr>
                <w:kern w:val="0"/>
                <w:sz w:val="24"/>
                <w:lang w:bidi="ar"/>
              </w:rPr>
              <w:t>三、排污许可制度：</w:t>
            </w:r>
          </w:p>
          <w:p>
            <w:pPr>
              <w:widowControl/>
              <w:adjustRightInd w:val="0"/>
              <w:snapToGrid w:val="0"/>
              <w:spacing w:line="360" w:lineRule="auto"/>
              <w:ind w:firstLine="480" w:firstLineChars="200"/>
              <w:rPr>
                <w:kern w:val="0"/>
                <w:sz w:val="24"/>
                <w:lang w:bidi="ar"/>
              </w:rPr>
            </w:pPr>
            <w:r>
              <w:rPr>
                <w:kern w:val="0"/>
                <w:sz w:val="24"/>
              </w:rPr>
              <w:t>根据《固定污染源排污许可分类管理名录（2019年版）》要求，</w:t>
            </w:r>
            <w:r>
              <w:rPr>
                <w:kern w:val="0"/>
                <w:sz w:val="24"/>
                <w:lang w:bidi="ar"/>
              </w:rPr>
              <w:t>建设单位应及时填报、申领排污许可证，合法排污。</w:t>
            </w:r>
          </w:p>
          <w:p>
            <w:pPr>
              <w:widowControl/>
              <w:adjustRightInd w:val="0"/>
              <w:snapToGrid w:val="0"/>
              <w:spacing w:line="360" w:lineRule="auto"/>
              <w:ind w:left="482"/>
              <w:rPr>
                <w:kern w:val="0"/>
                <w:sz w:val="24"/>
                <w:lang w:bidi="ar"/>
              </w:rPr>
            </w:pPr>
            <w:r>
              <w:rPr>
                <w:kern w:val="0"/>
                <w:sz w:val="24"/>
                <w:lang w:bidi="ar"/>
              </w:rPr>
              <w:t>四、环境监测：</w:t>
            </w:r>
          </w:p>
          <w:p>
            <w:pPr>
              <w:widowControl/>
              <w:adjustRightInd w:val="0"/>
              <w:snapToGrid w:val="0"/>
              <w:spacing w:line="360" w:lineRule="auto"/>
              <w:ind w:firstLine="480" w:firstLineChars="200"/>
              <w:rPr>
                <w:sz w:val="24"/>
              </w:rPr>
            </w:pPr>
            <w:r>
              <w:rPr>
                <w:sz w:val="24"/>
              </w:rPr>
              <w:t>按照监测计划的频次和要求进行监测，并</w:t>
            </w:r>
            <w:r>
              <w:rPr>
                <w:kern w:val="0"/>
                <w:sz w:val="24"/>
                <w:lang w:bidi="ar"/>
              </w:rPr>
              <w:t>保留监测原始记录，每次数据应及时由专人整理、统计，如有异常，立即向上级有关部门通报，并做好监测资料的归档、备查工作，建议建设单位定期将监测数据上墙公示，接受公众监督。</w:t>
            </w:r>
          </w:p>
          <w:p>
            <w:pPr>
              <w:widowControl/>
              <w:adjustRightInd w:val="0"/>
              <w:snapToGrid w:val="0"/>
              <w:spacing w:line="360" w:lineRule="auto"/>
              <w:ind w:left="482"/>
              <w:rPr>
                <w:kern w:val="0"/>
                <w:sz w:val="24"/>
                <w:lang w:bidi="ar"/>
              </w:rPr>
            </w:pPr>
            <w:r>
              <w:rPr>
                <w:kern w:val="0"/>
                <w:sz w:val="24"/>
                <w:lang w:bidi="ar"/>
              </w:rPr>
              <w:t>五、竣工验收</w:t>
            </w:r>
          </w:p>
          <w:p>
            <w:pPr>
              <w:pStyle w:val="43"/>
              <w:spacing w:line="360" w:lineRule="auto"/>
              <w:ind w:firstLine="480" w:firstLineChars="200"/>
              <w:jc w:val="both"/>
              <w:rPr>
                <w:snapToGrid/>
                <w:kern w:val="0"/>
                <w:sz w:val="24"/>
                <w:lang w:bidi="ar"/>
              </w:rPr>
            </w:pPr>
            <w:r>
              <w:rPr>
                <w:snapToGrid/>
                <w:kern w:val="0"/>
                <w:sz w:val="24"/>
                <w:lang w:bidi="ar"/>
              </w:rPr>
              <w:t>根据《建设项目竣工环境保护验收暂行办法》（国环规环评[2017]4号），建设单位自行验收。验收合格后，方可投入生产或者使用。</w:t>
            </w:r>
          </w:p>
          <w:p>
            <w:pPr>
              <w:pStyle w:val="43"/>
              <w:spacing w:line="360" w:lineRule="auto"/>
              <w:ind w:firstLine="480" w:firstLineChars="200"/>
              <w:jc w:val="both"/>
              <w:rPr>
                <w:snapToGrid/>
                <w:kern w:val="0"/>
                <w:sz w:val="24"/>
                <w:lang w:bidi="ar"/>
              </w:rPr>
            </w:pPr>
          </w:p>
          <w:p>
            <w:pPr>
              <w:pStyle w:val="43"/>
              <w:spacing w:line="360" w:lineRule="auto"/>
              <w:ind w:firstLine="420" w:firstLineChars="200"/>
              <w:jc w:val="both"/>
              <w:rPr>
                <w:sz w:val="24"/>
              </w:rPr>
            </w:pPr>
            <w:r>
              <w:rPr>
                <w:szCs w:val="21"/>
              </w:rPr>
              <w:object>
                <v:shape id="_x0000_i1025" o:spt="75" type="#_x0000_t75" style="height:252.95pt;width:331.85pt;" o:ole="t" filled="f" coordsize="21600,21600">
                  <v:path/>
                  <v:fill on="f" focussize="0,0"/>
                  <v:stroke/>
                  <v:imagedata r:id="rId18" o:title=""/>
                  <o:lock v:ext="edit" aspectratio="f"/>
                  <w10:wrap type="none"/>
                  <w10:anchorlock/>
                </v:shape>
                <o:OLEObject Type="Embed" ProgID="Visio.Drawing.11" ShapeID="_x0000_i1025" DrawAspect="Content" ObjectID="_1468075725" r:id="rId17">
                  <o:LockedField>false</o:LockedField>
                </o:OLEObject>
              </w:object>
            </w:r>
          </w:p>
          <w:p>
            <w:pPr>
              <w:widowControl/>
              <w:adjustRightInd w:val="0"/>
              <w:snapToGrid w:val="0"/>
              <w:spacing w:line="360" w:lineRule="auto"/>
              <w:ind w:left="482"/>
              <w:rPr>
                <w:kern w:val="0"/>
                <w:sz w:val="24"/>
                <w:lang w:bidi="ar"/>
              </w:rPr>
            </w:pPr>
            <w:r>
              <w:rPr>
                <w:kern w:val="0"/>
                <w:sz w:val="24"/>
                <w:lang w:bidi="ar"/>
              </w:rPr>
              <w:t>六、排污口规范化</w:t>
            </w:r>
          </w:p>
          <w:p>
            <w:pPr>
              <w:pStyle w:val="4"/>
              <w:adjustRightInd w:val="0"/>
              <w:snapToGrid w:val="0"/>
              <w:ind w:firstLine="480"/>
              <w:rPr>
                <w:szCs w:val="24"/>
              </w:rPr>
            </w:pPr>
            <w:r>
              <w:rPr>
                <w:kern w:val="0"/>
                <w:szCs w:val="24"/>
                <w:lang w:bidi="ar"/>
              </w:rPr>
              <w:t>建设单位应在各个排污口处树立标志牌，建立排污口管理的专门档案：排污口性质和编号，位置，排放主要污染物种类、数量、浓度，排放去向，达标情况，治理设施运行情况。</w:t>
            </w:r>
          </w:p>
          <w:p>
            <w:pPr>
              <w:pStyle w:val="4"/>
              <w:adjustRightInd w:val="0"/>
              <w:snapToGrid w:val="0"/>
              <w:ind w:firstLine="0" w:firstLineChars="0"/>
              <w:rPr>
                <w:szCs w:val="24"/>
              </w:rPr>
            </w:pPr>
          </w:p>
          <w:p>
            <w:pPr>
              <w:rPr>
                <w:sz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4"/>
              <w:adjustRightInd w:val="0"/>
              <w:snapToGrid w:val="0"/>
              <w:ind w:firstLine="0" w:firstLineChars="0"/>
              <w:rPr>
                <w:szCs w:val="24"/>
              </w:rPr>
            </w:pPr>
          </w:p>
          <w:p>
            <w:pPr>
              <w:pStyle w:val="31"/>
              <w:jc w:val="both"/>
              <w:rPr>
                <w:rFonts w:ascii="Times New Roman" w:cs="Times New Roman"/>
                <w:color w:val="auto"/>
              </w:rPr>
            </w:pPr>
          </w:p>
        </w:tc>
      </w:tr>
    </w:tbl>
    <w:p>
      <w:pPr>
        <w:pStyle w:val="21"/>
        <w:jc w:val="center"/>
        <w:outlineLvl w:val="0"/>
        <w:rPr>
          <w:rFonts w:ascii="Times New Roman" w:hAnsi="Times New Roman" w:eastAsia="黑体"/>
          <w:snapToGrid w:val="0"/>
          <w:sz w:val="30"/>
          <w:szCs w:val="30"/>
        </w:rPr>
      </w:pPr>
      <w:r>
        <w:rPr>
          <w:rFonts w:ascii="Times New Roman" w:hAnsi="Times New Roman"/>
          <w:snapToGrid w:val="0"/>
        </w:rPr>
        <w:br w:type="page"/>
      </w:r>
      <w:bookmarkStart w:id="14" w:name="_Toc117495863"/>
      <w:r>
        <w:rPr>
          <w:rFonts w:ascii="Times New Roman" w:hAnsi="Times New Roman" w:eastAsia="黑体"/>
          <w:snapToGrid w:val="0"/>
          <w:sz w:val="30"/>
          <w:szCs w:val="30"/>
        </w:rPr>
        <w:t>六、结论</w:t>
      </w:r>
      <w:bookmarkEnd w:id="14"/>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autoSpaceDE w:val="0"/>
              <w:autoSpaceDN w:val="0"/>
              <w:adjustRightInd w:val="0"/>
              <w:snapToGrid w:val="0"/>
              <w:spacing w:before="120" w:beforeLines="50" w:line="360" w:lineRule="auto"/>
              <w:ind w:firstLine="480" w:firstLineChars="200"/>
              <w:rPr>
                <w:sz w:val="24"/>
              </w:rPr>
            </w:pPr>
            <w:r>
              <w:rPr>
                <w:sz w:val="24"/>
              </w:rPr>
              <w:t>本项目的建设符合国家及地方产业政策，符合当地规划要求，选址合理，无重大制约因素。建设单位在全面落实本报告表中提出的各项环境管理和污染防治措施，确保污染防治设施正常运转，所排放污染物满足达标排放要求的前提下，从环境保护角度分析，环境影响可行。</w:t>
            </w:r>
          </w:p>
          <w:p>
            <w:pPr>
              <w:spacing w:line="360" w:lineRule="auto"/>
              <w:rPr>
                <w:sz w:val="24"/>
              </w:rPr>
            </w:pPr>
          </w:p>
        </w:tc>
      </w:tr>
    </w:tbl>
    <w:p>
      <w:pPr>
        <w:sectPr>
          <w:pgSz w:w="11906" w:h="16838"/>
          <w:pgMar w:top="1701" w:right="1531" w:bottom="1701" w:left="1531" w:header="851" w:footer="851" w:gutter="0"/>
          <w:cols w:space="720" w:num="1"/>
          <w:docGrid w:linePitch="312" w:charSpace="0"/>
        </w:sectPr>
      </w:pPr>
    </w:p>
    <w:p>
      <w:pPr>
        <w:pStyle w:val="21"/>
        <w:adjustRightInd w:val="0"/>
        <w:snapToGrid w:val="0"/>
        <w:spacing w:before="0" w:beforeAutospacing="0" w:after="0" w:afterAutospacing="0"/>
        <w:outlineLvl w:val="0"/>
        <w:rPr>
          <w:rFonts w:ascii="Times New Roman" w:hAnsi="Times New Roman" w:eastAsia="黑体"/>
          <w:snapToGrid w:val="0"/>
          <w:sz w:val="32"/>
          <w:szCs w:val="32"/>
        </w:rPr>
      </w:pPr>
      <w:bookmarkStart w:id="15" w:name="_Toc117495864"/>
      <w:r>
        <w:rPr>
          <w:rFonts w:ascii="Times New Roman" w:hAnsi="Times New Roman" w:eastAsia="黑体"/>
          <w:snapToGrid w:val="0"/>
          <w:sz w:val="32"/>
          <w:szCs w:val="32"/>
        </w:rPr>
        <w:t>附表</w:t>
      </w:r>
      <w:bookmarkEnd w:id="15"/>
    </w:p>
    <w:p>
      <w:pPr>
        <w:pStyle w:val="21"/>
        <w:adjustRightInd w:val="0"/>
        <w:snapToGrid w:val="0"/>
        <w:spacing w:before="0" w:beforeAutospacing="0" w:after="0" w:afterAutospacing="0"/>
        <w:jc w:val="center"/>
        <w:outlineLvl w:val="0"/>
        <w:rPr>
          <w:rFonts w:ascii="Times New Roman" w:hAnsi="Times New Roman" w:eastAsia="方正小标宋_GBK"/>
          <w:snapToGrid w:val="0"/>
          <w:sz w:val="38"/>
          <w:szCs w:val="38"/>
        </w:rPr>
      </w:pPr>
      <w:bookmarkStart w:id="16" w:name="_Toc117495865"/>
      <w:r>
        <w:rPr>
          <w:rFonts w:ascii="Times New Roman" w:hAnsi="Times New Roman" w:eastAsia="方正小标宋_GBK"/>
          <w:snapToGrid w:val="0"/>
          <w:sz w:val="38"/>
          <w:szCs w:val="38"/>
        </w:rPr>
        <w:t>建设项目污染物排放量汇总表</w:t>
      </w:r>
      <w:bookmarkEnd w:id="16"/>
    </w:p>
    <w:tbl>
      <w:tblPr>
        <w:tblStyle w:val="24"/>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814"/>
        <w:gridCol w:w="9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tcBorders>
              <w:tl2br w:val="single" w:color="auto" w:sz="4" w:space="0"/>
            </w:tcBorders>
            <w:tcMar>
              <w:left w:w="28" w:type="dxa"/>
              <w:right w:w="28" w:type="dxa"/>
            </w:tcMar>
            <w:vAlign w:val="center"/>
          </w:tcPr>
          <w:p>
            <w:pPr>
              <w:pStyle w:val="41"/>
              <w:spacing w:beforeLines="0" w:afterLines="0" w:line="240" w:lineRule="auto"/>
              <w:jc w:val="right"/>
              <w:rPr>
                <w:rFonts w:ascii="Times New Roman" w:eastAsia="黑体"/>
                <w:snapToGrid w:val="0"/>
                <w:spacing w:val="-6"/>
                <w:kern w:val="21"/>
                <w:szCs w:val="21"/>
              </w:rPr>
            </w:pPr>
            <w:r>
              <w:rPr>
                <w:rFonts w:ascii="Times New Roman" w:eastAsia="黑体"/>
                <w:snapToGrid w:val="0"/>
                <w:spacing w:val="-6"/>
                <w:kern w:val="21"/>
                <w:szCs w:val="21"/>
              </w:rPr>
              <w:t>项目</w:t>
            </w:r>
          </w:p>
          <w:p>
            <w:pPr>
              <w:pStyle w:val="41"/>
              <w:spacing w:beforeLines="0" w:afterLines="0" w:line="240" w:lineRule="auto"/>
              <w:jc w:val="both"/>
              <w:rPr>
                <w:rFonts w:ascii="Times New Roman" w:eastAsia="黑体"/>
                <w:snapToGrid w:val="0"/>
                <w:spacing w:val="-6"/>
                <w:kern w:val="21"/>
                <w:szCs w:val="21"/>
              </w:rPr>
            </w:pPr>
            <w:r>
              <w:rPr>
                <w:rFonts w:ascii="Times New Roman" w:eastAsia="黑体"/>
                <w:snapToGrid w:val="0"/>
                <w:spacing w:val="-6"/>
                <w:kern w:val="21"/>
                <w:szCs w:val="21"/>
              </w:rPr>
              <w:t>分类</w:t>
            </w:r>
          </w:p>
        </w:tc>
        <w:tc>
          <w:tcPr>
            <w:tcW w:w="1417" w:type="dxa"/>
            <w:tcMar>
              <w:left w:w="28" w:type="dxa"/>
              <w:right w:w="28" w:type="dxa"/>
            </w:tcMar>
            <w:vAlign w:val="center"/>
          </w:tcPr>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污染物名称</w:t>
            </w:r>
          </w:p>
        </w:tc>
        <w:tc>
          <w:tcPr>
            <w:tcW w:w="1701" w:type="dxa"/>
            <w:tcMar>
              <w:left w:w="28" w:type="dxa"/>
              <w:right w:w="28" w:type="dxa"/>
            </w:tcMar>
            <w:vAlign w:val="center"/>
          </w:tcPr>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hint="eastAsia" w:hAnsi="宋体" w:cs="宋体"/>
                <w:kern w:val="2"/>
                <w:szCs w:val="21"/>
              </w:rPr>
              <w:t>①</w:t>
            </w:r>
            <w:r>
              <w:rPr>
                <w:rFonts w:ascii="Times New Roman" w:eastAsia="黑体"/>
                <w:snapToGrid w:val="0"/>
                <w:spacing w:val="-6"/>
                <w:kern w:val="21"/>
                <w:szCs w:val="21"/>
              </w:rPr>
              <w:fldChar w:fldCharType="end"/>
            </w:r>
          </w:p>
        </w:tc>
        <w:tc>
          <w:tcPr>
            <w:tcW w:w="1276" w:type="dxa"/>
            <w:tcMar>
              <w:left w:w="28" w:type="dxa"/>
              <w:right w:w="28" w:type="dxa"/>
            </w:tcMar>
            <w:vAlign w:val="center"/>
          </w:tcPr>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许可排放量</w:t>
            </w:r>
          </w:p>
          <w:p>
            <w:pPr>
              <w:pStyle w:val="41"/>
              <w:spacing w:beforeLines="0" w:afterLines="0"/>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hint="eastAsia" w:hAnsi="宋体" w:cs="宋体"/>
                <w:snapToGrid w:val="0"/>
                <w:spacing w:val="-6"/>
                <w:kern w:val="21"/>
                <w:szCs w:val="21"/>
              </w:rPr>
              <w:t>②</w:t>
            </w:r>
            <w:r>
              <w:rPr>
                <w:rFonts w:ascii="Times New Roman" w:eastAsia="黑体"/>
                <w:snapToGrid w:val="0"/>
                <w:spacing w:val="-6"/>
                <w:kern w:val="21"/>
                <w:szCs w:val="21"/>
              </w:rPr>
              <w:fldChar w:fldCharType="end"/>
            </w:r>
          </w:p>
        </w:tc>
        <w:tc>
          <w:tcPr>
            <w:tcW w:w="1701" w:type="dxa"/>
            <w:tcMar>
              <w:left w:w="28" w:type="dxa"/>
              <w:right w:w="28" w:type="dxa"/>
            </w:tcMar>
            <w:vAlign w:val="center"/>
          </w:tcPr>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在建工程</w:t>
            </w:r>
          </w:p>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hint="eastAsia" w:hAnsi="宋体" w:cs="宋体"/>
                <w:kern w:val="2"/>
                <w:szCs w:val="21"/>
              </w:rPr>
              <w:t>③</w:t>
            </w:r>
            <w:r>
              <w:rPr>
                <w:rFonts w:ascii="Times New Roman" w:eastAsia="黑体"/>
                <w:snapToGrid w:val="0"/>
                <w:spacing w:val="-6"/>
                <w:kern w:val="21"/>
                <w:szCs w:val="21"/>
              </w:rPr>
              <w:fldChar w:fldCharType="end"/>
            </w:r>
          </w:p>
        </w:tc>
        <w:tc>
          <w:tcPr>
            <w:tcW w:w="1559" w:type="dxa"/>
            <w:tcMar>
              <w:left w:w="28" w:type="dxa"/>
              <w:right w:w="28" w:type="dxa"/>
            </w:tcMar>
            <w:vAlign w:val="center"/>
          </w:tcPr>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本项目</w:t>
            </w:r>
          </w:p>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hint="eastAsia" w:hAnsi="宋体" w:cs="宋体"/>
                <w:kern w:val="2"/>
                <w:szCs w:val="21"/>
              </w:rPr>
              <w:t>④</w:t>
            </w:r>
            <w:r>
              <w:rPr>
                <w:rFonts w:ascii="Times New Roman" w:eastAsia="黑体"/>
                <w:snapToGrid w:val="0"/>
                <w:spacing w:val="-6"/>
                <w:kern w:val="21"/>
                <w:szCs w:val="21"/>
              </w:rPr>
              <w:fldChar w:fldCharType="end"/>
            </w:r>
          </w:p>
        </w:tc>
        <w:tc>
          <w:tcPr>
            <w:tcW w:w="1761" w:type="dxa"/>
            <w:tcMar>
              <w:left w:w="28" w:type="dxa"/>
              <w:right w:w="28" w:type="dxa"/>
            </w:tcMar>
            <w:vAlign w:val="center"/>
          </w:tcPr>
          <w:p>
            <w:pPr>
              <w:pStyle w:val="41"/>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以新带老削减量</w:t>
            </w:r>
          </w:p>
          <w:p>
            <w:pPr>
              <w:pStyle w:val="41"/>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hint="eastAsia" w:hAnsi="宋体" w:cs="宋体"/>
                <w:kern w:val="2"/>
                <w:szCs w:val="21"/>
              </w:rPr>
              <w:t>⑤</w:t>
            </w:r>
            <w:r>
              <w:rPr>
                <w:rFonts w:ascii="Times New Roman" w:eastAsia="黑体"/>
                <w:snapToGrid w:val="0"/>
                <w:spacing w:val="-16"/>
                <w:kern w:val="21"/>
                <w:szCs w:val="21"/>
              </w:rPr>
              <w:fldChar w:fldCharType="end"/>
            </w:r>
          </w:p>
        </w:tc>
        <w:tc>
          <w:tcPr>
            <w:tcW w:w="1814" w:type="dxa"/>
            <w:tcMar>
              <w:left w:w="28" w:type="dxa"/>
              <w:right w:w="28" w:type="dxa"/>
            </w:tcMar>
            <w:vAlign w:val="center"/>
          </w:tcPr>
          <w:p>
            <w:pPr>
              <w:pStyle w:val="41"/>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本项目建成后</w:t>
            </w:r>
          </w:p>
          <w:p>
            <w:pPr>
              <w:pStyle w:val="41"/>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hint="eastAsia" w:hAnsi="宋体" w:cs="宋体"/>
                <w:kern w:val="2"/>
                <w:szCs w:val="21"/>
              </w:rPr>
              <w:t>⑥</w:t>
            </w:r>
            <w:r>
              <w:rPr>
                <w:rFonts w:ascii="Times New Roman" w:eastAsia="黑体"/>
                <w:snapToGrid w:val="0"/>
                <w:spacing w:val="-16"/>
                <w:kern w:val="21"/>
                <w:szCs w:val="21"/>
              </w:rPr>
              <w:fldChar w:fldCharType="end"/>
            </w:r>
          </w:p>
        </w:tc>
        <w:tc>
          <w:tcPr>
            <w:tcW w:w="971" w:type="dxa"/>
            <w:tcMar>
              <w:left w:w="28" w:type="dxa"/>
              <w:right w:w="28" w:type="dxa"/>
            </w:tcMar>
            <w:vAlign w:val="center"/>
          </w:tcPr>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变化量</w:t>
            </w:r>
          </w:p>
          <w:p>
            <w:pPr>
              <w:pStyle w:val="41"/>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hint="eastAsia" w:hAnsi="宋体" w:cs="宋体"/>
                <w:kern w:val="2"/>
                <w:szCs w:val="21"/>
              </w:rPr>
              <w:t>⑦</w:t>
            </w:r>
            <w:r>
              <w:rPr>
                <w:rFonts w:ascii="Times New Roman"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restart"/>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废气</w:t>
            </w:r>
          </w:p>
        </w:tc>
        <w:tc>
          <w:tcPr>
            <w:tcW w:w="1417" w:type="dxa"/>
            <w:vAlign w:val="center"/>
          </w:tcPr>
          <w:p>
            <w:pPr>
              <w:pStyle w:val="41"/>
              <w:spacing w:beforeLines="0" w:afterLines="0" w:line="240" w:lineRule="auto"/>
              <w:rPr>
                <w:rFonts w:ascii="Times New Roman"/>
                <w:snapToGrid w:val="0"/>
                <w:kern w:val="21"/>
                <w:szCs w:val="21"/>
              </w:rPr>
            </w:pPr>
            <w:r>
              <w:rPr>
                <w:rFonts w:ascii="Times New Roman"/>
                <w:bCs/>
                <w:spacing w:val="-10"/>
                <w:szCs w:val="21"/>
              </w:rPr>
              <w:t>非甲烷总烃</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zCs w:val="21"/>
              </w:rPr>
            </w:pPr>
            <w:r>
              <w:rPr>
                <w:rFonts w:hint="eastAsia" w:ascii="Times New Roman"/>
                <w:szCs w:val="21"/>
              </w:rPr>
              <w:t>0.1195</w:t>
            </w:r>
          </w:p>
        </w:tc>
        <w:tc>
          <w:tcPr>
            <w:tcW w:w="1761" w:type="dxa"/>
            <w:vAlign w:val="center"/>
          </w:tcPr>
          <w:p>
            <w:pPr>
              <w:pStyle w:val="41"/>
              <w:spacing w:beforeLines="0" w:afterLines="0" w:line="240" w:lineRule="auto"/>
              <w:rPr>
                <w:rFonts w:ascii="Times New Roman"/>
                <w:szCs w:val="21"/>
              </w:rPr>
            </w:pPr>
            <w:r>
              <w:rPr>
                <w:rFonts w:ascii="Times New Roman"/>
                <w:szCs w:val="21"/>
              </w:rPr>
              <w:t>/</w:t>
            </w:r>
          </w:p>
        </w:tc>
        <w:tc>
          <w:tcPr>
            <w:tcW w:w="1814" w:type="dxa"/>
            <w:vAlign w:val="center"/>
          </w:tcPr>
          <w:p>
            <w:pPr>
              <w:pStyle w:val="41"/>
              <w:spacing w:beforeLines="0" w:afterLines="0" w:line="240" w:lineRule="auto"/>
              <w:rPr>
                <w:rFonts w:ascii="Times New Roman"/>
                <w:szCs w:val="21"/>
              </w:rPr>
            </w:pPr>
            <w:r>
              <w:rPr>
                <w:rFonts w:hint="eastAsia" w:ascii="Times New Roman"/>
                <w:szCs w:val="21"/>
              </w:rPr>
              <w:t>0.1195</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continue"/>
            <w:vAlign w:val="center"/>
          </w:tcPr>
          <w:p>
            <w:pPr>
              <w:pStyle w:val="41"/>
              <w:spacing w:beforeLines="0" w:afterLines="0" w:line="240" w:lineRule="auto"/>
              <w:rPr>
                <w:rFonts w:ascii="Times New Roman"/>
                <w:snapToGrid w:val="0"/>
                <w:kern w:val="21"/>
                <w:szCs w:val="21"/>
              </w:rPr>
            </w:pPr>
          </w:p>
        </w:tc>
        <w:tc>
          <w:tcPr>
            <w:tcW w:w="1417"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甲苯</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zCs w:val="21"/>
              </w:rPr>
            </w:pPr>
            <w:r>
              <w:rPr>
                <w:rFonts w:hint="eastAsia" w:ascii="Times New Roman"/>
                <w:szCs w:val="21"/>
              </w:rPr>
              <w:t>0.0077</w:t>
            </w:r>
          </w:p>
        </w:tc>
        <w:tc>
          <w:tcPr>
            <w:tcW w:w="1761" w:type="dxa"/>
            <w:vAlign w:val="center"/>
          </w:tcPr>
          <w:p>
            <w:pPr>
              <w:pStyle w:val="41"/>
              <w:spacing w:beforeLines="0" w:afterLines="0" w:line="240" w:lineRule="auto"/>
              <w:rPr>
                <w:rFonts w:ascii="Times New Roman"/>
                <w:szCs w:val="21"/>
              </w:rPr>
            </w:pPr>
            <w:r>
              <w:rPr>
                <w:rFonts w:ascii="Times New Roman"/>
                <w:szCs w:val="21"/>
              </w:rPr>
              <w:t>/</w:t>
            </w:r>
          </w:p>
        </w:tc>
        <w:tc>
          <w:tcPr>
            <w:tcW w:w="1814" w:type="dxa"/>
            <w:vAlign w:val="center"/>
          </w:tcPr>
          <w:p>
            <w:pPr>
              <w:pStyle w:val="41"/>
              <w:spacing w:beforeLines="0" w:afterLines="0" w:line="240" w:lineRule="auto"/>
              <w:rPr>
                <w:rFonts w:ascii="Times New Roman"/>
                <w:szCs w:val="21"/>
              </w:rPr>
            </w:pPr>
            <w:r>
              <w:rPr>
                <w:rFonts w:hint="eastAsia" w:ascii="Times New Roman"/>
                <w:szCs w:val="21"/>
              </w:rPr>
              <w:t>0.0077</w:t>
            </w:r>
          </w:p>
        </w:tc>
        <w:tc>
          <w:tcPr>
            <w:tcW w:w="971" w:type="dxa"/>
            <w:vAlign w:val="center"/>
          </w:tcPr>
          <w:p>
            <w:pPr>
              <w:jc w:val="center"/>
            </w:pPr>
            <w:r>
              <w:rPr>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continue"/>
            <w:vAlign w:val="center"/>
          </w:tcPr>
          <w:p>
            <w:pPr>
              <w:pStyle w:val="41"/>
              <w:spacing w:beforeLines="0" w:afterLines="0" w:line="240" w:lineRule="auto"/>
              <w:rPr>
                <w:rFonts w:ascii="Times New Roman"/>
                <w:snapToGrid w:val="0"/>
                <w:kern w:val="21"/>
                <w:szCs w:val="21"/>
              </w:rPr>
            </w:pPr>
          </w:p>
        </w:tc>
        <w:tc>
          <w:tcPr>
            <w:tcW w:w="1417"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二氯甲烷</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zCs w:val="21"/>
              </w:rPr>
            </w:pPr>
            <w:r>
              <w:rPr>
                <w:rFonts w:hint="eastAsia" w:ascii="Times New Roman"/>
                <w:szCs w:val="21"/>
              </w:rPr>
              <w:t>0.088</w:t>
            </w:r>
          </w:p>
        </w:tc>
        <w:tc>
          <w:tcPr>
            <w:tcW w:w="1761" w:type="dxa"/>
            <w:vAlign w:val="center"/>
          </w:tcPr>
          <w:p>
            <w:pPr>
              <w:pStyle w:val="41"/>
              <w:spacing w:beforeLines="0" w:afterLines="0" w:line="240" w:lineRule="auto"/>
              <w:rPr>
                <w:rFonts w:ascii="Times New Roman"/>
                <w:szCs w:val="21"/>
              </w:rPr>
            </w:pPr>
            <w:r>
              <w:rPr>
                <w:rFonts w:ascii="Times New Roman"/>
                <w:szCs w:val="21"/>
              </w:rPr>
              <w:t>/</w:t>
            </w:r>
          </w:p>
        </w:tc>
        <w:tc>
          <w:tcPr>
            <w:tcW w:w="1814" w:type="dxa"/>
            <w:vAlign w:val="center"/>
          </w:tcPr>
          <w:p>
            <w:pPr>
              <w:pStyle w:val="41"/>
              <w:spacing w:beforeLines="0" w:afterLines="0" w:line="240" w:lineRule="auto"/>
              <w:rPr>
                <w:rFonts w:ascii="Times New Roman"/>
                <w:szCs w:val="21"/>
              </w:rPr>
            </w:pPr>
            <w:r>
              <w:rPr>
                <w:rFonts w:hint="eastAsia" w:ascii="Times New Roman"/>
                <w:szCs w:val="21"/>
              </w:rPr>
              <w:t>0.088</w:t>
            </w:r>
          </w:p>
        </w:tc>
        <w:tc>
          <w:tcPr>
            <w:tcW w:w="971" w:type="dxa"/>
            <w:vAlign w:val="center"/>
          </w:tcPr>
          <w:p>
            <w:pPr>
              <w:jc w:val="center"/>
            </w:pPr>
            <w:r>
              <w:rPr>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continue"/>
            <w:vAlign w:val="center"/>
          </w:tcPr>
          <w:p>
            <w:pPr>
              <w:pStyle w:val="41"/>
              <w:spacing w:beforeLines="0" w:afterLines="0" w:line="240" w:lineRule="auto"/>
              <w:rPr>
                <w:rFonts w:ascii="Times New Roman"/>
                <w:snapToGrid w:val="0"/>
                <w:kern w:val="21"/>
                <w:szCs w:val="21"/>
              </w:rPr>
            </w:pPr>
          </w:p>
        </w:tc>
        <w:tc>
          <w:tcPr>
            <w:tcW w:w="1417"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硫酸雾</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zCs w:val="21"/>
              </w:rPr>
            </w:pPr>
            <w:r>
              <w:rPr>
                <w:rFonts w:hint="eastAsia" w:ascii="Times New Roman"/>
                <w:szCs w:val="21"/>
              </w:rPr>
              <w:t>0.0008</w:t>
            </w:r>
          </w:p>
        </w:tc>
        <w:tc>
          <w:tcPr>
            <w:tcW w:w="1761" w:type="dxa"/>
            <w:vAlign w:val="center"/>
          </w:tcPr>
          <w:p>
            <w:pPr>
              <w:pStyle w:val="41"/>
              <w:spacing w:beforeLines="0" w:afterLines="0" w:line="240" w:lineRule="auto"/>
              <w:rPr>
                <w:rFonts w:ascii="Times New Roman"/>
                <w:szCs w:val="21"/>
              </w:rPr>
            </w:pPr>
            <w:r>
              <w:rPr>
                <w:rFonts w:ascii="Times New Roman"/>
                <w:szCs w:val="21"/>
              </w:rPr>
              <w:t>/</w:t>
            </w:r>
          </w:p>
        </w:tc>
        <w:tc>
          <w:tcPr>
            <w:tcW w:w="1814" w:type="dxa"/>
            <w:vAlign w:val="center"/>
          </w:tcPr>
          <w:p>
            <w:pPr>
              <w:pStyle w:val="41"/>
              <w:spacing w:beforeLines="0" w:afterLines="0" w:line="240" w:lineRule="auto"/>
              <w:rPr>
                <w:rFonts w:ascii="Times New Roman"/>
                <w:szCs w:val="21"/>
              </w:rPr>
            </w:pPr>
            <w:r>
              <w:rPr>
                <w:rFonts w:hint="eastAsia" w:ascii="Times New Roman"/>
                <w:szCs w:val="21"/>
              </w:rPr>
              <w:t>0.0008</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continue"/>
            <w:vAlign w:val="center"/>
          </w:tcPr>
          <w:p>
            <w:pPr>
              <w:pStyle w:val="41"/>
              <w:spacing w:beforeLines="0" w:afterLines="0" w:line="240" w:lineRule="auto"/>
              <w:rPr>
                <w:rFonts w:ascii="Times New Roman"/>
                <w:snapToGrid w:val="0"/>
                <w:kern w:val="21"/>
                <w:szCs w:val="21"/>
              </w:rPr>
            </w:pPr>
          </w:p>
        </w:tc>
        <w:tc>
          <w:tcPr>
            <w:tcW w:w="1417"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氯化氢</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zCs w:val="21"/>
              </w:rPr>
            </w:pPr>
            <w:r>
              <w:rPr>
                <w:rFonts w:hint="eastAsia" w:ascii="Times New Roman"/>
                <w:szCs w:val="21"/>
              </w:rPr>
              <w:t>0.0054</w:t>
            </w:r>
          </w:p>
        </w:tc>
        <w:tc>
          <w:tcPr>
            <w:tcW w:w="1761" w:type="dxa"/>
            <w:vAlign w:val="center"/>
          </w:tcPr>
          <w:p>
            <w:pPr>
              <w:pStyle w:val="41"/>
              <w:spacing w:beforeLines="0" w:afterLines="0" w:line="240" w:lineRule="auto"/>
              <w:rPr>
                <w:rFonts w:ascii="Times New Roman"/>
                <w:szCs w:val="21"/>
              </w:rPr>
            </w:pPr>
            <w:r>
              <w:rPr>
                <w:rFonts w:ascii="Times New Roman"/>
                <w:szCs w:val="21"/>
              </w:rPr>
              <w:t>/</w:t>
            </w:r>
          </w:p>
        </w:tc>
        <w:tc>
          <w:tcPr>
            <w:tcW w:w="1814" w:type="dxa"/>
            <w:vAlign w:val="center"/>
          </w:tcPr>
          <w:p>
            <w:pPr>
              <w:pStyle w:val="41"/>
              <w:spacing w:beforeLines="0" w:afterLines="0" w:line="240" w:lineRule="auto"/>
              <w:rPr>
                <w:rFonts w:ascii="Times New Roman"/>
                <w:szCs w:val="21"/>
              </w:rPr>
            </w:pPr>
            <w:r>
              <w:rPr>
                <w:rFonts w:hint="eastAsia" w:ascii="Times New Roman"/>
                <w:szCs w:val="21"/>
              </w:rPr>
              <w:t>0.0054</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restart"/>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废水</w:t>
            </w:r>
          </w:p>
        </w:tc>
        <w:tc>
          <w:tcPr>
            <w:tcW w:w="1417" w:type="dxa"/>
            <w:vAlign w:val="center"/>
          </w:tcPr>
          <w:p>
            <w:pPr>
              <w:pStyle w:val="41"/>
              <w:spacing w:beforeLines="0" w:afterLines="0" w:line="240" w:lineRule="auto"/>
              <w:rPr>
                <w:rFonts w:ascii="Times New Roman"/>
                <w:snapToGrid w:val="0"/>
                <w:kern w:val="21"/>
                <w:szCs w:val="21"/>
              </w:rPr>
            </w:pPr>
            <w:r>
              <w:rPr>
                <w:rFonts w:ascii="Times New Roman"/>
                <w:snapToGrid w:val="0"/>
                <w:szCs w:val="21"/>
              </w:rPr>
              <w:t>废水量</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napToGrid w:val="0"/>
                <w:kern w:val="21"/>
                <w:szCs w:val="21"/>
                <w:highlight w:val="yellow"/>
              </w:rPr>
            </w:pPr>
            <w:r>
              <w:rPr>
                <w:rFonts w:ascii="Times New Roman"/>
                <w:szCs w:val="21"/>
              </w:rPr>
              <w:t>166.44</w:t>
            </w:r>
          </w:p>
        </w:tc>
        <w:tc>
          <w:tcPr>
            <w:tcW w:w="176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814" w:type="dxa"/>
            <w:vAlign w:val="center"/>
          </w:tcPr>
          <w:p>
            <w:pPr>
              <w:pStyle w:val="41"/>
              <w:spacing w:beforeLines="0" w:afterLines="0" w:line="240" w:lineRule="auto"/>
              <w:rPr>
                <w:rFonts w:ascii="Times New Roman"/>
                <w:snapToGrid w:val="0"/>
                <w:kern w:val="21"/>
                <w:szCs w:val="21"/>
                <w:highlight w:val="yellow"/>
              </w:rPr>
            </w:pPr>
            <w:r>
              <w:rPr>
                <w:rFonts w:ascii="Times New Roman"/>
                <w:szCs w:val="21"/>
              </w:rPr>
              <w:t>166.44</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continue"/>
            <w:vAlign w:val="center"/>
          </w:tcPr>
          <w:p>
            <w:pPr>
              <w:pStyle w:val="41"/>
              <w:spacing w:beforeLines="0" w:afterLines="0" w:line="240" w:lineRule="auto"/>
              <w:rPr>
                <w:rFonts w:ascii="Times New Roman"/>
                <w:snapToGrid w:val="0"/>
                <w:kern w:val="21"/>
                <w:szCs w:val="21"/>
              </w:rPr>
            </w:pPr>
          </w:p>
        </w:tc>
        <w:tc>
          <w:tcPr>
            <w:tcW w:w="1417" w:type="dxa"/>
            <w:vAlign w:val="center"/>
          </w:tcPr>
          <w:p>
            <w:pPr>
              <w:pStyle w:val="41"/>
              <w:spacing w:beforeLines="0" w:afterLines="0" w:line="240" w:lineRule="auto"/>
              <w:rPr>
                <w:rFonts w:ascii="Times New Roman"/>
                <w:snapToGrid w:val="0"/>
                <w:kern w:val="21"/>
                <w:szCs w:val="21"/>
              </w:rPr>
            </w:pPr>
            <w:r>
              <w:rPr>
                <w:rFonts w:ascii="Times New Roman"/>
                <w:szCs w:val="21"/>
              </w:rPr>
              <w:t>COD</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napToGrid w:val="0"/>
                <w:kern w:val="21"/>
                <w:szCs w:val="21"/>
              </w:rPr>
            </w:pPr>
            <w:r>
              <w:rPr>
                <w:rFonts w:ascii="Times New Roman"/>
                <w:szCs w:val="21"/>
              </w:rPr>
              <w:t>0.0809</w:t>
            </w:r>
          </w:p>
        </w:tc>
        <w:tc>
          <w:tcPr>
            <w:tcW w:w="176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814" w:type="dxa"/>
            <w:vAlign w:val="center"/>
          </w:tcPr>
          <w:p>
            <w:pPr>
              <w:pStyle w:val="41"/>
              <w:spacing w:beforeLines="0" w:afterLines="0" w:line="240" w:lineRule="auto"/>
              <w:rPr>
                <w:rFonts w:ascii="Times New Roman"/>
                <w:snapToGrid w:val="0"/>
                <w:kern w:val="21"/>
                <w:szCs w:val="21"/>
                <w:highlight w:val="yellow"/>
              </w:rPr>
            </w:pPr>
            <w:r>
              <w:rPr>
                <w:rFonts w:ascii="Times New Roman"/>
                <w:szCs w:val="21"/>
              </w:rPr>
              <w:t>0.0809</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continue"/>
            <w:vAlign w:val="center"/>
          </w:tcPr>
          <w:p>
            <w:pPr>
              <w:pStyle w:val="41"/>
              <w:spacing w:beforeLines="0" w:afterLines="0" w:line="240" w:lineRule="auto"/>
              <w:rPr>
                <w:rFonts w:ascii="Times New Roman"/>
                <w:snapToGrid w:val="0"/>
                <w:kern w:val="21"/>
                <w:szCs w:val="21"/>
              </w:rPr>
            </w:pPr>
          </w:p>
        </w:tc>
        <w:tc>
          <w:tcPr>
            <w:tcW w:w="1417" w:type="dxa"/>
            <w:vAlign w:val="center"/>
          </w:tcPr>
          <w:p>
            <w:pPr>
              <w:pStyle w:val="41"/>
              <w:spacing w:beforeLines="0" w:afterLines="0" w:line="240" w:lineRule="auto"/>
              <w:rPr>
                <w:rFonts w:ascii="Times New Roman"/>
                <w:snapToGrid w:val="0"/>
                <w:kern w:val="21"/>
                <w:szCs w:val="21"/>
              </w:rPr>
            </w:pPr>
            <w:r>
              <w:rPr>
                <w:rFonts w:ascii="Times New Roman"/>
                <w:szCs w:val="21"/>
              </w:rPr>
              <w:t>BOD</w:t>
            </w:r>
            <w:r>
              <w:rPr>
                <w:rFonts w:ascii="Times New Roman"/>
                <w:szCs w:val="21"/>
                <w:vertAlign w:val="subscript"/>
              </w:rPr>
              <w:t>5</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napToGrid w:val="0"/>
                <w:kern w:val="21"/>
                <w:szCs w:val="21"/>
              </w:rPr>
            </w:pPr>
            <w:r>
              <w:rPr>
                <w:rFonts w:ascii="Times New Roman"/>
                <w:szCs w:val="21"/>
              </w:rPr>
              <w:t>0.0233</w:t>
            </w:r>
          </w:p>
        </w:tc>
        <w:tc>
          <w:tcPr>
            <w:tcW w:w="176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814" w:type="dxa"/>
            <w:vAlign w:val="center"/>
          </w:tcPr>
          <w:p>
            <w:pPr>
              <w:pStyle w:val="41"/>
              <w:spacing w:beforeLines="0" w:afterLines="0" w:line="240" w:lineRule="auto"/>
              <w:rPr>
                <w:rFonts w:ascii="Times New Roman"/>
                <w:snapToGrid w:val="0"/>
                <w:kern w:val="21"/>
                <w:szCs w:val="21"/>
                <w:highlight w:val="yellow"/>
              </w:rPr>
            </w:pPr>
            <w:r>
              <w:rPr>
                <w:rFonts w:ascii="Times New Roman"/>
                <w:szCs w:val="21"/>
              </w:rPr>
              <w:t>0.0233</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continue"/>
            <w:vAlign w:val="center"/>
          </w:tcPr>
          <w:p>
            <w:pPr>
              <w:pStyle w:val="41"/>
              <w:spacing w:beforeLines="0" w:afterLines="0" w:line="240" w:lineRule="auto"/>
              <w:rPr>
                <w:rFonts w:ascii="Times New Roman"/>
                <w:snapToGrid w:val="0"/>
                <w:kern w:val="21"/>
                <w:szCs w:val="21"/>
              </w:rPr>
            </w:pPr>
          </w:p>
        </w:tc>
        <w:tc>
          <w:tcPr>
            <w:tcW w:w="1417" w:type="dxa"/>
            <w:vAlign w:val="center"/>
          </w:tcPr>
          <w:p>
            <w:pPr>
              <w:pStyle w:val="41"/>
              <w:spacing w:beforeLines="0" w:afterLines="0" w:line="240" w:lineRule="auto"/>
              <w:rPr>
                <w:rFonts w:ascii="Times New Roman"/>
                <w:snapToGrid w:val="0"/>
                <w:kern w:val="21"/>
                <w:szCs w:val="21"/>
              </w:rPr>
            </w:pPr>
            <w:r>
              <w:rPr>
                <w:rFonts w:ascii="Times New Roman"/>
                <w:szCs w:val="21"/>
              </w:rPr>
              <w:t>氨氮</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0.0058</w:t>
            </w:r>
          </w:p>
        </w:tc>
        <w:tc>
          <w:tcPr>
            <w:tcW w:w="176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814" w:type="dxa"/>
            <w:vAlign w:val="center"/>
          </w:tcPr>
          <w:p>
            <w:pPr>
              <w:pStyle w:val="41"/>
              <w:spacing w:beforeLines="0" w:afterLines="0" w:line="240" w:lineRule="auto"/>
              <w:rPr>
                <w:rFonts w:ascii="Times New Roman"/>
                <w:snapToGrid w:val="0"/>
                <w:kern w:val="21"/>
                <w:szCs w:val="21"/>
                <w:highlight w:val="yellow"/>
              </w:rPr>
            </w:pPr>
            <w:r>
              <w:rPr>
                <w:rFonts w:ascii="Times New Roman"/>
                <w:snapToGrid w:val="0"/>
                <w:kern w:val="21"/>
                <w:szCs w:val="21"/>
              </w:rPr>
              <w:t>0.0058</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Merge w:val="continue"/>
            <w:vAlign w:val="center"/>
          </w:tcPr>
          <w:p>
            <w:pPr>
              <w:pStyle w:val="41"/>
              <w:spacing w:beforeLines="0" w:afterLines="0" w:line="240" w:lineRule="auto"/>
              <w:rPr>
                <w:rFonts w:ascii="Times New Roman"/>
                <w:snapToGrid w:val="0"/>
                <w:kern w:val="21"/>
                <w:szCs w:val="21"/>
              </w:rPr>
            </w:pPr>
          </w:p>
        </w:tc>
        <w:tc>
          <w:tcPr>
            <w:tcW w:w="1417" w:type="dxa"/>
            <w:vAlign w:val="center"/>
          </w:tcPr>
          <w:p>
            <w:pPr>
              <w:pStyle w:val="41"/>
              <w:spacing w:beforeLines="0" w:afterLines="0" w:line="240" w:lineRule="auto"/>
              <w:rPr>
                <w:rFonts w:ascii="Times New Roman"/>
                <w:snapToGrid w:val="0"/>
                <w:kern w:val="21"/>
                <w:szCs w:val="21"/>
              </w:rPr>
            </w:pPr>
            <w:r>
              <w:rPr>
                <w:rFonts w:ascii="Times New Roman"/>
                <w:szCs w:val="21"/>
              </w:rPr>
              <w:t>悬浮物</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0.0564</w:t>
            </w:r>
          </w:p>
        </w:tc>
        <w:tc>
          <w:tcPr>
            <w:tcW w:w="176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814" w:type="dxa"/>
            <w:vAlign w:val="center"/>
          </w:tcPr>
          <w:p>
            <w:pPr>
              <w:pStyle w:val="41"/>
              <w:spacing w:beforeLines="0" w:afterLines="0" w:line="240" w:lineRule="auto"/>
              <w:rPr>
                <w:rFonts w:ascii="Times New Roman"/>
                <w:snapToGrid w:val="0"/>
                <w:kern w:val="21"/>
                <w:szCs w:val="21"/>
                <w:highlight w:val="yellow"/>
              </w:rPr>
            </w:pPr>
            <w:r>
              <w:rPr>
                <w:rFonts w:ascii="Times New Roman"/>
                <w:snapToGrid w:val="0"/>
                <w:kern w:val="21"/>
                <w:szCs w:val="21"/>
              </w:rPr>
              <w:t>0.0564</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一般工业</w:t>
            </w:r>
          </w:p>
          <w:p>
            <w:pPr>
              <w:pStyle w:val="41"/>
              <w:spacing w:beforeLines="0" w:afterLines="0" w:line="240" w:lineRule="auto"/>
              <w:rPr>
                <w:rFonts w:ascii="Times New Roman"/>
                <w:snapToGrid w:val="0"/>
                <w:kern w:val="21"/>
                <w:szCs w:val="21"/>
              </w:rPr>
            </w:pPr>
            <w:r>
              <w:rPr>
                <w:rFonts w:ascii="Times New Roman"/>
                <w:snapToGrid w:val="0"/>
                <w:kern w:val="21"/>
                <w:szCs w:val="21"/>
              </w:rPr>
              <w:t>固体废物</w:t>
            </w:r>
          </w:p>
        </w:tc>
        <w:tc>
          <w:tcPr>
            <w:tcW w:w="1417" w:type="dxa"/>
            <w:vAlign w:val="center"/>
          </w:tcPr>
          <w:p>
            <w:pPr>
              <w:pStyle w:val="41"/>
              <w:spacing w:beforeLines="0" w:afterLines="0" w:line="240" w:lineRule="auto"/>
              <w:rPr>
                <w:rFonts w:ascii="Times New Roman"/>
                <w:snapToGrid w:val="0"/>
                <w:kern w:val="21"/>
                <w:szCs w:val="21"/>
              </w:rPr>
            </w:pPr>
            <w:r>
              <w:rPr>
                <w:rFonts w:ascii="Times New Roman"/>
              </w:rPr>
              <w:t>包装材料</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napToGrid w:val="0"/>
                <w:kern w:val="21"/>
                <w:szCs w:val="21"/>
              </w:rPr>
            </w:pPr>
            <w:r>
              <w:rPr>
                <w:rFonts w:ascii="Times New Roman"/>
              </w:rPr>
              <w:t>1.0</w:t>
            </w:r>
          </w:p>
        </w:tc>
        <w:tc>
          <w:tcPr>
            <w:tcW w:w="176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814"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1.0</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危险废物</w:t>
            </w:r>
          </w:p>
        </w:tc>
        <w:tc>
          <w:tcPr>
            <w:tcW w:w="1417" w:type="dxa"/>
            <w:vAlign w:val="center"/>
          </w:tcPr>
          <w:p>
            <w:pPr>
              <w:pStyle w:val="41"/>
              <w:spacing w:beforeLines="0" w:afterLines="0" w:line="240" w:lineRule="auto"/>
              <w:rPr>
                <w:rFonts w:ascii="Times New Roman"/>
                <w:snapToGrid w:val="0"/>
                <w:kern w:val="21"/>
                <w:szCs w:val="21"/>
              </w:rPr>
            </w:pPr>
            <w:r>
              <w:rPr>
                <w:rFonts w:ascii="Times New Roman"/>
              </w:rPr>
              <w:t>危险废物</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276"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70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vAlign w:val="center"/>
          </w:tcPr>
          <w:p>
            <w:pPr>
              <w:pStyle w:val="41"/>
              <w:spacing w:beforeLines="0" w:afterLines="0" w:line="240" w:lineRule="auto"/>
              <w:rPr>
                <w:rFonts w:ascii="Times New Roman"/>
                <w:snapToGrid w:val="0"/>
                <w:kern w:val="21"/>
                <w:szCs w:val="21"/>
              </w:rPr>
            </w:pPr>
            <w:r>
              <w:rPr>
                <w:rFonts w:ascii="Times New Roman"/>
              </w:rPr>
              <w:t>10.22</w:t>
            </w:r>
          </w:p>
        </w:tc>
        <w:tc>
          <w:tcPr>
            <w:tcW w:w="176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c>
          <w:tcPr>
            <w:tcW w:w="1814" w:type="dxa"/>
            <w:vAlign w:val="center"/>
          </w:tcPr>
          <w:p>
            <w:pPr>
              <w:pStyle w:val="41"/>
              <w:spacing w:beforeLines="0" w:afterLines="0" w:line="240" w:lineRule="auto"/>
              <w:rPr>
                <w:rFonts w:ascii="Times New Roman"/>
                <w:snapToGrid w:val="0"/>
                <w:kern w:val="21"/>
                <w:szCs w:val="21"/>
              </w:rPr>
            </w:pPr>
            <w:r>
              <w:rPr>
                <w:rFonts w:ascii="Times New Roman"/>
              </w:rPr>
              <w:t>10.22</w:t>
            </w:r>
          </w:p>
        </w:tc>
        <w:tc>
          <w:tcPr>
            <w:tcW w:w="971" w:type="dxa"/>
            <w:vAlign w:val="center"/>
          </w:tcPr>
          <w:p>
            <w:pPr>
              <w:pStyle w:val="41"/>
              <w:spacing w:beforeLines="0" w:afterLines="0" w:line="240" w:lineRule="auto"/>
              <w:rPr>
                <w:rFonts w:ascii="Times New Roman"/>
                <w:snapToGrid w:val="0"/>
                <w:kern w:val="21"/>
                <w:szCs w:val="21"/>
              </w:rPr>
            </w:pPr>
            <w:r>
              <w:rPr>
                <w:rFonts w:ascii="Times New Roman"/>
                <w:snapToGrid w:val="0"/>
                <w:kern w:val="21"/>
                <w:szCs w:val="21"/>
              </w:rPr>
              <w:t>/</w:t>
            </w:r>
          </w:p>
        </w:tc>
      </w:tr>
    </w:tbl>
    <w:p>
      <w:pPr>
        <w:pStyle w:val="41"/>
        <w:spacing w:before="192" w:beforeLines="80" w:after="24"/>
        <w:jc w:val="left"/>
        <w:rPr>
          <w:rFonts w:ascii="Times New Roman"/>
        </w:r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hint="eastAsia" w:hAnsi="宋体" w:cs="宋体"/>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hint="eastAsia" w:hAnsi="宋体" w:cs="宋体"/>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hint="eastAsia" w:hAnsi="宋体" w:cs="宋体"/>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hint="eastAsia" w:hAnsi="宋体" w:cs="宋体"/>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r>
        <w:rPr>
          <w:rFonts w:ascii="Times New Roman"/>
          <w:snapToGrid w:val="0"/>
          <w:spacing w:val="-6"/>
          <w:kern w:val="21"/>
          <w:szCs w:val="21"/>
        </w:rPr>
        <w:t>；单位：t/a</w:t>
      </w:r>
    </w:p>
    <w:sectPr>
      <w:footerReference r:id="rId5"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A8DBF8-27C1-4F12-A6D9-B40987FF92C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embedRegular r:id="rId2" w:fontKey="{D9FBB99B-5EB2-4090-BC8E-659F072E8791}"/>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3" w:fontKey="{50C38900-4F33-4623-96ED-C1D4B0879143}"/>
  </w:font>
  <w:font w:name="等线">
    <w:altName w:val="微软雅黑"/>
    <w:panose1 w:val="02010600030101010101"/>
    <w:charset w:val="86"/>
    <w:family w:val="auto"/>
    <w:pitch w:val="default"/>
    <w:sig w:usb0="00000000" w:usb1="00000000" w:usb2="00000016" w:usb3="00000000" w:csb0="0004000F" w:csb1="00000000"/>
    <w:embedRegular r:id="rId4" w:fontKey="{67E30ECD-F826-4B9B-8005-8164F574FCE1}"/>
  </w:font>
  <w:font w:name="Microsoft YaHei UI">
    <w:panose1 w:val="020B0503020204020204"/>
    <w:charset w:val="86"/>
    <w:family w:val="swiss"/>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5" w:fontKey="{8F06A1AE-AE0D-44B3-A526-433DD14680BF}"/>
  </w:font>
  <w:font w:name="楷体_GB2312">
    <w:panose1 w:val="02010609030101010101"/>
    <w:charset w:val="86"/>
    <w:family w:val="modern"/>
    <w:pitch w:val="default"/>
    <w:sig w:usb0="00000001" w:usb1="080E0000" w:usb2="00000000" w:usb3="00000000" w:csb0="00040000" w:csb1="00000000"/>
    <w:embedRegular r:id="rId6" w:fontKey="{52A2387E-A37F-4D33-9A46-A07AA819E55E}"/>
  </w:font>
  <w:font w:name="仿宋">
    <w:panose1 w:val="02010609060101010101"/>
    <w:charset w:val="86"/>
    <w:family w:val="modern"/>
    <w:pitch w:val="default"/>
    <w:sig w:usb0="800002BF" w:usb1="38CF7CFA" w:usb2="00000016" w:usb3="00000000" w:csb0="00040001" w:csb1="00000000"/>
    <w:embedRegular r:id="rId7" w:fontKey="{450B2890-3217-47A2-98D9-A7F85DAE7C1D}"/>
  </w:font>
  <w:font w:name="Wingdings 2">
    <w:panose1 w:val="05020102010507070707"/>
    <w:charset w:val="02"/>
    <w:family w:val="roman"/>
    <w:pitch w:val="default"/>
    <w:sig w:usb0="00000000" w:usb1="00000000" w:usb2="00000000" w:usb3="00000000" w:csb0="80000000" w:csb1="00000000"/>
    <w:embedRegular r:id="rId8" w:fontKey="{1A35D777-D19C-40F1-A7D5-486922E3B023}"/>
  </w:font>
  <w:font w:name="TimesNewRomanPSMT">
    <w:altName w:val="Times New Roman"/>
    <w:panose1 w:val="00000000000000000000"/>
    <w:charset w:val="00"/>
    <w:family w:val="roman"/>
    <w:pitch w:val="default"/>
    <w:sig w:usb0="00000000" w:usb1="00000000" w:usb2="00000010" w:usb3="00000000" w:csb0="00040001" w:csb1="00000000"/>
    <w:embedRegular r:id="rId9" w:fontKey="{D8D01A56-4649-4F72-91AB-7A5A939E6D05}"/>
  </w:font>
  <w:font w:name="Tahoma">
    <w:panose1 w:val="020B0604030504040204"/>
    <w:charset w:val="00"/>
    <w:family w:val="swiss"/>
    <w:pitch w:val="default"/>
    <w:sig w:usb0="E1002EFF" w:usb1="C000605B" w:usb2="00000029" w:usb3="00000000" w:csb0="200101FF" w:csb1="20280000"/>
    <w:embedRegular r:id="rId10" w:fontKey="{1A6FB842-0A97-4C4F-B2A2-F217FF3F92EA}"/>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rPr>
      <w:t xml:space="preserve">  </w:t>
    </w:r>
    <w:r>
      <w:rPr>
        <w:rStyle w:val="27"/>
        <w:rFonts w:ascii="宋体" w:hAnsi="宋体"/>
        <w:sz w:val="26"/>
        <w:szCs w:val="26"/>
      </w:rPr>
      <w:fldChar w:fldCharType="begin"/>
    </w:r>
    <w:r>
      <w:rPr>
        <w:rStyle w:val="27"/>
        <w:rFonts w:ascii="宋体" w:hAnsi="宋体"/>
        <w:sz w:val="26"/>
        <w:szCs w:val="26"/>
      </w:rPr>
      <w:instrText xml:space="preserve">PAGE  </w:instrText>
    </w:r>
    <w:r>
      <w:rPr>
        <w:rStyle w:val="27"/>
        <w:rFonts w:ascii="宋体" w:hAnsi="宋体"/>
        <w:sz w:val="26"/>
        <w:szCs w:val="26"/>
      </w:rPr>
      <w:fldChar w:fldCharType="separate"/>
    </w:r>
    <w:r>
      <w:rPr>
        <w:rStyle w:val="27"/>
        <w:rFonts w:ascii="宋体" w:hAnsi="宋体"/>
        <w:sz w:val="26"/>
        <w:szCs w:val="26"/>
      </w:rPr>
      <w:t>9</w:t>
    </w:r>
    <w:r>
      <w:rPr>
        <w:rStyle w:val="27"/>
        <w:rFonts w:ascii="宋体" w:hAnsi="宋体"/>
        <w:sz w:val="26"/>
        <w:szCs w:val="26"/>
      </w:rPr>
      <w:fldChar w:fldCharType="end"/>
    </w:r>
    <w:r>
      <w:rPr>
        <w:rStyle w:val="27"/>
        <w:rFonts w:hint="eastAsia" w:ascii="宋体" w:hAnsi="宋体"/>
        <w:sz w:val="20"/>
      </w:rPr>
      <w:t xml:space="preserve">  </w:t>
    </w:r>
    <w:r>
      <w:rPr>
        <w:rStyle w:val="27"/>
        <w:rFonts w:hint="eastAsia" w:ascii="宋体" w:hAnsi="宋体"/>
        <w:sz w:val="28"/>
        <w:szCs w:val="28"/>
      </w:rPr>
      <w:t>—</w:t>
    </w:r>
  </w:p>
  <w:p>
    <w:pPr>
      <w:pStyle w:val="12"/>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rPr>
      <w:t xml:space="preserve">  </w:t>
    </w:r>
    <w:r>
      <w:rPr>
        <w:rStyle w:val="27"/>
        <w:rFonts w:ascii="宋体" w:hAnsi="宋体"/>
        <w:sz w:val="26"/>
        <w:szCs w:val="26"/>
      </w:rPr>
      <w:fldChar w:fldCharType="begin"/>
    </w:r>
    <w:r>
      <w:rPr>
        <w:rStyle w:val="27"/>
        <w:rFonts w:ascii="宋体" w:hAnsi="宋体"/>
        <w:sz w:val="26"/>
        <w:szCs w:val="26"/>
      </w:rPr>
      <w:instrText xml:space="preserve">PAGE  </w:instrText>
    </w:r>
    <w:r>
      <w:rPr>
        <w:rStyle w:val="27"/>
        <w:rFonts w:ascii="宋体" w:hAnsi="宋体"/>
        <w:sz w:val="26"/>
        <w:szCs w:val="26"/>
      </w:rPr>
      <w:fldChar w:fldCharType="separate"/>
    </w:r>
    <w:r>
      <w:rPr>
        <w:rStyle w:val="27"/>
        <w:rFonts w:ascii="宋体" w:hAnsi="宋体"/>
        <w:sz w:val="26"/>
        <w:szCs w:val="26"/>
      </w:rPr>
      <w:t>11</w:t>
    </w:r>
    <w:r>
      <w:rPr>
        <w:rStyle w:val="27"/>
        <w:rFonts w:ascii="宋体" w:hAnsi="宋体"/>
        <w:sz w:val="26"/>
        <w:szCs w:val="26"/>
      </w:rPr>
      <w:fldChar w:fldCharType="end"/>
    </w:r>
    <w:r>
      <w:rPr>
        <w:rStyle w:val="27"/>
        <w:rFonts w:hint="eastAsia" w:ascii="宋体" w:hAnsi="宋体"/>
        <w:sz w:val="20"/>
      </w:rPr>
      <w:t xml:space="preserve">  </w:t>
    </w:r>
    <w:r>
      <w:rPr>
        <w:rStyle w:val="27"/>
        <w:rFonts w:hint="eastAsia" w:ascii="宋体" w:hAnsi="宋体"/>
        <w:sz w:val="28"/>
        <w:szCs w:val="28"/>
      </w:rPr>
      <w:t>—</w:t>
    </w:r>
  </w:p>
  <w:p>
    <w:pPr>
      <w:pStyle w:val="12"/>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76DE5"/>
    <w:multiLevelType w:val="singleLevel"/>
    <w:tmpl w:val="82976DE5"/>
    <w:lvl w:ilvl="0" w:tentative="0">
      <w:start w:val="1"/>
      <w:numFmt w:val="bullet"/>
      <w:pStyle w:val="11"/>
      <w:lvlText w:val=""/>
      <w:lvlJc w:val="left"/>
      <w:pPr>
        <w:tabs>
          <w:tab w:val="left" w:pos="1347"/>
        </w:tabs>
        <w:ind w:left="1347" w:hanging="360"/>
      </w:pPr>
      <w:rPr>
        <w:rFonts w:hint="default" w:ascii="Wingdings" w:hAnsi="Wingdings"/>
      </w:rPr>
    </w:lvl>
  </w:abstractNum>
  <w:abstractNum w:abstractNumId="1">
    <w:nsid w:val="A1F76718"/>
    <w:multiLevelType w:val="singleLevel"/>
    <w:tmpl w:val="A1F76718"/>
    <w:lvl w:ilvl="0" w:tentative="0">
      <w:start w:val="1"/>
      <w:numFmt w:val="bullet"/>
      <w:pStyle w:val="7"/>
      <w:lvlText w:val=""/>
      <w:lvlJc w:val="left"/>
      <w:pPr>
        <w:tabs>
          <w:tab w:val="left" w:pos="2040"/>
        </w:tabs>
        <w:ind w:left="2040" w:hanging="360"/>
      </w:pPr>
      <w:rPr>
        <w:rFonts w:hint="default" w:ascii="Wingdings" w:hAnsi="Wingdings"/>
      </w:rPr>
    </w:lvl>
  </w:abstractNum>
  <w:abstractNum w:abstractNumId="2">
    <w:nsid w:val="BFFE9D62"/>
    <w:multiLevelType w:val="singleLevel"/>
    <w:tmpl w:val="BFFE9D62"/>
    <w:lvl w:ilvl="0" w:tentative="0">
      <w:start w:val="1"/>
      <w:numFmt w:val="decimal"/>
      <w:suff w:val="nothing"/>
      <w:lvlText w:val="（%1）"/>
      <w:lvlJc w:val="left"/>
    </w:lvl>
  </w:abstractNum>
  <w:abstractNum w:abstractNumId="3">
    <w:nsid w:val="0CE60028"/>
    <w:multiLevelType w:val="multilevel"/>
    <w:tmpl w:val="0CE60028"/>
    <w:lvl w:ilvl="0" w:tentative="0">
      <w:start w:val="1"/>
      <w:numFmt w:val="decimal"/>
      <w:isLgl/>
      <w:suff w:val="nothing"/>
      <w:lvlText w:val="%1 "/>
      <w:lvlJc w:val="left"/>
      <w:pPr>
        <w:ind w:left="0" w:firstLine="0"/>
      </w:pPr>
      <w:rPr>
        <w:rFonts w:hint="eastAsia" w:ascii="Times New Roman" w:hAnsi="Times New Roman" w:eastAsia="宋体" w:cs="Times New Roman"/>
        <w:b/>
        <w:i w:val="0"/>
        <w:color w:val="FFFFFF"/>
        <w:sz w:val="32"/>
      </w:rPr>
    </w:lvl>
    <w:lvl w:ilvl="1" w:tentative="0">
      <w:start w:val="1"/>
      <w:numFmt w:val="decimal"/>
      <w:isLgl/>
      <w:suff w:val="space"/>
      <w:lvlText w:val="%2"/>
      <w:lvlJc w:val="left"/>
      <w:pPr>
        <w:ind w:left="142" w:firstLine="0"/>
      </w:pPr>
      <w:rPr>
        <w:rFonts w:hint="default" w:ascii="Times New Roman" w:hAnsi="Times New Roman" w:eastAsia="宋体"/>
        <w:b/>
        <w:i w:val="0"/>
        <w:sz w:val="30"/>
      </w:rPr>
    </w:lvl>
    <w:lvl w:ilvl="2" w:tentative="0">
      <w:start w:val="1"/>
      <w:numFmt w:val="decimal"/>
      <w:isLgl/>
      <w:suff w:val="space"/>
      <w:lvlText w:val="%2.%3"/>
      <w:lvlJc w:val="left"/>
      <w:pPr>
        <w:ind w:left="284" w:firstLine="0"/>
      </w:pPr>
      <w:rPr>
        <w:rFonts w:hint="default" w:ascii="Times New Roman" w:hAnsi="Times New Roman" w:eastAsia="宋体"/>
        <w:b/>
        <w:bCs/>
        <w:i w:val="0"/>
        <w:iCs w:val="0"/>
        <w:caps w:val="0"/>
        <w:smallCaps w:val="0"/>
        <w:strike w:val="0"/>
        <w:dstrike w:val="0"/>
        <w:vanish w:val="0"/>
        <w:color w:val="auto"/>
        <w:spacing w:val="0"/>
        <w:w w:val="100"/>
        <w:kern w:val="0"/>
        <w:position w:val="0"/>
        <w:sz w:val="24"/>
        <w:szCs w:val="24"/>
        <w:u w:val="none"/>
        <w:vertAlign w:val="baseline"/>
      </w:rPr>
    </w:lvl>
    <w:lvl w:ilvl="3" w:tentative="0">
      <w:start w:val="1"/>
      <w:numFmt w:val="decimal"/>
      <w:isLgl/>
      <w:suff w:val="space"/>
      <w:lvlText w:val="%2.%3.%4"/>
      <w:lvlJc w:val="left"/>
      <w:pPr>
        <w:ind w:left="426" w:firstLine="0"/>
      </w:pPr>
      <w:rPr>
        <w:rFonts w:hint="default" w:ascii="Times New Roman" w:hAnsi="Times New Roman" w:eastAsia="宋体"/>
        <w:b/>
        <w:i w:val="0"/>
        <w:sz w:val="24"/>
      </w:rPr>
    </w:lvl>
    <w:lvl w:ilvl="4" w:tentative="0">
      <w:start w:val="1"/>
      <w:numFmt w:val="decimal"/>
      <w:suff w:val="space"/>
      <w:lvlText w:val="（%5）"/>
      <w:lvlJc w:val="left"/>
      <w:pPr>
        <w:ind w:left="454" w:firstLine="0"/>
      </w:pPr>
      <w:rPr>
        <w:rFonts w:hint="default" w:ascii="Times New Roman" w:hAnsi="Times New Roman" w:eastAsia="宋体"/>
        <w:b w:val="0"/>
        <w:i w:val="0"/>
        <w:sz w:val="24"/>
      </w:rPr>
    </w:lvl>
    <w:lvl w:ilvl="5" w:tentative="0">
      <w:start w:val="1"/>
      <w:numFmt w:val="decimal"/>
      <w:suff w:val="space"/>
      <w:lvlText w:val="(%6)"/>
      <w:lvlJc w:val="left"/>
      <w:pPr>
        <w:ind w:left="710" w:firstLine="0"/>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lvlRestart w:val="1"/>
      <w:pStyle w:val="50"/>
      <w:suff w:val="space"/>
      <w:lvlText w:val="表%1-%7"/>
      <w:lvlJc w:val="center"/>
      <w:pPr>
        <w:ind w:left="852" w:firstLine="0"/>
      </w:pPr>
      <w:rPr>
        <w:rFonts w:hint="default" w:ascii="Times New Roman" w:hAnsi="Times New Roman" w:cs="Times New Roman"/>
        <w:b/>
        <w:bCs w:val="0"/>
        <w:i w:val="0"/>
        <w:iCs w:val="0"/>
        <w:caps w:val="0"/>
        <w:smallCaps w:val="0"/>
        <w:strike w:val="0"/>
        <w:dstrike w:val="0"/>
        <w:vanish w:val="0"/>
        <w:color w:val="auto"/>
        <w:spacing w:val="0"/>
        <w:position w:val="0"/>
        <w:sz w:val="21"/>
        <w:szCs w:val="21"/>
        <w:u w:val="none"/>
        <w:vertAlign w:val="baseline"/>
      </w:rPr>
    </w:lvl>
    <w:lvl w:ilvl="7" w:tentative="0">
      <w:start w:val="1"/>
      <w:numFmt w:val="decimal"/>
      <w:lvlRestart w:val="1"/>
      <w:suff w:val="space"/>
      <w:lvlText w:val="图%1-%8"/>
      <w:lvlJc w:val="left"/>
      <w:pPr>
        <w:ind w:left="994" w:firstLine="0"/>
      </w:pPr>
      <w:rPr>
        <w:rFonts w:hint="eastAsia"/>
      </w:rPr>
    </w:lvl>
    <w:lvl w:ilvl="8" w:tentative="0">
      <w:start w:val="1"/>
      <w:numFmt w:val="decimal"/>
      <w:lvlText w:val="%1.%2.%3.%4.%5.%6.%7.%8.%9"/>
      <w:lvlJc w:val="left"/>
      <w:pPr>
        <w:tabs>
          <w:tab w:val="left" w:pos="5990"/>
        </w:tabs>
        <w:ind w:left="1136" w:firstLine="0"/>
      </w:pPr>
      <w:rPr>
        <w:rFonts w:hint="eastAsia"/>
      </w:rPr>
    </w:lvl>
  </w:abstractNum>
  <w:abstractNum w:abstractNumId="4">
    <w:nsid w:val="19FAA5B4"/>
    <w:multiLevelType w:val="singleLevel"/>
    <w:tmpl w:val="19FAA5B4"/>
    <w:lvl w:ilvl="0" w:tentative="0">
      <w:start w:val="1"/>
      <w:numFmt w:val="decimal"/>
      <w:suff w:val="nothing"/>
      <w:lvlText w:val="（%1）"/>
      <w:lvlJc w:val="left"/>
    </w:lvl>
  </w:abstractNum>
  <w:abstractNum w:abstractNumId="5">
    <w:nsid w:val="7C52DE59"/>
    <w:multiLevelType w:val="singleLevel"/>
    <w:tmpl w:val="7C52DE59"/>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MDM0ZDA0NDdjNjdiZWI4NTRkZDEwYzRhNThiZjIifQ=="/>
  </w:docVars>
  <w:rsids>
    <w:rsidRoot w:val="00172A27"/>
    <w:rsid w:val="00006EE6"/>
    <w:rsid w:val="00012DAD"/>
    <w:rsid w:val="0002307C"/>
    <w:rsid w:val="0002441B"/>
    <w:rsid w:val="00030809"/>
    <w:rsid w:val="00031E30"/>
    <w:rsid w:val="00042435"/>
    <w:rsid w:val="0004248A"/>
    <w:rsid w:val="000465C2"/>
    <w:rsid w:val="00051BAC"/>
    <w:rsid w:val="0005379A"/>
    <w:rsid w:val="00061338"/>
    <w:rsid w:val="00064C32"/>
    <w:rsid w:val="00072480"/>
    <w:rsid w:val="00074B34"/>
    <w:rsid w:val="00077BB2"/>
    <w:rsid w:val="0008222A"/>
    <w:rsid w:val="00090099"/>
    <w:rsid w:val="0009118E"/>
    <w:rsid w:val="00092CD2"/>
    <w:rsid w:val="00094A1F"/>
    <w:rsid w:val="00096057"/>
    <w:rsid w:val="000A3DB6"/>
    <w:rsid w:val="000A77D3"/>
    <w:rsid w:val="000B1D82"/>
    <w:rsid w:val="000B4EC2"/>
    <w:rsid w:val="000C43F3"/>
    <w:rsid w:val="000C74B0"/>
    <w:rsid w:val="000D05D0"/>
    <w:rsid w:val="000D7C2F"/>
    <w:rsid w:val="000F3A28"/>
    <w:rsid w:val="000F3C07"/>
    <w:rsid w:val="000F727C"/>
    <w:rsid w:val="00101078"/>
    <w:rsid w:val="00130DAA"/>
    <w:rsid w:val="00134D75"/>
    <w:rsid w:val="00135B8C"/>
    <w:rsid w:val="00146310"/>
    <w:rsid w:val="00152814"/>
    <w:rsid w:val="001725D1"/>
    <w:rsid w:val="00172A27"/>
    <w:rsid w:val="00186226"/>
    <w:rsid w:val="00196B64"/>
    <w:rsid w:val="001A485D"/>
    <w:rsid w:val="001B6A2E"/>
    <w:rsid w:val="001E5DF3"/>
    <w:rsid w:val="001E7192"/>
    <w:rsid w:val="001F2E8B"/>
    <w:rsid w:val="00204770"/>
    <w:rsid w:val="002075C2"/>
    <w:rsid w:val="00207AD6"/>
    <w:rsid w:val="00207EA7"/>
    <w:rsid w:val="0021418A"/>
    <w:rsid w:val="002151F6"/>
    <w:rsid w:val="002201C3"/>
    <w:rsid w:val="00220939"/>
    <w:rsid w:val="0022649D"/>
    <w:rsid w:val="00245699"/>
    <w:rsid w:val="0027144E"/>
    <w:rsid w:val="002854FC"/>
    <w:rsid w:val="002950FE"/>
    <w:rsid w:val="002A0F5D"/>
    <w:rsid w:val="002A1E0F"/>
    <w:rsid w:val="002A4D5C"/>
    <w:rsid w:val="002B0211"/>
    <w:rsid w:val="002B0F65"/>
    <w:rsid w:val="002B6DA5"/>
    <w:rsid w:val="002C0FC6"/>
    <w:rsid w:val="002D12E8"/>
    <w:rsid w:val="002D145D"/>
    <w:rsid w:val="002D4A50"/>
    <w:rsid w:val="002F40A4"/>
    <w:rsid w:val="002F41E0"/>
    <w:rsid w:val="002F4DC6"/>
    <w:rsid w:val="00301342"/>
    <w:rsid w:val="0030717C"/>
    <w:rsid w:val="003312A2"/>
    <w:rsid w:val="003451B1"/>
    <w:rsid w:val="00366A88"/>
    <w:rsid w:val="00371A80"/>
    <w:rsid w:val="003768F5"/>
    <w:rsid w:val="0038351D"/>
    <w:rsid w:val="003A0F9E"/>
    <w:rsid w:val="003A23FB"/>
    <w:rsid w:val="003A7E10"/>
    <w:rsid w:val="003B7E14"/>
    <w:rsid w:val="003C660A"/>
    <w:rsid w:val="003D588F"/>
    <w:rsid w:val="003D764C"/>
    <w:rsid w:val="003E540E"/>
    <w:rsid w:val="003E62F6"/>
    <w:rsid w:val="003E7200"/>
    <w:rsid w:val="00402D42"/>
    <w:rsid w:val="0040535A"/>
    <w:rsid w:val="00405F6E"/>
    <w:rsid w:val="0041098C"/>
    <w:rsid w:val="00415A4D"/>
    <w:rsid w:val="004227FB"/>
    <w:rsid w:val="00431E67"/>
    <w:rsid w:val="00435FDE"/>
    <w:rsid w:val="00441A08"/>
    <w:rsid w:val="004556FD"/>
    <w:rsid w:val="00462B65"/>
    <w:rsid w:val="00464994"/>
    <w:rsid w:val="0047212E"/>
    <w:rsid w:val="0047704C"/>
    <w:rsid w:val="0048068C"/>
    <w:rsid w:val="004809F2"/>
    <w:rsid w:val="004828D5"/>
    <w:rsid w:val="00484016"/>
    <w:rsid w:val="00490D7F"/>
    <w:rsid w:val="004A0BA2"/>
    <w:rsid w:val="004A2FFB"/>
    <w:rsid w:val="004B7B9B"/>
    <w:rsid w:val="004C7B15"/>
    <w:rsid w:val="004E6F1D"/>
    <w:rsid w:val="004F1473"/>
    <w:rsid w:val="004F76FB"/>
    <w:rsid w:val="005005BA"/>
    <w:rsid w:val="00501A4F"/>
    <w:rsid w:val="005065DF"/>
    <w:rsid w:val="005079E5"/>
    <w:rsid w:val="005113F5"/>
    <w:rsid w:val="00511514"/>
    <w:rsid w:val="00512892"/>
    <w:rsid w:val="005148B9"/>
    <w:rsid w:val="00524698"/>
    <w:rsid w:val="00524EF6"/>
    <w:rsid w:val="00532ACD"/>
    <w:rsid w:val="00535F13"/>
    <w:rsid w:val="0054107B"/>
    <w:rsid w:val="00543524"/>
    <w:rsid w:val="005612B9"/>
    <w:rsid w:val="0056218E"/>
    <w:rsid w:val="00562335"/>
    <w:rsid w:val="00562B6F"/>
    <w:rsid w:val="005637AE"/>
    <w:rsid w:val="00564266"/>
    <w:rsid w:val="00572106"/>
    <w:rsid w:val="0058266C"/>
    <w:rsid w:val="00593806"/>
    <w:rsid w:val="005A07AB"/>
    <w:rsid w:val="005B13F3"/>
    <w:rsid w:val="005B4692"/>
    <w:rsid w:val="005B5EC7"/>
    <w:rsid w:val="005C0D3B"/>
    <w:rsid w:val="005C12D6"/>
    <w:rsid w:val="005D018F"/>
    <w:rsid w:val="005D03D6"/>
    <w:rsid w:val="005D158A"/>
    <w:rsid w:val="005D7885"/>
    <w:rsid w:val="005E0E79"/>
    <w:rsid w:val="005E6F92"/>
    <w:rsid w:val="00604D3B"/>
    <w:rsid w:val="0062515D"/>
    <w:rsid w:val="00643AD2"/>
    <w:rsid w:val="00652AAE"/>
    <w:rsid w:val="00656D89"/>
    <w:rsid w:val="00660DA4"/>
    <w:rsid w:val="00660E15"/>
    <w:rsid w:val="00667F2E"/>
    <w:rsid w:val="006C09BA"/>
    <w:rsid w:val="006C3DC7"/>
    <w:rsid w:val="006C7200"/>
    <w:rsid w:val="006D3D75"/>
    <w:rsid w:val="006E24F4"/>
    <w:rsid w:val="006E41A0"/>
    <w:rsid w:val="007002E9"/>
    <w:rsid w:val="00716A2D"/>
    <w:rsid w:val="00717FC6"/>
    <w:rsid w:val="00720CB9"/>
    <w:rsid w:val="007304FF"/>
    <w:rsid w:val="007333AA"/>
    <w:rsid w:val="00733759"/>
    <w:rsid w:val="00742453"/>
    <w:rsid w:val="00743FD9"/>
    <w:rsid w:val="007471CA"/>
    <w:rsid w:val="00750EAD"/>
    <w:rsid w:val="007554D1"/>
    <w:rsid w:val="0076315B"/>
    <w:rsid w:val="0076417C"/>
    <w:rsid w:val="0076534E"/>
    <w:rsid w:val="00774913"/>
    <w:rsid w:val="00791D79"/>
    <w:rsid w:val="007A0A44"/>
    <w:rsid w:val="007C3B3F"/>
    <w:rsid w:val="007D0E5C"/>
    <w:rsid w:val="007D2B0F"/>
    <w:rsid w:val="007D4B0B"/>
    <w:rsid w:val="007F0151"/>
    <w:rsid w:val="007F30F9"/>
    <w:rsid w:val="007F35D5"/>
    <w:rsid w:val="007F5272"/>
    <w:rsid w:val="007F6884"/>
    <w:rsid w:val="00807C7C"/>
    <w:rsid w:val="008120B5"/>
    <w:rsid w:val="00813B3D"/>
    <w:rsid w:val="008329D1"/>
    <w:rsid w:val="00840E35"/>
    <w:rsid w:val="00845882"/>
    <w:rsid w:val="00845C9E"/>
    <w:rsid w:val="008463B9"/>
    <w:rsid w:val="00865B18"/>
    <w:rsid w:val="00867868"/>
    <w:rsid w:val="0087134A"/>
    <w:rsid w:val="008743CB"/>
    <w:rsid w:val="00877799"/>
    <w:rsid w:val="00877B4A"/>
    <w:rsid w:val="00896322"/>
    <w:rsid w:val="008B77B1"/>
    <w:rsid w:val="008D3BA0"/>
    <w:rsid w:val="008D7D1B"/>
    <w:rsid w:val="009049D8"/>
    <w:rsid w:val="00906E26"/>
    <w:rsid w:val="00917406"/>
    <w:rsid w:val="00921AC9"/>
    <w:rsid w:val="0092230D"/>
    <w:rsid w:val="00924899"/>
    <w:rsid w:val="00925565"/>
    <w:rsid w:val="009272F0"/>
    <w:rsid w:val="00931E67"/>
    <w:rsid w:val="00932AD2"/>
    <w:rsid w:val="00942194"/>
    <w:rsid w:val="009462ED"/>
    <w:rsid w:val="00951328"/>
    <w:rsid w:val="0096078E"/>
    <w:rsid w:val="00972624"/>
    <w:rsid w:val="00976F3F"/>
    <w:rsid w:val="0098437A"/>
    <w:rsid w:val="00995F77"/>
    <w:rsid w:val="009A3BE7"/>
    <w:rsid w:val="009A46B5"/>
    <w:rsid w:val="009B718E"/>
    <w:rsid w:val="009D5871"/>
    <w:rsid w:val="009E1726"/>
    <w:rsid w:val="009E1D86"/>
    <w:rsid w:val="009F0543"/>
    <w:rsid w:val="009F3DE5"/>
    <w:rsid w:val="00A14840"/>
    <w:rsid w:val="00A43B62"/>
    <w:rsid w:val="00A4556D"/>
    <w:rsid w:val="00A53364"/>
    <w:rsid w:val="00A57981"/>
    <w:rsid w:val="00A64983"/>
    <w:rsid w:val="00A73036"/>
    <w:rsid w:val="00A92558"/>
    <w:rsid w:val="00A94B30"/>
    <w:rsid w:val="00A97AF9"/>
    <w:rsid w:val="00AA3672"/>
    <w:rsid w:val="00AA3B6F"/>
    <w:rsid w:val="00AA790B"/>
    <w:rsid w:val="00AC4DAC"/>
    <w:rsid w:val="00AE7AEA"/>
    <w:rsid w:val="00AF57E8"/>
    <w:rsid w:val="00AF62FE"/>
    <w:rsid w:val="00B00BAA"/>
    <w:rsid w:val="00B03F43"/>
    <w:rsid w:val="00B15165"/>
    <w:rsid w:val="00B16FFE"/>
    <w:rsid w:val="00B21991"/>
    <w:rsid w:val="00B31FB4"/>
    <w:rsid w:val="00B32FE8"/>
    <w:rsid w:val="00B361F1"/>
    <w:rsid w:val="00B43310"/>
    <w:rsid w:val="00B47471"/>
    <w:rsid w:val="00B85AD3"/>
    <w:rsid w:val="00B86C94"/>
    <w:rsid w:val="00B933DF"/>
    <w:rsid w:val="00B9735B"/>
    <w:rsid w:val="00BC6112"/>
    <w:rsid w:val="00BD44F2"/>
    <w:rsid w:val="00BD645B"/>
    <w:rsid w:val="00BE0BFF"/>
    <w:rsid w:val="00BE3F37"/>
    <w:rsid w:val="00BE4908"/>
    <w:rsid w:val="00BE7B0A"/>
    <w:rsid w:val="00BF279E"/>
    <w:rsid w:val="00C153E3"/>
    <w:rsid w:val="00C60C9F"/>
    <w:rsid w:val="00C644CC"/>
    <w:rsid w:val="00C6614C"/>
    <w:rsid w:val="00C67918"/>
    <w:rsid w:val="00C73C8B"/>
    <w:rsid w:val="00C874E6"/>
    <w:rsid w:val="00CA582E"/>
    <w:rsid w:val="00CB0607"/>
    <w:rsid w:val="00CB2F28"/>
    <w:rsid w:val="00CB6147"/>
    <w:rsid w:val="00CC00FD"/>
    <w:rsid w:val="00CF65B0"/>
    <w:rsid w:val="00CF7E13"/>
    <w:rsid w:val="00D01F5B"/>
    <w:rsid w:val="00D062E5"/>
    <w:rsid w:val="00D15EA9"/>
    <w:rsid w:val="00D407C1"/>
    <w:rsid w:val="00D506C8"/>
    <w:rsid w:val="00D742F3"/>
    <w:rsid w:val="00D75CC6"/>
    <w:rsid w:val="00D82971"/>
    <w:rsid w:val="00DC46A6"/>
    <w:rsid w:val="00DE207A"/>
    <w:rsid w:val="00DF02B2"/>
    <w:rsid w:val="00DF03A6"/>
    <w:rsid w:val="00DF1958"/>
    <w:rsid w:val="00DF492D"/>
    <w:rsid w:val="00DF6BDF"/>
    <w:rsid w:val="00E00581"/>
    <w:rsid w:val="00E214F2"/>
    <w:rsid w:val="00E2590C"/>
    <w:rsid w:val="00E33ED9"/>
    <w:rsid w:val="00E359CE"/>
    <w:rsid w:val="00E40424"/>
    <w:rsid w:val="00E44435"/>
    <w:rsid w:val="00E566CD"/>
    <w:rsid w:val="00E6789A"/>
    <w:rsid w:val="00E81779"/>
    <w:rsid w:val="00E8596F"/>
    <w:rsid w:val="00E85D36"/>
    <w:rsid w:val="00EA40C4"/>
    <w:rsid w:val="00EB04AC"/>
    <w:rsid w:val="00EB44AE"/>
    <w:rsid w:val="00EE4C1E"/>
    <w:rsid w:val="00EE4D17"/>
    <w:rsid w:val="00EE6B5D"/>
    <w:rsid w:val="00EF1FEB"/>
    <w:rsid w:val="00EF5A69"/>
    <w:rsid w:val="00F100F0"/>
    <w:rsid w:val="00F16619"/>
    <w:rsid w:val="00F2179B"/>
    <w:rsid w:val="00F31DE9"/>
    <w:rsid w:val="00F36150"/>
    <w:rsid w:val="00F50881"/>
    <w:rsid w:val="00F81B63"/>
    <w:rsid w:val="00F85817"/>
    <w:rsid w:val="00F863B2"/>
    <w:rsid w:val="00F9369B"/>
    <w:rsid w:val="00FB7929"/>
    <w:rsid w:val="00FC00AC"/>
    <w:rsid w:val="00FC47D2"/>
    <w:rsid w:val="00FC62A1"/>
    <w:rsid w:val="00FD49B7"/>
    <w:rsid w:val="00FD7DC7"/>
    <w:rsid w:val="00FE5BA2"/>
    <w:rsid w:val="00FF060F"/>
    <w:rsid w:val="00FF58F5"/>
    <w:rsid w:val="00FF67B3"/>
    <w:rsid w:val="03245572"/>
    <w:rsid w:val="039D7B38"/>
    <w:rsid w:val="03D51580"/>
    <w:rsid w:val="03E00D98"/>
    <w:rsid w:val="040A3726"/>
    <w:rsid w:val="05B2476B"/>
    <w:rsid w:val="06077949"/>
    <w:rsid w:val="06417385"/>
    <w:rsid w:val="06EC7CF4"/>
    <w:rsid w:val="0A9916A7"/>
    <w:rsid w:val="0ACA1694"/>
    <w:rsid w:val="0D420EF4"/>
    <w:rsid w:val="0EDC0FE6"/>
    <w:rsid w:val="0F792BD8"/>
    <w:rsid w:val="0FBE5394"/>
    <w:rsid w:val="100C1DDA"/>
    <w:rsid w:val="101825C8"/>
    <w:rsid w:val="10C80CA4"/>
    <w:rsid w:val="10FC1E71"/>
    <w:rsid w:val="11BC60BF"/>
    <w:rsid w:val="125C1447"/>
    <w:rsid w:val="143071DB"/>
    <w:rsid w:val="14696E11"/>
    <w:rsid w:val="14FB77FC"/>
    <w:rsid w:val="15D626A6"/>
    <w:rsid w:val="16ED2160"/>
    <w:rsid w:val="18042A2F"/>
    <w:rsid w:val="194C5103"/>
    <w:rsid w:val="1ABA4378"/>
    <w:rsid w:val="1B974BEF"/>
    <w:rsid w:val="1BC52095"/>
    <w:rsid w:val="1BD448F7"/>
    <w:rsid w:val="1CFE0E17"/>
    <w:rsid w:val="1EAD5FD6"/>
    <w:rsid w:val="22061D6E"/>
    <w:rsid w:val="23174553"/>
    <w:rsid w:val="242211D0"/>
    <w:rsid w:val="24606AFE"/>
    <w:rsid w:val="2574470D"/>
    <w:rsid w:val="26D21654"/>
    <w:rsid w:val="27B20EDE"/>
    <w:rsid w:val="28F44AE7"/>
    <w:rsid w:val="29A1688F"/>
    <w:rsid w:val="2A306AC7"/>
    <w:rsid w:val="2BC764A2"/>
    <w:rsid w:val="2BE207F5"/>
    <w:rsid w:val="2CA173C8"/>
    <w:rsid w:val="2CF228B3"/>
    <w:rsid w:val="2DC8135C"/>
    <w:rsid w:val="2FE5118B"/>
    <w:rsid w:val="307557AC"/>
    <w:rsid w:val="30B10F59"/>
    <w:rsid w:val="3250523A"/>
    <w:rsid w:val="325168BA"/>
    <w:rsid w:val="33045394"/>
    <w:rsid w:val="33065DB6"/>
    <w:rsid w:val="33757868"/>
    <w:rsid w:val="34880D58"/>
    <w:rsid w:val="34B83B4B"/>
    <w:rsid w:val="3769693A"/>
    <w:rsid w:val="37983FA7"/>
    <w:rsid w:val="383831D1"/>
    <w:rsid w:val="388216DC"/>
    <w:rsid w:val="39481E73"/>
    <w:rsid w:val="3A3631E1"/>
    <w:rsid w:val="3B9C42FE"/>
    <w:rsid w:val="3D0E6FC7"/>
    <w:rsid w:val="3DF61654"/>
    <w:rsid w:val="3E6B715C"/>
    <w:rsid w:val="3F0C205D"/>
    <w:rsid w:val="40AD2461"/>
    <w:rsid w:val="428F144A"/>
    <w:rsid w:val="42FE2D71"/>
    <w:rsid w:val="450F5D66"/>
    <w:rsid w:val="451F4EDA"/>
    <w:rsid w:val="46B61AAB"/>
    <w:rsid w:val="482A28C5"/>
    <w:rsid w:val="49741FF3"/>
    <w:rsid w:val="49DA52D7"/>
    <w:rsid w:val="4A160FCB"/>
    <w:rsid w:val="4B034494"/>
    <w:rsid w:val="4B067ADF"/>
    <w:rsid w:val="4BBC0111"/>
    <w:rsid w:val="4BC228D7"/>
    <w:rsid w:val="4C9F02A8"/>
    <w:rsid w:val="4CED3A14"/>
    <w:rsid w:val="4D6E0BAF"/>
    <w:rsid w:val="4FB6658E"/>
    <w:rsid w:val="4FD63DD2"/>
    <w:rsid w:val="4FEB2350"/>
    <w:rsid w:val="5054362B"/>
    <w:rsid w:val="515C6A7D"/>
    <w:rsid w:val="51A4048B"/>
    <w:rsid w:val="5314649B"/>
    <w:rsid w:val="546F7411"/>
    <w:rsid w:val="55481A06"/>
    <w:rsid w:val="56C21B38"/>
    <w:rsid w:val="57396A35"/>
    <w:rsid w:val="57551B08"/>
    <w:rsid w:val="57FF5568"/>
    <w:rsid w:val="5A39327C"/>
    <w:rsid w:val="5A5308CF"/>
    <w:rsid w:val="5B6C5280"/>
    <w:rsid w:val="5D806784"/>
    <w:rsid w:val="5E343D6A"/>
    <w:rsid w:val="607F04BF"/>
    <w:rsid w:val="60FD75AC"/>
    <w:rsid w:val="636649C5"/>
    <w:rsid w:val="64771E4C"/>
    <w:rsid w:val="64BB029A"/>
    <w:rsid w:val="651C422B"/>
    <w:rsid w:val="660A240C"/>
    <w:rsid w:val="668206F9"/>
    <w:rsid w:val="67137E05"/>
    <w:rsid w:val="68DD2B6A"/>
    <w:rsid w:val="69AB002C"/>
    <w:rsid w:val="69E82BD0"/>
    <w:rsid w:val="6ABE421C"/>
    <w:rsid w:val="6C2B4419"/>
    <w:rsid w:val="6C7812C6"/>
    <w:rsid w:val="6DAE4FF2"/>
    <w:rsid w:val="6DD324D6"/>
    <w:rsid w:val="6EA1473F"/>
    <w:rsid w:val="706871E9"/>
    <w:rsid w:val="70CF7318"/>
    <w:rsid w:val="71C83C58"/>
    <w:rsid w:val="72D67E89"/>
    <w:rsid w:val="73330263"/>
    <w:rsid w:val="73AF2114"/>
    <w:rsid w:val="74BE126A"/>
    <w:rsid w:val="767D5CCC"/>
    <w:rsid w:val="767F2345"/>
    <w:rsid w:val="76A3126E"/>
    <w:rsid w:val="78690D08"/>
    <w:rsid w:val="79F73B7C"/>
    <w:rsid w:val="7A9E4C9E"/>
    <w:rsid w:val="7DE725A2"/>
    <w:rsid w:val="7F5C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66"/>
    <w:autoRedefine/>
    <w:semiHidden/>
    <w:unhideWhenUsed/>
    <w:qFormat/>
    <w:uiPriority w:val="0"/>
    <w:pPr>
      <w:keepNext/>
      <w:keepLines/>
      <w:spacing w:before="260" w:after="260" w:line="416" w:lineRule="auto"/>
      <w:outlineLvl w:val="2"/>
    </w:pPr>
    <w:rPr>
      <w:b/>
      <w:bCs/>
      <w:sz w:val="32"/>
      <w:szCs w:val="32"/>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spacing w:line="360" w:lineRule="auto"/>
      <w:ind w:firstLine="420" w:firstLineChars="200"/>
    </w:pPr>
    <w:rPr>
      <w:sz w:val="24"/>
      <w:szCs w:val="20"/>
    </w:rPr>
  </w:style>
  <w:style w:type="paragraph" w:styleId="5">
    <w:name w:val="annotation text"/>
    <w:basedOn w:val="1"/>
    <w:link w:val="64"/>
    <w:autoRedefine/>
    <w:qFormat/>
    <w:uiPriority w:val="0"/>
    <w:pPr>
      <w:jc w:val="left"/>
    </w:pPr>
  </w:style>
  <w:style w:type="paragraph" w:styleId="6">
    <w:name w:val="Body Text"/>
    <w:basedOn w:val="1"/>
    <w:next w:val="7"/>
    <w:autoRedefine/>
    <w:qFormat/>
    <w:uiPriority w:val="0"/>
    <w:pPr>
      <w:widowControl/>
      <w:snapToGrid w:val="0"/>
      <w:spacing w:before="60" w:after="160" w:line="259" w:lineRule="auto"/>
      <w:ind w:right="113"/>
    </w:pPr>
    <w:rPr>
      <w:kern w:val="0"/>
      <w:sz w:val="18"/>
      <w:szCs w:val="20"/>
    </w:rPr>
  </w:style>
  <w:style w:type="paragraph" w:styleId="7">
    <w:name w:val="List Bullet 5"/>
    <w:basedOn w:val="1"/>
    <w:autoRedefine/>
    <w:qFormat/>
    <w:uiPriority w:val="0"/>
    <w:pPr>
      <w:numPr>
        <w:ilvl w:val="0"/>
        <w:numId w:val="1"/>
      </w:numPr>
    </w:pPr>
  </w:style>
  <w:style w:type="paragraph" w:styleId="8">
    <w:name w:val="Body Text Indent"/>
    <w:basedOn w:val="1"/>
    <w:next w:val="9"/>
    <w:autoRedefine/>
    <w:qFormat/>
    <w:uiPriority w:val="0"/>
    <w:pPr>
      <w:spacing w:after="120"/>
      <w:ind w:left="420" w:leftChars="200"/>
    </w:pPr>
    <w:rPr>
      <w:kern w:val="0"/>
      <w:sz w:val="24"/>
      <w:szCs w:val="20"/>
    </w:rPr>
  </w:style>
  <w:style w:type="paragraph" w:styleId="9">
    <w:name w:val="Body Text First Indent"/>
    <w:basedOn w:val="6"/>
    <w:next w:val="10"/>
    <w:autoRedefine/>
    <w:qFormat/>
    <w:uiPriority w:val="0"/>
    <w:pPr>
      <w:ind w:firstLine="420" w:firstLineChars="100"/>
    </w:pPr>
  </w:style>
  <w:style w:type="paragraph" w:styleId="10">
    <w:name w:val="table of figures"/>
    <w:basedOn w:val="1"/>
    <w:next w:val="1"/>
    <w:autoRedefine/>
    <w:qFormat/>
    <w:uiPriority w:val="0"/>
    <w:pPr>
      <w:ind w:left="200" w:leftChars="200" w:hanging="200" w:hangingChars="200"/>
    </w:pPr>
    <w:rPr>
      <w:rFonts w:ascii="Calibri" w:hAnsi="Calibri"/>
      <w:szCs w:val="22"/>
    </w:rPr>
  </w:style>
  <w:style w:type="paragraph" w:styleId="11">
    <w:name w:val="List Bullet 2"/>
    <w:basedOn w:val="1"/>
    <w:autoRedefine/>
    <w:qFormat/>
    <w:uiPriority w:val="0"/>
    <w:pPr>
      <w:numPr>
        <w:ilvl w:val="0"/>
        <w:numId w:val="2"/>
      </w:numPr>
    </w:pPr>
  </w:style>
  <w:style w:type="paragraph" w:styleId="12">
    <w:name w:val="footer"/>
    <w:basedOn w:val="1"/>
    <w:autoRedefine/>
    <w:qFormat/>
    <w:uiPriority w:val="99"/>
    <w:pPr>
      <w:tabs>
        <w:tab w:val="center" w:pos="4153"/>
        <w:tab w:val="right" w:pos="8306"/>
      </w:tabs>
      <w:snapToGrid w:val="0"/>
      <w:jc w:val="left"/>
    </w:pPr>
    <w:rPr>
      <w:kern w:val="0"/>
      <w:sz w:val="18"/>
      <w:szCs w:val="20"/>
    </w:rPr>
  </w:style>
  <w:style w:type="paragraph" w:styleId="13">
    <w:name w:val="header"/>
    <w:basedOn w:val="1"/>
    <w:next w:val="14"/>
    <w:autoRedefine/>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4">
    <w:name w:val="样式5"/>
    <w:basedOn w:val="15"/>
    <w:next w:val="1"/>
    <w:qFormat/>
    <w:uiPriority w:val="0"/>
    <w:pPr>
      <w:ind w:firstLine="510" w:firstLineChars="0"/>
    </w:pPr>
    <w:rPr>
      <w:rFonts w:hint="eastAsia"/>
      <w:szCs w:val="20"/>
    </w:rPr>
  </w:style>
  <w:style w:type="paragraph" w:customStyle="1" w:styleId="15">
    <w:name w:val="样式3"/>
    <w:basedOn w:val="16"/>
    <w:next w:val="6"/>
    <w:qFormat/>
    <w:uiPriority w:val="0"/>
    <w:pPr>
      <w:snapToGrid w:val="0"/>
      <w:ind w:firstLine="539"/>
      <w:jc w:val="center"/>
    </w:pPr>
    <w:rPr>
      <w:rFonts w:ascii="黑体" w:hAnsi="宋体" w:eastAsia="黑体"/>
      <w:color w:val="000000"/>
      <w:kern w:val="0"/>
    </w:rPr>
  </w:style>
  <w:style w:type="paragraph" w:styleId="16">
    <w:name w:val="List"/>
    <w:basedOn w:val="1"/>
    <w:qFormat/>
    <w:uiPriority w:val="99"/>
    <w:pPr>
      <w:ind w:left="200" w:hanging="200" w:hangingChars="200"/>
    </w:pPr>
  </w:style>
  <w:style w:type="paragraph" w:styleId="17">
    <w:name w:val="toc 1"/>
    <w:basedOn w:val="1"/>
    <w:next w:val="1"/>
    <w:autoRedefine/>
    <w:qFormat/>
    <w:uiPriority w:val="39"/>
    <w:pPr>
      <w:tabs>
        <w:tab w:val="right" w:leader="dot" w:pos="8834"/>
      </w:tabs>
      <w:jc w:val="center"/>
    </w:pPr>
    <w:rPr>
      <w:rFonts w:ascii="宋体" w:hAnsi="宋体"/>
      <w:b/>
      <w:bCs/>
      <w:color w:val="000000" w:themeColor="text1"/>
      <w:sz w:val="36"/>
      <w:szCs w:val="36"/>
      <w14:textFill>
        <w14:solidFill>
          <w14:schemeClr w14:val="tx1"/>
        </w14:solidFill>
      </w14:textFill>
    </w:rPr>
  </w:style>
  <w:style w:type="paragraph" w:styleId="18">
    <w:name w:val="index heading"/>
    <w:basedOn w:val="1"/>
    <w:next w:val="19"/>
    <w:qFormat/>
    <w:uiPriority w:val="0"/>
    <w:rPr>
      <w:rFonts w:ascii="Arial" w:hAnsi="Arial"/>
      <w:b/>
    </w:rPr>
  </w:style>
  <w:style w:type="paragraph" w:styleId="19">
    <w:name w:val="index 1"/>
    <w:basedOn w:val="1"/>
    <w:next w:val="1"/>
    <w:qFormat/>
    <w:uiPriority w:val="0"/>
  </w:style>
  <w:style w:type="paragraph" w:styleId="20">
    <w:name w:val="toc 2"/>
    <w:basedOn w:val="1"/>
    <w:next w:val="1"/>
    <w:qFormat/>
    <w:uiPriority w:val="39"/>
    <w:pPr>
      <w:ind w:left="210"/>
    </w:pPr>
    <w:rPr>
      <w:smallCaps/>
      <w:sz w:val="20"/>
      <w:szCs w:val="20"/>
    </w:rPr>
  </w:style>
  <w:style w:type="paragraph" w:styleId="21">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2">
    <w:name w:val="annotation subject"/>
    <w:basedOn w:val="5"/>
    <w:next w:val="5"/>
    <w:link w:val="65"/>
    <w:uiPriority w:val="0"/>
    <w:rPr>
      <w:b/>
      <w:bCs/>
    </w:rPr>
  </w:style>
  <w:style w:type="paragraph" w:styleId="23">
    <w:name w:val="Body Text First Indent 2"/>
    <w:basedOn w:val="8"/>
    <w:next w:val="1"/>
    <w:qFormat/>
    <w:uiPriority w:val="0"/>
    <w:pPr>
      <w:ind w:firstLine="420" w:firstLineChars="200"/>
    </w:pPr>
    <w:rPr>
      <w:kern w:val="2"/>
      <w:sz w:val="21"/>
      <w:szCs w:val="24"/>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Emphasis"/>
    <w:basedOn w:val="26"/>
    <w:qFormat/>
    <w:uiPriority w:val="20"/>
    <w:rPr>
      <w:i/>
      <w:iCs/>
    </w:rPr>
  </w:style>
  <w:style w:type="character" w:styleId="29">
    <w:name w:val="Hyperlink"/>
    <w:basedOn w:val="26"/>
    <w:unhideWhenUsed/>
    <w:qFormat/>
    <w:uiPriority w:val="99"/>
    <w:rPr>
      <w:color w:val="0563C1" w:themeColor="hyperlink"/>
      <w:u w:val="single"/>
      <w14:textFill>
        <w14:solidFill>
          <w14:schemeClr w14:val="hlink"/>
        </w14:solidFill>
      </w14:textFill>
    </w:rPr>
  </w:style>
  <w:style w:type="character" w:styleId="30">
    <w:name w:val="annotation reference"/>
    <w:basedOn w:val="26"/>
    <w:qFormat/>
    <w:uiPriority w:val="0"/>
    <w:rPr>
      <w:sz w:val="21"/>
      <w:szCs w:val="21"/>
    </w:rPr>
  </w:style>
  <w:style w:type="paragraph" w:customStyle="1" w:styleId="31">
    <w:name w:val="Default"/>
    <w:basedOn w:val="32"/>
    <w:next w:val="18"/>
    <w:qFormat/>
    <w:uiPriority w:val="0"/>
    <w:pPr>
      <w:autoSpaceDE w:val="0"/>
      <w:autoSpaceDN w:val="0"/>
      <w:jc w:val="center"/>
    </w:pPr>
    <w:rPr>
      <w:rFonts w:ascii="宋体" w:hAnsi="Times New Roman" w:cs="宋体"/>
      <w:color w:val="000000"/>
      <w:sz w:val="24"/>
      <w:szCs w:val="24"/>
    </w:rPr>
  </w:style>
  <w:style w:type="paragraph" w:customStyle="1" w:styleId="32">
    <w:name w:val="纯文本1"/>
    <w:basedOn w:val="1"/>
    <w:qFormat/>
    <w:uiPriority w:val="0"/>
    <w:pPr>
      <w:adjustRightInd w:val="0"/>
      <w:spacing w:line="360" w:lineRule="auto"/>
    </w:pPr>
    <w:rPr>
      <w:rFonts w:hAnsi="Courier New"/>
      <w:szCs w:val="20"/>
    </w:rPr>
  </w:style>
  <w:style w:type="paragraph" w:customStyle="1" w:styleId="33">
    <w:name w:val="表头"/>
    <w:basedOn w:val="6"/>
    <w:qFormat/>
    <w:uiPriority w:val="0"/>
    <w:pPr>
      <w:jc w:val="center"/>
    </w:pPr>
    <w:rPr>
      <w:b/>
    </w:rPr>
  </w:style>
  <w:style w:type="paragraph" w:customStyle="1" w:styleId="34">
    <w:name w:val="样式 样式 样式 首行缩进:  1 字符 + 首行缩进:  2 字符2 + 首行缩进:  2 字符"/>
    <w:basedOn w:val="1"/>
    <w:qFormat/>
    <w:uiPriority w:val="0"/>
    <w:pPr>
      <w:spacing w:line="360" w:lineRule="auto"/>
      <w:ind w:firstLine="480" w:firstLineChars="200"/>
    </w:pPr>
    <w:rPr>
      <w:rFonts w:ascii="宋体" w:hAnsi="宋体" w:cs="宋体"/>
      <w:sz w:val="24"/>
      <w:szCs w:val="20"/>
    </w:rPr>
  </w:style>
  <w:style w:type="character" w:customStyle="1" w:styleId="35">
    <w:name w:val="fontstyle01"/>
    <w:basedOn w:val="26"/>
    <w:autoRedefine/>
    <w:qFormat/>
    <w:uiPriority w:val="0"/>
    <w:rPr>
      <w:rFonts w:hint="eastAsia" w:ascii="宋体" w:hAnsi="宋体" w:eastAsia="宋体"/>
      <w:color w:val="000000"/>
      <w:sz w:val="24"/>
      <w:szCs w:val="24"/>
    </w:rPr>
  </w:style>
  <w:style w:type="paragraph" w:customStyle="1" w:styleId="36">
    <w:name w:val="样式1"/>
    <w:basedOn w:val="11"/>
    <w:autoRedefine/>
    <w:qFormat/>
    <w:uiPriority w:val="0"/>
    <w:pPr>
      <w:spacing w:line="360" w:lineRule="auto"/>
      <w:ind w:firstLine="425"/>
    </w:pPr>
    <w:rPr>
      <w:kern w:val="44"/>
      <w:szCs w:val="20"/>
    </w:rPr>
  </w:style>
  <w:style w:type="paragraph" w:customStyle="1" w:styleId="37">
    <w:name w:val="正文1111"/>
    <w:basedOn w:val="1"/>
    <w:autoRedefine/>
    <w:qFormat/>
    <w:uiPriority w:val="0"/>
    <w:pPr>
      <w:ind w:firstLine="480"/>
    </w:pPr>
    <w:rPr>
      <w:kern w:val="0"/>
    </w:rPr>
  </w:style>
  <w:style w:type="paragraph" w:customStyle="1" w:styleId="38">
    <w:name w:val="正文内容"/>
    <w:basedOn w:val="1"/>
    <w:qFormat/>
    <w:uiPriority w:val="0"/>
    <w:pPr>
      <w:ind w:firstLine="624"/>
    </w:pPr>
    <w:rPr>
      <w:rFonts w:ascii="宋体" w:hAnsi="宋体"/>
    </w:rPr>
  </w:style>
  <w:style w:type="paragraph" w:customStyle="1" w:styleId="39">
    <w:name w:val="报告正文"/>
    <w:basedOn w:val="40"/>
    <w:next w:val="1"/>
    <w:qFormat/>
    <w:uiPriority w:val="0"/>
    <w:pPr>
      <w:adjustRightInd w:val="0"/>
      <w:snapToGrid w:val="0"/>
      <w:ind w:firstLine="200"/>
    </w:pPr>
    <w:rPr>
      <w:rFonts w:ascii="Times New Roman" w:cs="Times New Roman"/>
    </w:rPr>
  </w:style>
  <w:style w:type="paragraph" w:customStyle="1" w:styleId="40">
    <w:name w:val="环评正文"/>
    <w:basedOn w:val="1"/>
    <w:next w:val="1"/>
    <w:qFormat/>
    <w:uiPriority w:val="0"/>
    <w:pPr>
      <w:spacing w:line="360" w:lineRule="auto"/>
      <w:ind w:firstLine="484"/>
    </w:pPr>
    <w:rPr>
      <w:rFonts w:ascii="仿宋_GB2312" w:hAnsi="Calibri" w:cs="宋体"/>
      <w:snapToGrid w:val="0"/>
      <w:spacing w:val="1"/>
      <w:position w:val="-3"/>
      <w:sz w:val="24"/>
      <w:szCs w:val="22"/>
    </w:rPr>
  </w:style>
  <w:style w:type="paragraph" w:customStyle="1" w:styleId="41">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42">
    <w:name w:val="图表标题"/>
    <w:basedOn w:val="1"/>
    <w:qFormat/>
    <w:uiPriority w:val="0"/>
    <w:pPr>
      <w:spacing w:before="50" w:beforeLines="50"/>
      <w:jc w:val="center"/>
    </w:pPr>
    <w:rPr>
      <w:rFonts w:eastAsia="黑体"/>
    </w:rPr>
  </w:style>
  <w:style w:type="paragraph" w:customStyle="1" w:styleId="43">
    <w:name w:val="图表文字"/>
    <w:qFormat/>
    <w:uiPriority w:val="0"/>
    <w:pPr>
      <w:widowControl w:val="0"/>
      <w:jc w:val="center"/>
    </w:pPr>
    <w:rPr>
      <w:rFonts w:ascii="Times New Roman" w:hAnsi="Times New Roman" w:eastAsia="宋体" w:cs="Times New Roman"/>
      <w:snapToGrid w:val="0"/>
      <w:kern w:val="2"/>
      <w:sz w:val="21"/>
      <w:szCs w:val="24"/>
      <w:lang w:val="en-US" w:eastAsia="zh-CN" w:bidi="ar-SA"/>
    </w:rPr>
  </w:style>
  <w:style w:type="paragraph" w:styleId="44">
    <w:name w:val="List Paragraph"/>
    <w:basedOn w:val="1"/>
    <w:qFormat/>
    <w:uiPriority w:val="34"/>
    <w:pPr>
      <w:ind w:firstLine="420" w:firstLineChars="200"/>
    </w:pPr>
  </w:style>
  <w:style w:type="paragraph" w:customStyle="1" w:styleId="45">
    <w:name w:val="p0"/>
    <w:basedOn w:val="1"/>
    <w:qFormat/>
    <w:uiPriority w:val="0"/>
    <w:pPr>
      <w:widowControl/>
    </w:pPr>
    <w:rPr>
      <w:kern w:val="0"/>
      <w:szCs w:val="21"/>
    </w:rPr>
  </w:style>
  <w:style w:type="paragraph" w:customStyle="1" w:styleId="46">
    <w:name w:val="惠泽正文"/>
    <w:basedOn w:val="1"/>
    <w:qFormat/>
    <w:uiPriority w:val="0"/>
    <w:pPr>
      <w:spacing w:line="480" w:lineRule="exact"/>
      <w:ind w:firstLine="480" w:firstLineChars="200"/>
    </w:pPr>
    <w:rPr>
      <w:rFonts w:hAnsi="宋体" w:cs="宋体"/>
      <w:sz w:val="24"/>
      <w:szCs w:val="20"/>
    </w:rPr>
  </w:style>
  <w:style w:type="paragraph" w:customStyle="1" w:styleId="47">
    <w:name w:val="2表格内容"/>
    <w:basedOn w:val="48"/>
    <w:qFormat/>
    <w:uiPriority w:val="0"/>
    <w:pPr>
      <w:spacing w:line="240" w:lineRule="auto"/>
      <w:ind w:firstLine="0" w:firstLineChars="0"/>
      <w:jc w:val="center"/>
    </w:pPr>
    <w:rPr>
      <w:bCs w:val="0"/>
      <w:kern w:val="24"/>
      <w:sz w:val="21"/>
    </w:rPr>
  </w:style>
  <w:style w:type="paragraph" w:customStyle="1" w:styleId="48">
    <w:name w:val="1正文"/>
    <w:basedOn w:val="1"/>
    <w:qFormat/>
    <w:uiPriority w:val="0"/>
    <w:pPr>
      <w:adjustRightInd w:val="0"/>
      <w:snapToGrid w:val="0"/>
      <w:spacing w:line="360" w:lineRule="auto"/>
      <w:ind w:firstLine="200" w:firstLineChars="200"/>
    </w:pPr>
    <w:rPr>
      <w:bCs/>
      <w:sz w:val="24"/>
    </w:rPr>
  </w:style>
  <w:style w:type="paragraph" w:customStyle="1" w:styleId="49">
    <w:name w:val="Table Paragraph"/>
    <w:basedOn w:val="1"/>
    <w:qFormat/>
    <w:uiPriority w:val="1"/>
    <w:pPr>
      <w:spacing w:before="119"/>
      <w:jc w:val="center"/>
    </w:pPr>
    <w:rPr>
      <w:rFonts w:eastAsia="Times New Roman"/>
    </w:rPr>
  </w:style>
  <w:style w:type="paragraph" w:customStyle="1" w:styleId="50">
    <w:name w:val="表格标题"/>
    <w:basedOn w:val="1"/>
    <w:qFormat/>
    <w:uiPriority w:val="0"/>
    <w:pPr>
      <w:numPr>
        <w:ilvl w:val="6"/>
        <w:numId w:val="3"/>
      </w:numPr>
      <w:spacing w:before="30" w:beforeLines="30"/>
      <w:ind w:left="851"/>
      <w:jc w:val="center"/>
    </w:pPr>
    <w:rPr>
      <w:b/>
      <w:szCs w:val="21"/>
    </w:rPr>
  </w:style>
  <w:style w:type="paragraph" w:customStyle="1" w:styleId="51">
    <w:name w:val="正文-ls"/>
    <w:basedOn w:val="1"/>
    <w:qFormat/>
    <w:uiPriority w:val="0"/>
    <w:pPr>
      <w:spacing w:line="360" w:lineRule="auto"/>
      <w:ind w:firstLine="200" w:firstLineChars="200"/>
    </w:pPr>
    <w:rPr>
      <w:rFonts w:hAnsi="宋体"/>
      <w:sz w:val="24"/>
    </w:rPr>
  </w:style>
  <w:style w:type="table" w:customStyle="1" w:styleId="52">
    <w:name w:val="Table Normal"/>
    <w:semiHidden/>
    <w:unhideWhenUsed/>
    <w:qFormat/>
    <w:uiPriority w:val="0"/>
    <w:tblPr>
      <w:tblCellMar>
        <w:top w:w="0" w:type="dxa"/>
        <w:left w:w="0" w:type="dxa"/>
        <w:bottom w:w="0" w:type="dxa"/>
        <w:right w:w="0" w:type="dxa"/>
      </w:tblCellMar>
    </w:tblPr>
  </w:style>
  <w:style w:type="character" w:customStyle="1" w:styleId="53">
    <w:name w:val="标题 1 字符"/>
    <w:basedOn w:val="26"/>
    <w:link w:val="2"/>
    <w:qFormat/>
    <w:uiPriority w:val="9"/>
    <w:rPr>
      <w:rFonts w:ascii="宋体" w:hAnsi="宋体" w:cs="宋体"/>
      <w:b/>
      <w:bCs/>
      <w:kern w:val="36"/>
      <w:sz w:val="48"/>
      <w:szCs w:val="4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0图表名"/>
    <w:basedOn w:val="1"/>
    <w:qFormat/>
    <w:uiPriority w:val="0"/>
    <w:pPr>
      <w:jc w:val="center"/>
    </w:pPr>
    <w:rPr>
      <w:rFonts w:eastAsia="黑体"/>
      <w:kern w:val="24"/>
      <w:szCs w:val="21"/>
    </w:rPr>
  </w:style>
  <w:style w:type="paragraph" w:customStyle="1" w:styleId="56">
    <w:name w:val="Tab"/>
    <w:basedOn w:val="1"/>
    <w:qFormat/>
    <w:uiPriority w:val="0"/>
    <w:pPr>
      <w:jc w:val="center"/>
    </w:pPr>
    <w:rPr>
      <w:kern w:val="0"/>
      <w:sz w:val="20"/>
      <w:szCs w:val="20"/>
    </w:rPr>
  </w:style>
  <w:style w:type="paragraph" w:customStyle="1" w:styleId="57">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58">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9">
    <w:name w:val="正文4"/>
    <w:basedOn w:val="1"/>
    <w:qFormat/>
    <w:uiPriority w:val="0"/>
    <w:pPr>
      <w:widowControl/>
    </w:pPr>
    <w:rPr>
      <w:rFonts w:ascii="等线" w:hAnsi="等线" w:eastAsia="等线" w:cs="宋体"/>
      <w:szCs w:val="21"/>
    </w:rPr>
  </w:style>
  <w:style w:type="paragraph" w:customStyle="1" w:styleId="60">
    <w:name w:val="正文5"/>
    <w:uiPriority w:val="0"/>
    <w:pPr>
      <w:jc w:val="both"/>
    </w:pPr>
    <w:rPr>
      <w:rFonts w:ascii="Times New Roman" w:hAnsi="Times New Roman" w:eastAsia="宋体" w:cs="Times New Roman"/>
      <w:kern w:val="2"/>
      <w:sz w:val="21"/>
      <w:szCs w:val="21"/>
      <w:lang w:val="en-US" w:eastAsia="zh-CN" w:bidi="ar-SA"/>
    </w:rPr>
  </w:style>
  <w:style w:type="paragraph" w:customStyle="1" w:styleId="61">
    <w:name w:val="正文6"/>
    <w:uiPriority w:val="0"/>
    <w:pPr>
      <w:jc w:val="both"/>
    </w:pPr>
    <w:rPr>
      <w:rFonts w:ascii="Times New Roman" w:hAnsi="Times New Roman" w:eastAsia="宋体" w:cs="Times New Roman"/>
      <w:kern w:val="2"/>
      <w:sz w:val="21"/>
      <w:szCs w:val="21"/>
      <w:lang w:val="en-US" w:eastAsia="zh-CN" w:bidi="ar-SA"/>
    </w:rPr>
  </w:style>
  <w:style w:type="paragraph" w:customStyle="1" w:styleId="62">
    <w:name w:val="Tab正文"/>
    <w:basedOn w:val="1"/>
    <w:qFormat/>
    <w:uiPriority w:val="0"/>
    <w:pPr>
      <w:jc w:val="center"/>
    </w:pPr>
    <w:rPr>
      <w:szCs w:val="21"/>
    </w:rPr>
  </w:style>
  <w:style w:type="character" w:customStyle="1" w:styleId="63">
    <w:name w:val="cf01"/>
    <w:basedOn w:val="26"/>
    <w:uiPriority w:val="0"/>
    <w:rPr>
      <w:rFonts w:hint="eastAsia" w:ascii="Microsoft YaHei UI" w:hAnsi="Microsoft YaHei UI" w:eastAsia="Microsoft YaHei UI"/>
      <w:sz w:val="18"/>
      <w:szCs w:val="18"/>
    </w:rPr>
  </w:style>
  <w:style w:type="character" w:customStyle="1" w:styleId="64">
    <w:name w:val="批注文字 字符"/>
    <w:basedOn w:val="26"/>
    <w:link w:val="5"/>
    <w:uiPriority w:val="0"/>
    <w:rPr>
      <w:kern w:val="2"/>
      <w:sz w:val="21"/>
      <w:szCs w:val="24"/>
    </w:rPr>
  </w:style>
  <w:style w:type="character" w:customStyle="1" w:styleId="65">
    <w:name w:val="批注主题 字符"/>
    <w:basedOn w:val="64"/>
    <w:link w:val="22"/>
    <w:uiPriority w:val="0"/>
    <w:rPr>
      <w:b/>
      <w:bCs/>
      <w:kern w:val="2"/>
      <w:sz w:val="21"/>
      <w:szCs w:val="24"/>
    </w:rPr>
  </w:style>
  <w:style w:type="character" w:customStyle="1" w:styleId="66">
    <w:name w:val="标题 3 字符"/>
    <w:basedOn w:val="26"/>
    <w:link w:val="3"/>
    <w:semiHidden/>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emf"/><Relationship Id="rId17" Type="http://schemas.openxmlformats.org/officeDocument/2006/relationships/oleObject" Target="embeddings/Microsoft_Visio_2003-2010___1.vsd"/><Relationship Id="rId16" Type="http://schemas.openxmlformats.org/officeDocument/2006/relationships/image" Target="media/image10.wmf"/><Relationship Id="rId15" Type="http://schemas.openxmlformats.org/officeDocument/2006/relationships/image" Target="media/image9.wmf"/><Relationship Id="rId14" Type="http://schemas.openxmlformats.org/officeDocument/2006/relationships/image" Target="media/image8.png"/><Relationship Id="rId13" Type="http://schemas.openxmlformats.org/officeDocument/2006/relationships/image" Target="media/image7.png"/><Relationship Id="rId12" Type="http://schemas.microsoft.com/office/2007/relationships/hdphoto" Target="media/image6.wdp"/><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59AAF-8298-419C-98D3-53DF477A485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5699</Words>
  <Characters>32489</Characters>
  <Lines>270</Lines>
  <Paragraphs>76</Paragraphs>
  <TotalTime>593</TotalTime>
  <ScaleCrop>false</ScaleCrop>
  <LinksUpToDate>false</LinksUpToDate>
  <CharactersWithSpaces>38112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2023-08-08T03:23:00Z</dcterms:created>
  <dc:creator>lenovo</dc:creator>
  <cp:lastModifiedBy>漫步者</cp:lastModifiedBy>
  <cp:lastPrinted>2023-12-25T04:05:00Z</cp:lastPrinted>
  <dcterms:modified xsi:type="dcterms:W3CDTF">2024-01-09T08:31:28Z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D6115B91C35C4749A068552D7B53F04A_13</vt:lpwstr>
  </property>
</Properties>
</file>