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7" w:rsidRDefault="008078B8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2020</w:t>
      </w:r>
      <w:r>
        <w:rPr>
          <w:rFonts w:ascii="黑体" w:eastAsia="黑体" w:hint="eastAsia"/>
          <w:b/>
          <w:sz w:val="36"/>
          <w:szCs w:val="36"/>
        </w:rPr>
        <w:t>年第一季度环境质量监测分析</w:t>
      </w:r>
    </w:p>
    <w:p w:rsidR="00C32497" w:rsidRDefault="008078B8">
      <w:pPr>
        <w:spacing w:line="360" w:lineRule="auto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◆环境空气质量状况</w:t>
      </w:r>
    </w:p>
    <w:p w:rsidR="00C32497" w:rsidRDefault="008078B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1-3</w:t>
      </w:r>
      <w:r>
        <w:rPr>
          <w:rFonts w:ascii="仿宋" w:eastAsia="仿宋" w:hAnsi="仿宋" w:hint="eastAsia"/>
          <w:sz w:val="32"/>
          <w:szCs w:val="32"/>
        </w:rPr>
        <w:t>月，西安市环境空气质量优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天，良</w:t>
      </w:r>
      <w:r>
        <w:rPr>
          <w:rFonts w:ascii="仿宋" w:eastAsia="仿宋" w:hAnsi="仿宋" w:hint="eastAsia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天，轻度污染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天，中度污染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天，重度污染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天，分别占监测总天数（</w:t>
      </w:r>
      <w:r>
        <w:rPr>
          <w:rFonts w:ascii="仿宋" w:eastAsia="仿宋" w:hAnsi="仿宋" w:hint="eastAsia"/>
          <w:sz w:val="32"/>
          <w:szCs w:val="32"/>
        </w:rPr>
        <w:t>91</w:t>
      </w:r>
      <w:r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9%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44%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22%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11%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14%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2497" w:rsidRDefault="008078B8" w:rsidP="00622F2D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53000" cy="21812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97" w:rsidRDefault="008078B8">
      <w:pPr>
        <w:spacing w:line="360" w:lineRule="auto"/>
        <w:ind w:firstLineChars="950" w:firstLine="2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1  2020</w:t>
      </w:r>
      <w:r>
        <w:rPr>
          <w:rFonts w:ascii="宋体" w:hAnsi="宋体" w:hint="eastAsia"/>
          <w:sz w:val="24"/>
        </w:rPr>
        <w:t>年一季度环境空气质量分级比例</w:t>
      </w:r>
    </w:p>
    <w:p w:rsidR="00C32497" w:rsidRDefault="008078B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1-3</w:t>
      </w:r>
      <w:r>
        <w:rPr>
          <w:rFonts w:ascii="仿宋" w:eastAsia="仿宋" w:hAnsi="仿宋" w:hint="eastAsia"/>
          <w:sz w:val="32"/>
          <w:szCs w:val="32"/>
        </w:rPr>
        <w:t>月，西安市环境空气质量良</w:t>
      </w:r>
      <w:r>
        <w:rPr>
          <w:rFonts w:ascii="仿宋" w:eastAsia="仿宋" w:hAnsi="仿宋" w:hint="eastAsia"/>
          <w:sz w:val="32"/>
          <w:szCs w:val="32"/>
        </w:rPr>
        <w:t>39</w:t>
      </w:r>
      <w:r>
        <w:rPr>
          <w:rFonts w:ascii="仿宋" w:eastAsia="仿宋" w:hAnsi="仿宋" w:hint="eastAsia"/>
          <w:sz w:val="32"/>
          <w:szCs w:val="32"/>
        </w:rPr>
        <w:t>天、轻度污染</w:t>
      </w:r>
      <w:r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天、中度污染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天、重度污染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天、严重污染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天，分别占监测总天数（</w:t>
      </w:r>
      <w:r>
        <w:rPr>
          <w:rFonts w:ascii="仿宋" w:eastAsia="仿宋" w:hAnsi="仿宋" w:hint="eastAsia"/>
          <w:sz w:val="32"/>
          <w:szCs w:val="32"/>
        </w:rPr>
        <w:t>90</w:t>
      </w:r>
      <w:r>
        <w:rPr>
          <w:rFonts w:ascii="仿宋" w:eastAsia="仿宋" w:hAnsi="仿宋" w:hint="eastAsia"/>
          <w:sz w:val="32"/>
          <w:szCs w:val="32"/>
        </w:rPr>
        <w:t>天）的</w:t>
      </w:r>
      <w:r>
        <w:rPr>
          <w:rFonts w:ascii="仿宋" w:eastAsia="仿宋" w:hAnsi="仿宋" w:hint="eastAsia"/>
          <w:sz w:val="32"/>
          <w:szCs w:val="32"/>
        </w:rPr>
        <w:t>43%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26%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10%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19%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2497" w:rsidRDefault="008078B8" w:rsidP="00622F2D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91100" cy="218122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97" w:rsidRDefault="008078B8">
      <w:pPr>
        <w:spacing w:line="360" w:lineRule="auto"/>
        <w:ind w:firstLineChars="950" w:firstLine="2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2  2019</w:t>
      </w:r>
      <w:r>
        <w:rPr>
          <w:rFonts w:ascii="宋体" w:hAnsi="宋体" w:hint="eastAsia"/>
          <w:sz w:val="24"/>
        </w:rPr>
        <w:t>年一季度环境空气质量分级比例</w:t>
      </w:r>
    </w:p>
    <w:p w:rsidR="00C32497" w:rsidRDefault="008078B8">
      <w:pPr>
        <w:spacing w:line="6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◆</w:t>
      </w:r>
      <w:r>
        <w:rPr>
          <w:rFonts w:ascii="宋体" w:hAnsi="宋体" w:hint="eastAsia"/>
          <w:b/>
          <w:bCs/>
          <w:sz w:val="32"/>
          <w:szCs w:val="32"/>
        </w:rPr>
        <w:t>环境空气质量监测</w:t>
      </w:r>
    </w:p>
    <w:p w:rsidR="00C32497" w:rsidRDefault="008078B8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西安市环境空气质量国控城市点共有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个，分别</w:t>
      </w:r>
      <w:r>
        <w:rPr>
          <w:rFonts w:ascii="仿宋" w:eastAsia="仿宋" w:hAnsi="仿宋" w:hint="eastAsia"/>
          <w:sz w:val="32"/>
          <w:szCs w:val="32"/>
        </w:rPr>
        <w:t>是高压开关厂、兴庆小区、纺织城、小寨、市人民体育场、高新西区、经开区、长安区、阎良区、临潼区、曲江文化产业集团、广运潭和草滩（清洁对照点）。一季度全市环境空气中二氧化硫季平均浓度值比上年同期下降</w:t>
      </w:r>
      <w:r>
        <w:rPr>
          <w:rFonts w:ascii="仿宋" w:eastAsia="仿宋" w:hAnsi="仿宋" w:hint="eastAsia"/>
          <w:sz w:val="32"/>
          <w:szCs w:val="32"/>
        </w:rPr>
        <w:t>8.3</w:t>
      </w:r>
      <w:r>
        <w:rPr>
          <w:rFonts w:ascii="仿宋" w:eastAsia="仿宋" w:hAnsi="仿宋" w:hint="eastAsia"/>
          <w:sz w:val="32"/>
          <w:szCs w:val="32"/>
        </w:rPr>
        <w:t>％，二氧化氮季平均浓度值比上年同期下降</w:t>
      </w:r>
      <w:r>
        <w:rPr>
          <w:rFonts w:ascii="仿宋" w:eastAsia="仿宋" w:hAnsi="仿宋" w:hint="eastAsia"/>
          <w:sz w:val="32"/>
          <w:szCs w:val="32"/>
        </w:rPr>
        <w:t>29.3</w:t>
      </w:r>
      <w:r>
        <w:rPr>
          <w:rFonts w:ascii="仿宋" w:eastAsia="仿宋" w:hAnsi="仿宋" w:hint="eastAsia"/>
          <w:sz w:val="32"/>
          <w:szCs w:val="32"/>
        </w:rPr>
        <w:t>％，颗粒物（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）季平均浓度值比上年同期下降</w:t>
      </w:r>
      <w:r>
        <w:rPr>
          <w:rFonts w:ascii="仿宋" w:eastAsia="仿宋" w:hAnsi="仿宋" w:hint="eastAsia"/>
          <w:sz w:val="32"/>
          <w:szCs w:val="32"/>
        </w:rPr>
        <w:t>21.3</w:t>
      </w:r>
      <w:r>
        <w:rPr>
          <w:rFonts w:ascii="仿宋" w:eastAsia="仿宋" w:hAnsi="仿宋" w:hint="eastAsia"/>
          <w:sz w:val="32"/>
          <w:szCs w:val="32"/>
        </w:rPr>
        <w:t>％，颗粒物（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）季平均浓度值比上年同期下降</w:t>
      </w:r>
      <w:r>
        <w:rPr>
          <w:rFonts w:ascii="仿宋" w:eastAsia="仿宋" w:hAnsi="仿宋" w:hint="eastAsia"/>
          <w:sz w:val="32"/>
          <w:szCs w:val="32"/>
        </w:rPr>
        <w:t>15.2</w:t>
      </w:r>
      <w:r>
        <w:rPr>
          <w:rFonts w:ascii="仿宋" w:eastAsia="仿宋" w:hAnsi="仿宋" w:hint="eastAsia"/>
          <w:sz w:val="32"/>
          <w:szCs w:val="32"/>
        </w:rPr>
        <w:t>％。</w:t>
      </w:r>
    </w:p>
    <w:p w:rsidR="00C32497" w:rsidRDefault="008078B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、二氧化硫</w:t>
      </w:r>
    </w:p>
    <w:p w:rsidR="00C32497" w:rsidRDefault="008078B8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一季度全市二氧化硫季平均浓度值为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立方米，日平均浓度值范围在</w:t>
      </w:r>
      <w:r>
        <w:rPr>
          <w:rFonts w:ascii="仿宋" w:eastAsia="仿宋" w:hAnsi="仿宋" w:hint="eastAsia"/>
          <w:sz w:val="32"/>
          <w:szCs w:val="32"/>
        </w:rPr>
        <w:t>5-23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立方米之间，无超标样本。与上年同期相比，季均浓度值下降</w:t>
      </w:r>
      <w:r>
        <w:rPr>
          <w:rFonts w:ascii="仿宋" w:eastAsia="仿宋" w:hAnsi="仿宋" w:hint="eastAsia"/>
          <w:sz w:val="32"/>
          <w:szCs w:val="32"/>
        </w:rPr>
        <w:t>8.3%</w:t>
      </w:r>
      <w:r>
        <w:rPr>
          <w:rFonts w:ascii="仿宋" w:eastAsia="仿宋" w:hAnsi="仿宋" w:hint="eastAsia"/>
          <w:sz w:val="32"/>
          <w:szCs w:val="32"/>
        </w:rPr>
        <w:t>。详见图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2497" w:rsidRDefault="008078B8">
      <w:pPr>
        <w:ind w:left="945" w:hangingChars="450" w:hanging="945"/>
      </w:pPr>
      <w:r>
        <w:rPr>
          <w:noProof/>
        </w:rPr>
        <w:drawing>
          <wp:inline distT="0" distB="0" distL="0" distR="0">
            <wp:extent cx="5133975" cy="2371725"/>
            <wp:effectExtent l="1905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3  2020</w:t>
      </w:r>
      <w:r>
        <w:rPr>
          <w:rFonts w:ascii="宋体" w:hAnsi="宋体" w:hint="eastAsia"/>
          <w:sz w:val="24"/>
        </w:rPr>
        <w:t>年一季度国控点二氧化硫季均值与上年同期比较</w:t>
      </w:r>
    </w:p>
    <w:p w:rsidR="00C32497" w:rsidRDefault="008078B8">
      <w:pPr>
        <w:tabs>
          <w:tab w:val="left" w:pos="840"/>
          <w:tab w:val="left" w:pos="1365"/>
        </w:tabs>
        <w:ind w:leftChars="200" w:left="1260" w:hangingChars="400" w:hanging="84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00977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4  2020</w:t>
      </w:r>
      <w:r>
        <w:rPr>
          <w:rFonts w:ascii="宋体" w:hAnsi="宋体" w:hint="eastAsia"/>
          <w:sz w:val="24"/>
        </w:rPr>
        <w:t>年一季度全市二氧化硫月均值与上年同期比较</w:t>
      </w:r>
    </w:p>
    <w:p w:rsidR="00C32497" w:rsidRDefault="00C32497">
      <w:pPr>
        <w:tabs>
          <w:tab w:val="left" w:pos="840"/>
          <w:tab w:val="left" w:pos="1365"/>
        </w:tabs>
        <w:ind w:leftChars="200" w:left="1380" w:hangingChars="400" w:hanging="960"/>
        <w:rPr>
          <w:rFonts w:ascii="宋体" w:hAnsi="宋体"/>
          <w:sz w:val="24"/>
        </w:rPr>
      </w:pPr>
    </w:p>
    <w:p w:rsidR="00C32497" w:rsidRDefault="008078B8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、二氧化氮</w:t>
      </w:r>
    </w:p>
    <w:p w:rsidR="00C32497" w:rsidRDefault="008078B8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一季度全市二氧化氮季平均浓度值为</w:t>
      </w:r>
      <w:r>
        <w:rPr>
          <w:rFonts w:ascii="仿宋" w:eastAsia="仿宋" w:hAnsi="仿宋" w:hint="eastAsia"/>
          <w:sz w:val="32"/>
          <w:szCs w:val="32"/>
        </w:rPr>
        <w:t>41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立方米，日平均浓度值范围在</w:t>
      </w:r>
      <w:r>
        <w:rPr>
          <w:rFonts w:ascii="仿宋" w:eastAsia="仿宋" w:hAnsi="仿宋" w:hint="eastAsia"/>
          <w:sz w:val="32"/>
          <w:szCs w:val="32"/>
        </w:rPr>
        <w:t>8-81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立方米之间，最大超标倍数为</w:t>
      </w:r>
      <w:r>
        <w:rPr>
          <w:rFonts w:ascii="仿宋" w:eastAsia="仿宋" w:hAnsi="仿宋" w:hint="eastAsia"/>
          <w:sz w:val="32"/>
          <w:szCs w:val="32"/>
        </w:rPr>
        <w:t>0.01</w:t>
      </w:r>
      <w:r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个，超标率为</w:t>
      </w:r>
      <w:r>
        <w:rPr>
          <w:rFonts w:ascii="仿宋" w:eastAsia="仿宋" w:hAnsi="仿宋" w:hint="eastAsia"/>
          <w:sz w:val="32"/>
          <w:szCs w:val="32"/>
        </w:rPr>
        <w:t>1.1%</w:t>
      </w:r>
      <w:r>
        <w:rPr>
          <w:rFonts w:ascii="仿宋" w:eastAsia="仿宋" w:hAnsi="仿宋" w:hint="eastAsia"/>
          <w:sz w:val="32"/>
          <w:szCs w:val="32"/>
        </w:rPr>
        <w:t>。二氧化氮季均浓度值与上年同期相比下降</w:t>
      </w:r>
      <w:r>
        <w:rPr>
          <w:rFonts w:ascii="仿宋" w:eastAsia="仿宋" w:hAnsi="仿宋" w:hint="eastAsia"/>
          <w:sz w:val="32"/>
          <w:szCs w:val="32"/>
        </w:rPr>
        <w:t>29.3</w:t>
      </w:r>
      <w:r>
        <w:rPr>
          <w:rFonts w:ascii="仿宋" w:eastAsia="仿宋" w:hAnsi="仿宋" w:hint="eastAsia"/>
          <w:sz w:val="32"/>
          <w:szCs w:val="32"/>
        </w:rPr>
        <w:t>％。详见图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2497" w:rsidRDefault="008078B8">
      <w:pPr>
        <w:ind w:leftChars="86" w:left="1151" w:hangingChars="462" w:hanging="970"/>
      </w:pPr>
      <w:r>
        <w:rPr>
          <w:noProof/>
        </w:rPr>
        <w:drawing>
          <wp:inline distT="0" distB="0" distL="0" distR="0">
            <wp:extent cx="5057775" cy="2209800"/>
            <wp:effectExtent l="1905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5   2020</w:t>
      </w:r>
      <w:r>
        <w:rPr>
          <w:rFonts w:ascii="宋体" w:hAnsi="宋体" w:hint="eastAsia"/>
          <w:sz w:val="24"/>
        </w:rPr>
        <w:t>年一季度国控点二氧化氮季均值与上年同期比较</w:t>
      </w:r>
    </w:p>
    <w:p w:rsidR="00C32497" w:rsidRDefault="008078B8">
      <w:pPr>
        <w:tabs>
          <w:tab w:val="left" w:pos="525"/>
        </w:tabs>
        <w:ind w:leftChars="257" w:left="1275" w:hangingChars="350" w:hanging="735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5162550" cy="2085975"/>
            <wp:effectExtent l="19050" t="0" r="0" b="0"/>
            <wp:docPr id="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6   2020</w:t>
      </w:r>
      <w:r>
        <w:rPr>
          <w:rFonts w:ascii="宋体" w:hAnsi="宋体" w:hint="eastAsia"/>
          <w:sz w:val="24"/>
        </w:rPr>
        <w:t>年一季度全市二氧化氮月均值与上年同期比较</w:t>
      </w:r>
    </w:p>
    <w:p w:rsidR="00C32497" w:rsidRDefault="00C32497">
      <w:pPr>
        <w:tabs>
          <w:tab w:val="left" w:pos="525"/>
        </w:tabs>
        <w:ind w:leftChars="257" w:left="1380" w:hangingChars="350" w:hanging="840"/>
        <w:rPr>
          <w:rFonts w:ascii="宋体" w:hAnsi="宋体"/>
          <w:sz w:val="24"/>
        </w:rPr>
      </w:pPr>
    </w:p>
    <w:p w:rsidR="00C32497" w:rsidRDefault="008078B8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32497" w:rsidRDefault="008078B8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118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立方米，日平均浓度值范围在</w:t>
      </w:r>
      <w:r>
        <w:rPr>
          <w:rFonts w:ascii="仿宋" w:eastAsia="仿宋" w:hAnsi="仿宋" w:hint="eastAsia"/>
          <w:sz w:val="32"/>
          <w:szCs w:val="32"/>
        </w:rPr>
        <w:t>24-296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立方米之间，最大超标倍数为</w:t>
      </w:r>
      <w:r>
        <w:rPr>
          <w:rFonts w:ascii="仿宋" w:eastAsia="仿宋" w:hAnsi="仿宋" w:hint="eastAsia"/>
          <w:sz w:val="32"/>
          <w:szCs w:val="32"/>
        </w:rPr>
        <w:t>0.97</w:t>
      </w:r>
      <w:r>
        <w:rPr>
          <w:rFonts w:ascii="仿宋" w:eastAsia="仿宋" w:hAnsi="仿宋" w:hint="eastAsia"/>
          <w:sz w:val="32"/>
          <w:szCs w:val="32"/>
        </w:rPr>
        <w:t>倍</w:t>
      </w:r>
      <w:r>
        <w:rPr>
          <w:rFonts w:ascii="仿宋" w:eastAsia="仿宋" w:hAnsi="仿宋" w:hint="eastAsia"/>
          <w:sz w:val="32"/>
          <w:szCs w:val="32"/>
        </w:rPr>
        <w:t>。全市超标样本数为</w:t>
      </w: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个，超标率为</w:t>
      </w:r>
      <w:r>
        <w:rPr>
          <w:rFonts w:ascii="仿宋" w:eastAsia="仿宋" w:hAnsi="仿宋" w:hint="eastAsia"/>
          <w:sz w:val="32"/>
          <w:szCs w:val="32"/>
        </w:rPr>
        <w:t>19.8%</w:t>
      </w:r>
      <w:r>
        <w:rPr>
          <w:rFonts w:ascii="仿宋" w:eastAsia="仿宋" w:hAnsi="仿宋" w:hint="eastAsia"/>
          <w:sz w:val="32"/>
          <w:szCs w:val="32"/>
        </w:rPr>
        <w:t>。与上年同期相比，颗粒物（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10</w:t>
      </w:r>
      <w:r>
        <w:rPr>
          <w:rFonts w:ascii="仿宋" w:eastAsia="仿宋" w:hAnsi="仿宋" w:hint="eastAsia"/>
          <w:sz w:val="32"/>
          <w:szCs w:val="32"/>
        </w:rPr>
        <w:t>）季均浓度值下降</w:t>
      </w:r>
      <w:r>
        <w:rPr>
          <w:rFonts w:ascii="仿宋" w:eastAsia="仿宋" w:hAnsi="仿宋" w:hint="eastAsia"/>
          <w:sz w:val="32"/>
          <w:szCs w:val="32"/>
        </w:rPr>
        <w:t>21.3</w:t>
      </w:r>
      <w:r>
        <w:rPr>
          <w:rFonts w:ascii="仿宋" w:eastAsia="仿宋" w:hAnsi="仿宋" w:hint="eastAsia"/>
          <w:sz w:val="32"/>
          <w:szCs w:val="32"/>
        </w:rPr>
        <w:t>％。详见图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2497" w:rsidRDefault="008078B8">
      <w:pPr>
        <w:tabs>
          <w:tab w:val="left" w:pos="525"/>
        </w:tabs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114925" cy="2390775"/>
            <wp:effectExtent l="1905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97" w:rsidRDefault="008078B8">
      <w:pPr>
        <w:tabs>
          <w:tab w:val="left" w:pos="525"/>
        </w:tabs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7  2020</w:t>
      </w:r>
      <w:r>
        <w:rPr>
          <w:rFonts w:ascii="宋体" w:hAnsi="宋体" w:hint="eastAsia"/>
          <w:sz w:val="24"/>
        </w:rPr>
        <w:t>年一季度国控点颗粒物</w:t>
      </w:r>
      <w:r>
        <w:rPr>
          <w:rFonts w:ascii="宋体" w:hAnsi="宋体" w:hint="eastAsia"/>
          <w:sz w:val="24"/>
        </w:rPr>
        <w:t>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季均值与上年同期比较</w:t>
      </w:r>
    </w:p>
    <w:p w:rsidR="00C32497" w:rsidRDefault="00C32497">
      <w:pPr>
        <w:jc w:val="center"/>
      </w:pPr>
    </w:p>
    <w:p w:rsidR="00C32497" w:rsidRDefault="008078B8">
      <w:pPr>
        <w:ind w:leftChars="257" w:left="1275" w:hangingChars="350" w:hanging="735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20980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8   2020</w:t>
      </w:r>
      <w:r>
        <w:rPr>
          <w:rFonts w:ascii="宋体" w:hAnsi="宋体" w:hint="eastAsia"/>
          <w:sz w:val="24"/>
        </w:rPr>
        <w:t>年一季度全市颗粒物</w:t>
      </w:r>
      <w:r>
        <w:rPr>
          <w:rFonts w:ascii="宋体" w:hAnsi="宋体" w:hint="eastAsia"/>
          <w:sz w:val="24"/>
        </w:rPr>
        <w:t>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月均值与上年同期比较</w:t>
      </w:r>
    </w:p>
    <w:p w:rsidR="00C32497" w:rsidRDefault="00C32497">
      <w:pPr>
        <w:ind w:firstLineChars="520" w:firstLine="1248"/>
        <w:rPr>
          <w:rFonts w:ascii="宋体" w:hAnsi="宋体"/>
          <w:sz w:val="24"/>
        </w:rPr>
      </w:pPr>
    </w:p>
    <w:p w:rsidR="00C32497" w:rsidRDefault="008078B8">
      <w:pPr>
        <w:ind w:firstLineChars="171" w:firstLine="54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32497" w:rsidRDefault="008078B8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84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立方米，日平均浓度值范围在</w:t>
      </w:r>
      <w:r>
        <w:rPr>
          <w:rFonts w:ascii="仿宋" w:eastAsia="仿宋" w:hAnsi="仿宋" w:hint="eastAsia"/>
          <w:sz w:val="32"/>
          <w:szCs w:val="32"/>
        </w:rPr>
        <w:t>16-227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立方米之间，最大超标倍数为</w:t>
      </w:r>
      <w:r>
        <w:rPr>
          <w:rFonts w:ascii="仿宋" w:eastAsia="仿宋" w:hAnsi="仿宋" w:hint="eastAsia"/>
          <w:sz w:val="32"/>
          <w:szCs w:val="32"/>
        </w:rPr>
        <w:t>2.03</w:t>
      </w:r>
      <w:r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38</w:t>
      </w:r>
      <w:r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41.8%</w:t>
      </w:r>
      <w:r>
        <w:rPr>
          <w:rFonts w:ascii="仿宋" w:eastAsia="仿宋" w:hAnsi="仿宋" w:hint="eastAsia"/>
          <w:sz w:val="32"/>
          <w:szCs w:val="32"/>
        </w:rPr>
        <w:t>。与上年同期相比，颗粒物（</w:t>
      </w:r>
      <w:r>
        <w:rPr>
          <w:rFonts w:ascii="仿宋" w:eastAsia="仿宋" w:hAnsi="仿宋" w:hint="eastAsia"/>
          <w:sz w:val="32"/>
          <w:szCs w:val="32"/>
        </w:rPr>
        <w:t>PM</w:t>
      </w:r>
      <w:r>
        <w:rPr>
          <w:rFonts w:ascii="仿宋" w:eastAsia="仿宋" w:hAnsi="仿宋" w:hint="eastAsia"/>
          <w:sz w:val="32"/>
          <w:szCs w:val="32"/>
          <w:vertAlign w:val="subscript"/>
        </w:rPr>
        <w:t>2.5</w:t>
      </w:r>
      <w:r>
        <w:rPr>
          <w:rFonts w:ascii="仿宋" w:eastAsia="仿宋" w:hAnsi="仿宋" w:hint="eastAsia"/>
          <w:sz w:val="32"/>
          <w:szCs w:val="32"/>
        </w:rPr>
        <w:t>）季均浓度值下降</w:t>
      </w:r>
      <w:r>
        <w:rPr>
          <w:rFonts w:ascii="仿宋" w:eastAsia="仿宋" w:hAnsi="仿宋" w:hint="eastAsia"/>
          <w:sz w:val="32"/>
          <w:szCs w:val="32"/>
        </w:rPr>
        <w:t>15.2</w:t>
      </w:r>
      <w:r>
        <w:rPr>
          <w:rFonts w:ascii="仿宋" w:eastAsia="仿宋" w:hAnsi="仿宋" w:hint="eastAsia"/>
          <w:sz w:val="32"/>
          <w:szCs w:val="32"/>
        </w:rPr>
        <w:t>％。详见图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2497" w:rsidRDefault="008078B8">
      <w:pPr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5114925" cy="2390775"/>
            <wp:effectExtent l="1905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97" w:rsidRDefault="008078B8">
      <w:pPr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9  2020</w:t>
      </w:r>
      <w:r>
        <w:rPr>
          <w:rFonts w:ascii="宋体" w:hAnsi="宋体" w:hint="eastAsia"/>
          <w:sz w:val="24"/>
        </w:rPr>
        <w:t>年一季度国控点颗粒物</w:t>
      </w:r>
      <w:r>
        <w:rPr>
          <w:rFonts w:ascii="宋体" w:hAnsi="宋体" w:hint="eastAsia"/>
          <w:sz w:val="24"/>
        </w:rPr>
        <w:t>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季均值与上年同期比较</w:t>
      </w:r>
    </w:p>
    <w:p w:rsidR="00C32497" w:rsidRDefault="00C32497">
      <w:pPr>
        <w:ind w:firstLineChars="600" w:firstLine="1440"/>
        <w:rPr>
          <w:rFonts w:ascii="宋体" w:hAnsi="宋体"/>
          <w:sz w:val="24"/>
        </w:rPr>
      </w:pPr>
    </w:p>
    <w:p w:rsidR="00C32497" w:rsidRDefault="008078B8">
      <w:pPr>
        <w:ind w:leftChars="170" w:left="987" w:hangingChars="300" w:hanging="63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1990725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10  2020</w:t>
      </w:r>
      <w:r>
        <w:rPr>
          <w:rFonts w:ascii="宋体" w:hAnsi="宋体" w:hint="eastAsia"/>
          <w:sz w:val="24"/>
        </w:rPr>
        <w:t>年一季度全市颗粒物</w:t>
      </w:r>
      <w:r>
        <w:rPr>
          <w:rFonts w:ascii="宋体" w:hAnsi="宋体" w:hint="eastAsia"/>
          <w:sz w:val="24"/>
        </w:rPr>
        <w:t>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月均值与上年同期比较</w:t>
      </w:r>
    </w:p>
    <w:p w:rsidR="00C32497" w:rsidRDefault="00C32497">
      <w:pPr>
        <w:ind w:firstLineChars="171" w:firstLine="410"/>
        <w:rPr>
          <w:rFonts w:ascii="宋体" w:hAnsi="宋体"/>
          <w:sz w:val="24"/>
        </w:rPr>
      </w:pPr>
    </w:p>
    <w:p w:rsidR="00C32497" w:rsidRDefault="008078B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、一氧化碳</w:t>
      </w:r>
    </w:p>
    <w:p w:rsidR="00C32497" w:rsidRDefault="008078B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一季度全市一氧化碳</w:t>
      </w:r>
      <w:r>
        <w:rPr>
          <w:rFonts w:ascii="仿宋" w:eastAsia="仿宋" w:hAnsi="仿宋" w:cs="宋体" w:hint="eastAsia"/>
          <w:kern w:val="0"/>
          <w:sz w:val="32"/>
          <w:szCs w:val="32"/>
        </w:rPr>
        <w:t>24</w:t>
      </w:r>
      <w:r>
        <w:rPr>
          <w:rFonts w:ascii="仿宋" w:eastAsia="仿宋" w:hAnsi="仿宋" w:cs="宋体" w:hint="eastAsia"/>
          <w:kern w:val="0"/>
          <w:sz w:val="32"/>
          <w:szCs w:val="32"/>
        </w:rPr>
        <w:t>小时平均第</w:t>
      </w:r>
      <w:r>
        <w:rPr>
          <w:rFonts w:ascii="仿宋" w:eastAsia="仿宋" w:hAnsi="仿宋" w:cs="宋体" w:hint="eastAsia"/>
          <w:kern w:val="0"/>
          <w:sz w:val="32"/>
          <w:szCs w:val="32"/>
        </w:rPr>
        <w:t>95</w:t>
      </w:r>
      <w:r>
        <w:rPr>
          <w:rFonts w:ascii="仿宋" w:eastAsia="仿宋" w:hAnsi="仿宋" w:cs="宋体" w:hint="eastAsia"/>
          <w:kern w:val="0"/>
          <w:sz w:val="32"/>
          <w:szCs w:val="32"/>
        </w:rPr>
        <w:t>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1.9</w:t>
      </w:r>
      <w:r>
        <w:rPr>
          <w:rFonts w:ascii="仿宋" w:eastAsia="仿宋" w:hAnsi="仿宋" w:cs="宋体" w:hint="eastAsia"/>
          <w:kern w:val="0"/>
          <w:sz w:val="32"/>
          <w:szCs w:val="32"/>
        </w:rPr>
        <w:t>毫克</w:t>
      </w:r>
      <w:r>
        <w:rPr>
          <w:rFonts w:ascii="仿宋" w:eastAsia="仿宋" w:hAnsi="仿宋" w:cs="宋体" w:hint="eastAsia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</w:rPr>
        <w:t>立方米</w:t>
      </w:r>
      <w:r>
        <w:rPr>
          <w:rFonts w:ascii="仿宋" w:eastAsia="仿宋" w:hAnsi="仿宋" w:hint="eastAsia"/>
          <w:sz w:val="32"/>
          <w:szCs w:val="32"/>
        </w:rPr>
        <w:t>。日平均浓度值范围在</w:t>
      </w:r>
      <w:r>
        <w:rPr>
          <w:rFonts w:ascii="仿宋" w:eastAsia="仿宋" w:hAnsi="仿宋" w:hint="eastAsia"/>
          <w:sz w:val="32"/>
          <w:szCs w:val="32"/>
        </w:rPr>
        <w:t>0.4-2.1</w:t>
      </w:r>
      <w:r>
        <w:rPr>
          <w:rFonts w:ascii="仿宋" w:eastAsia="仿宋" w:hAnsi="仿宋" w:hint="eastAsia"/>
          <w:sz w:val="32"/>
          <w:szCs w:val="32"/>
        </w:rPr>
        <w:t>毫克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立方米之间，无超标样本。</w:t>
      </w:r>
    </w:p>
    <w:p w:rsidR="00C32497" w:rsidRDefault="008078B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、臭氧日最大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小时平均值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32497" w:rsidRDefault="008078B8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一季度全市臭氧日最大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小时</w:t>
      </w:r>
      <w:r>
        <w:rPr>
          <w:rFonts w:ascii="仿宋" w:eastAsia="仿宋" w:hAnsi="仿宋" w:cs="宋体" w:hint="eastAsia"/>
          <w:kern w:val="0"/>
          <w:sz w:val="32"/>
          <w:szCs w:val="32"/>
        </w:rPr>
        <w:t>平均第</w:t>
      </w:r>
      <w:r>
        <w:rPr>
          <w:rFonts w:ascii="仿宋" w:eastAsia="仿宋" w:hAnsi="仿宋" w:cs="宋体" w:hint="eastAsia"/>
          <w:kern w:val="0"/>
          <w:sz w:val="32"/>
          <w:szCs w:val="32"/>
        </w:rPr>
        <w:t>90</w:t>
      </w:r>
      <w:r>
        <w:rPr>
          <w:rFonts w:ascii="仿宋" w:eastAsia="仿宋" w:hAnsi="仿宋" w:cs="宋体" w:hint="eastAsia"/>
          <w:kern w:val="0"/>
          <w:sz w:val="32"/>
          <w:szCs w:val="32"/>
        </w:rPr>
        <w:t>百分位数的浓度为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110</w:t>
      </w:r>
      <w:r>
        <w:rPr>
          <w:rFonts w:ascii="仿宋" w:eastAsia="仿宋" w:hAnsi="仿宋" w:cs="宋体" w:hint="eastAsia"/>
          <w:kern w:val="0"/>
          <w:sz w:val="32"/>
          <w:szCs w:val="32"/>
        </w:rPr>
        <w:t>微克</w:t>
      </w:r>
      <w:r>
        <w:rPr>
          <w:rFonts w:ascii="仿宋" w:eastAsia="仿宋" w:hAnsi="仿宋" w:cs="宋体" w:hint="eastAsia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</w:rPr>
        <w:t>立方米。</w:t>
      </w:r>
      <w:r>
        <w:rPr>
          <w:rFonts w:ascii="仿宋" w:eastAsia="仿宋" w:hAnsi="仿宋" w:hint="eastAsia"/>
          <w:sz w:val="32"/>
          <w:szCs w:val="32"/>
        </w:rPr>
        <w:t>日最大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小时平均值的范围在</w:t>
      </w:r>
      <w:r>
        <w:rPr>
          <w:rFonts w:ascii="仿宋" w:eastAsia="仿宋" w:hAnsi="仿宋" w:hint="eastAsia"/>
          <w:sz w:val="32"/>
          <w:szCs w:val="32"/>
        </w:rPr>
        <w:t>7-144</w:t>
      </w:r>
      <w:r>
        <w:rPr>
          <w:rFonts w:ascii="仿宋" w:eastAsia="仿宋" w:hAnsi="仿宋" w:hint="eastAsia"/>
          <w:sz w:val="32"/>
          <w:szCs w:val="32"/>
        </w:rPr>
        <w:t>微克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立方米之间，无超标样本。</w:t>
      </w:r>
    </w:p>
    <w:p w:rsidR="00C32497" w:rsidRDefault="008078B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、降尘</w:t>
      </w:r>
    </w:p>
    <w:p w:rsidR="00C32497" w:rsidRDefault="008078B8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>
        <w:rPr>
          <w:rFonts w:ascii="仿宋" w:eastAsia="仿宋" w:hAnsi="仿宋" w:hint="eastAsia"/>
          <w:color w:val="000000"/>
          <w:sz w:val="32"/>
          <w:szCs w:val="32"/>
        </w:rPr>
        <w:t>年一季度降尘监测点位</w:t>
      </w:r>
      <w:r>
        <w:rPr>
          <w:rFonts w:ascii="仿宋" w:eastAsia="仿宋" w:hAnsi="仿宋" w:hint="eastAsia"/>
          <w:color w:val="000000"/>
          <w:sz w:val="32"/>
          <w:szCs w:val="32"/>
        </w:rPr>
        <w:t>14</w:t>
      </w:r>
      <w:r>
        <w:rPr>
          <w:rFonts w:ascii="仿宋" w:eastAsia="仿宋" w:hAnsi="仿宋" w:hint="eastAsia"/>
          <w:color w:val="000000"/>
          <w:sz w:val="32"/>
          <w:szCs w:val="32"/>
        </w:rPr>
        <w:t>个，因新冠肺炎疫情影响，只</w:t>
      </w:r>
      <w:r>
        <w:rPr>
          <w:rFonts w:ascii="仿宋" w:eastAsia="仿宋" w:hAnsi="仿宋" w:hint="eastAsia"/>
          <w:sz w:val="32"/>
          <w:szCs w:val="32"/>
        </w:rPr>
        <w:t>取得有效数据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个，自然降尘量月均值范围在</w:t>
      </w:r>
      <w:r>
        <w:rPr>
          <w:rFonts w:ascii="仿宋" w:eastAsia="仿宋" w:hAnsi="仿宋" w:hint="eastAsia"/>
          <w:sz w:val="32"/>
          <w:szCs w:val="32"/>
        </w:rPr>
        <w:t>2.4-14.9</w:t>
      </w:r>
      <w:r>
        <w:rPr>
          <w:rFonts w:ascii="仿宋" w:eastAsia="仿宋" w:hAnsi="仿宋" w:hint="eastAsia"/>
          <w:sz w:val="32"/>
          <w:szCs w:val="32"/>
        </w:rPr>
        <w:t>吨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平方公里·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天之间。一季度季均值为</w:t>
      </w:r>
      <w:r>
        <w:rPr>
          <w:rFonts w:ascii="仿宋" w:eastAsia="仿宋" w:hAnsi="仿宋" w:hint="eastAsia"/>
          <w:sz w:val="32"/>
          <w:szCs w:val="32"/>
        </w:rPr>
        <w:t>7.0</w:t>
      </w:r>
      <w:r>
        <w:rPr>
          <w:rFonts w:ascii="仿宋" w:eastAsia="仿宋" w:hAnsi="仿宋" w:hint="eastAsia"/>
          <w:sz w:val="32"/>
          <w:szCs w:val="32"/>
        </w:rPr>
        <w:t>吨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平方公里·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天，与上年同期相比季均值下降了</w:t>
      </w:r>
      <w:r>
        <w:rPr>
          <w:rFonts w:ascii="仿宋" w:eastAsia="仿宋" w:hAnsi="仿宋" w:hint="eastAsia"/>
          <w:sz w:val="32"/>
          <w:szCs w:val="32"/>
        </w:rPr>
        <w:t>7.9%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详见图</w:t>
      </w:r>
      <w:r>
        <w:rPr>
          <w:rFonts w:ascii="仿宋" w:eastAsia="仿宋" w:hAnsi="仿宋" w:hint="eastAsia"/>
          <w:color w:val="000000"/>
          <w:sz w:val="32"/>
          <w:szCs w:val="32"/>
        </w:rPr>
        <w:t>11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32497" w:rsidRDefault="008078B8">
      <w:pPr>
        <w:ind w:leftChars="200" w:left="630" w:hangingChars="100" w:hanging="210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914900" cy="2009775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97" w:rsidRDefault="008078B8">
      <w:pPr>
        <w:ind w:leftChars="314" w:left="659" w:firstLineChars="500" w:firstLine="12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图</w:t>
      </w:r>
      <w:r>
        <w:rPr>
          <w:rFonts w:ascii="宋体" w:hAnsi="宋体" w:hint="eastAsia"/>
          <w:color w:val="000000"/>
          <w:sz w:val="24"/>
        </w:rPr>
        <w:t>11   2020</w:t>
      </w:r>
      <w:r>
        <w:rPr>
          <w:rFonts w:ascii="宋体" w:hAnsi="宋体" w:hint="eastAsia"/>
          <w:color w:val="000000"/>
          <w:sz w:val="24"/>
        </w:rPr>
        <w:t>年一季度降尘量与上年同期比较</w:t>
      </w:r>
    </w:p>
    <w:p w:rsidR="00C32497" w:rsidRDefault="00C3249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32497" w:rsidRDefault="008078B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、降水</w:t>
      </w:r>
    </w:p>
    <w:p w:rsidR="00C32497" w:rsidRDefault="008078B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OLE_LINK7"/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年一季度降水点位为三个，分别是莲湖区站、省气象局和市监测站</w:t>
      </w:r>
      <w:r>
        <w:rPr>
          <w:rFonts w:ascii="仿宋" w:eastAsia="仿宋" w:hAnsi="仿宋" w:hint="eastAsia"/>
          <w:sz w:val="32"/>
          <w:szCs w:val="32"/>
        </w:rPr>
        <w:t xml:space="preserve">, </w:t>
      </w:r>
      <w:r>
        <w:rPr>
          <w:rFonts w:ascii="仿宋" w:eastAsia="仿宋" w:hAnsi="仿宋" w:hint="eastAsia"/>
          <w:sz w:val="32"/>
          <w:szCs w:val="32"/>
        </w:rPr>
        <w:t>共获取降水样本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个，</w:t>
      </w:r>
      <w:r>
        <w:rPr>
          <w:rFonts w:ascii="仿宋" w:eastAsia="仿宋" w:hAnsi="仿宋" w:hint="eastAsia"/>
          <w:sz w:val="32"/>
          <w:szCs w:val="32"/>
        </w:rPr>
        <w:t>pH</w:t>
      </w:r>
      <w:r>
        <w:rPr>
          <w:rFonts w:ascii="仿宋" w:eastAsia="仿宋" w:hAnsi="仿宋" w:hint="eastAsia"/>
          <w:sz w:val="32"/>
          <w:szCs w:val="32"/>
        </w:rPr>
        <w:t>季均值为</w:t>
      </w:r>
      <w:r>
        <w:rPr>
          <w:rFonts w:ascii="仿宋" w:eastAsia="仿宋" w:hAnsi="仿宋" w:hint="eastAsia"/>
          <w:sz w:val="32"/>
          <w:szCs w:val="32"/>
        </w:rPr>
        <w:t>6.88</w:t>
      </w:r>
      <w:r>
        <w:rPr>
          <w:rFonts w:ascii="仿宋" w:eastAsia="仿宋" w:hAnsi="仿宋" w:hint="eastAsia"/>
          <w:sz w:val="32"/>
          <w:szCs w:val="32"/>
        </w:rPr>
        <w:t>，无酸雨样本。上年同期，未获取降水样本。</w:t>
      </w:r>
    </w:p>
    <w:bookmarkEnd w:id="0"/>
    <w:p w:rsidR="00C32497" w:rsidRDefault="00C32497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C32497" w:rsidRDefault="008078B8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◆</w:t>
      </w:r>
      <w:r>
        <w:rPr>
          <w:rFonts w:ascii="宋体" w:hAnsi="宋体" w:hint="eastAsia"/>
          <w:b/>
          <w:bCs/>
          <w:sz w:val="32"/>
          <w:szCs w:val="32"/>
        </w:rPr>
        <w:t>水环境质量监测</w:t>
      </w:r>
    </w:p>
    <w:p w:rsidR="00C32497" w:rsidRDefault="008078B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年一季度对西安市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条河流的</w:t>
      </w:r>
      <w:r>
        <w:rPr>
          <w:rFonts w:ascii="仿宋" w:eastAsia="仿宋" w:hAnsi="仿宋" w:hint="eastAsia"/>
          <w:sz w:val="32"/>
          <w:szCs w:val="32"/>
        </w:rPr>
        <w:t>33</w:t>
      </w:r>
      <w:r>
        <w:rPr>
          <w:rFonts w:ascii="仿宋" w:eastAsia="仿宋" w:hAnsi="仿宋" w:hint="eastAsia"/>
          <w:sz w:val="32"/>
          <w:szCs w:val="32"/>
        </w:rPr>
        <w:t>个监测断面、排污渠系的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个监测断面以及饮用水源地的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个监测点位分别进行了常规监测。河流的水质状况根据《地表水环境质量标准》（</w:t>
      </w:r>
      <w:r>
        <w:rPr>
          <w:rFonts w:ascii="仿宋" w:eastAsia="仿宋" w:hAnsi="仿宋"/>
          <w:sz w:val="32"/>
          <w:szCs w:val="32"/>
        </w:rPr>
        <w:t>GB3838-2002</w:t>
      </w:r>
      <w:r>
        <w:rPr>
          <w:rFonts w:ascii="仿宋" w:eastAsia="仿宋" w:hAnsi="仿宋" w:hint="eastAsia"/>
          <w:sz w:val="32"/>
          <w:szCs w:val="32"/>
        </w:rPr>
        <w:t>）按功能区划分类别进行评价，评价项目为：</w:t>
      </w:r>
      <w:r>
        <w:rPr>
          <w:rFonts w:ascii="仿宋" w:eastAsia="仿宋" w:hAnsi="仿宋"/>
          <w:sz w:val="32"/>
          <w:szCs w:val="32"/>
        </w:rPr>
        <w:t>pH</w:t>
      </w:r>
      <w:r>
        <w:rPr>
          <w:rFonts w:ascii="仿宋" w:eastAsia="仿宋" w:hAnsi="仿宋" w:hint="eastAsia"/>
          <w:sz w:val="32"/>
          <w:szCs w:val="32"/>
        </w:rPr>
        <w:t>、溶解氧、高锰酸盐指数、化学需氧量、生化需氧量、氨氮、总磷、铜、锌、氟化物、硒、砷、汞、镉、铬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六价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、铅、氰化物、挥发酚、石油类、阴离子表面活性剂和硫化物；饮用水源地地表水水质按《地表水环境质量标准》（</w:t>
      </w:r>
      <w:r>
        <w:rPr>
          <w:rFonts w:ascii="仿宋" w:eastAsia="仿宋" w:hAnsi="仿宋"/>
          <w:sz w:val="32"/>
          <w:szCs w:val="32"/>
        </w:rPr>
        <w:t>GB3838-2002</w:t>
      </w:r>
      <w:r>
        <w:rPr>
          <w:rFonts w:ascii="仿宋" w:eastAsia="仿宋" w:hAnsi="仿宋" w:hint="eastAsia"/>
          <w:sz w:val="32"/>
          <w:szCs w:val="32"/>
        </w:rPr>
        <w:t>）Ⅲ类标准评价；饮用水源地地下水水质按</w:t>
      </w:r>
      <w:r>
        <w:rPr>
          <w:rFonts w:ascii="仿宋" w:eastAsia="仿宋" w:hAnsi="仿宋" w:hint="eastAsia"/>
          <w:sz w:val="32"/>
          <w:szCs w:val="32"/>
        </w:rPr>
        <w:lastRenderedPageBreak/>
        <w:t>《地下水质量标准》（</w:t>
      </w:r>
      <w:r>
        <w:rPr>
          <w:rFonts w:ascii="仿宋" w:eastAsia="仿宋" w:hAnsi="仿宋"/>
          <w:sz w:val="32"/>
          <w:szCs w:val="32"/>
        </w:rPr>
        <w:t>GB/T14848-20</w:t>
      </w:r>
      <w:r>
        <w:rPr>
          <w:rFonts w:ascii="仿宋" w:eastAsia="仿宋" w:hAnsi="仿宋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）Ⅲ类标准进行评价；排污渠系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个断面的水质按《地表水环境质量标准》（</w:t>
      </w:r>
      <w:r>
        <w:rPr>
          <w:rFonts w:ascii="仿宋" w:eastAsia="仿宋" w:hAnsi="仿宋"/>
          <w:sz w:val="32"/>
          <w:szCs w:val="32"/>
        </w:rPr>
        <w:t>GB3838-2002</w:t>
      </w:r>
      <w:r>
        <w:rPr>
          <w:rFonts w:ascii="仿宋" w:eastAsia="仿宋" w:hAnsi="仿宋" w:hint="eastAsia"/>
          <w:sz w:val="32"/>
          <w:szCs w:val="32"/>
        </w:rPr>
        <w:t>）的Ⅳ类标准进行评价。</w:t>
      </w:r>
    </w:p>
    <w:p w:rsidR="00C32497" w:rsidRDefault="008078B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各河流水质评价结果见图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和表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，河流主要污染物评价结果见表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，排污渠系水质评价结果见表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2497" w:rsidRDefault="008078B8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0</wp:posOffset>
            </wp:positionV>
            <wp:extent cx="6000750" cy="2838450"/>
            <wp:effectExtent l="19050" t="0" r="0" b="0"/>
            <wp:wrapNone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497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Default="008078B8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/>
          <w:sz w:val="24"/>
        </w:rPr>
        <w:t>12  20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一</w:t>
      </w:r>
      <w:r>
        <w:rPr>
          <w:rFonts w:ascii="宋体" w:hAnsi="宋体" w:hint="eastAsia"/>
          <w:kern w:val="0"/>
          <w:sz w:val="24"/>
        </w:rPr>
        <w:t>季度</w:t>
      </w:r>
      <w:r>
        <w:rPr>
          <w:rFonts w:ascii="宋体" w:hAnsi="宋体" w:hint="eastAsia"/>
          <w:sz w:val="24"/>
        </w:rPr>
        <w:t>各河流水质评价结果</w:t>
      </w:r>
    </w:p>
    <w:p w:rsidR="00C32497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tbl>
      <w:tblPr>
        <w:tblW w:w="8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975"/>
        <w:gridCol w:w="3949"/>
      </w:tblGrid>
      <w:tr w:rsidR="00C32497">
        <w:trPr>
          <w:trHeight w:val="645"/>
        </w:trPr>
        <w:tc>
          <w:tcPr>
            <w:tcW w:w="811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240" w:lineRule="atLeast"/>
              <w:ind w:firstLineChars="641" w:firstLine="1544"/>
              <w:rPr>
                <w:rFonts w:ascii="宋体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</w:t>
            </w:r>
            <w:r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1   20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年一季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度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河流水质类别评价结果</w:t>
            </w:r>
          </w:p>
        </w:tc>
      </w:tr>
      <w:tr w:rsidR="00C32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水质类别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断面个数（个）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占监测断面的百分比（</w:t>
            </w:r>
            <w:r>
              <w:rPr>
                <w:rFonts w:ascii="宋体" w:hAnsi="宋体"/>
                <w:kern w:val="0"/>
                <w:sz w:val="24"/>
              </w:rPr>
              <w:t>%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C32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C32497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 w:rsidR="008078B8">
              <w:rPr>
                <w:rFonts w:ascii="宋体" w:hAnsi="宋体" w:hint="eastAsia"/>
                <w:kern w:val="0"/>
                <w:sz w:val="24"/>
              </w:rPr>
              <w:instrText>= 1 \* ROMAN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 w:rsidR="008078B8">
              <w:rPr>
                <w:rFonts w:ascii="宋体" w:hAnsi="宋体"/>
                <w:kern w:val="0"/>
                <w:sz w:val="24"/>
              </w:rPr>
              <w:t>I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 w:rsidR="008078B8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3.0</w:t>
            </w:r>
          </w:p>
        </w:tc>
      </w:tr>
      <w:tr w:rsidR="00C32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Ⅱ类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30.3</w:t>
            </w:r>
          </w:p>
        </w:tc>
      </w:tr>
      <w:tr w:rsidR="00C32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Ⅲ类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12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36.4</w:t>
            </w:r>
          </w:p>
        </w:tc>
      </w:tr>
      <w:tr w:rsidR="00C32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IV</w:t>
            </w:r>
            <w:r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9.1</w:t>
            </w:r>
          </w:p>
        </w:tc>
      </w:tr>
      <w:tr w:rsidR="00C32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V</w:t>
            </w:r>
            <w:r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3.0</w:t>
            </w:r>
          </w:p>
        </w:tc>
      </w:tr>
      <w:tr w:rsidR="00C32497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劣</w:t>
            </w:r>
            <w:r>
              <w:rPr>
                <w:rFonts w:ascii="宋体" w:hAnsi="宋体"/>
                <w:kern w:val="0"/>
                <w:sz w:val="24"/>
              </w:rPr>
              <w:t>V</w:t>
            </w:r>
            <w:r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18.2</w:t>
            </w:r>
          </w:p>
          <w:p w:rsidR="00C32497" w:rsidRDefault="00C32497"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408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2484"/>
        <w:gridCol w:w="1843"/>
        <w:gridCol w:w="1597"/>
      </w:tblGrid>
      <w:tr w:rsidR="00C32497">
        <w:trPr>
          <w:trHeight w:val="645"/>
        </w:trPr>
        <w:tc>
          <w:tcPr>
            <w:tcW w:w="811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lastRenderedPageBreak/>
              <w:t>表</w:t>
            </w:r>
            <w:r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2     20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年一季度河流主要污染物评价结果</w:t>
            </w:r>
          </w:p>
        </w:tc>
      </w:tr>
      <w:tr w:rsidR="00C32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2194" w:type="dxa"/>
            <w:vMerge w:val="restart"/>
            <w:tcBorders>
              <w:top w:val="single" w:sz="4" w:space="0" w:color="339966"/>
              <w:left w:val="nil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监测项目</w:t>
            </w:r>
          </w:p>
        </w:tc>
        <w:tc>
          <w:tcPr>
            <w:tcW w:w="24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出现超标断面个数（个）</w:t>
            </w:r>
          </w:p>
        </w:tc>
        <w:tc>
          <w:tcPr>
            <w:tcW w:w="34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468C61"/>
              <w:right w:val="nil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最大值超标断面</w:t>
            </w:r>
          </w:p>
        </w:tc>
      </w:tr>
      <w:tr w:rsidR="00C3249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194" w:type="dxa"/>
            <w:vMerge/>
            <w:tcBorders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C324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C324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68C61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断面名称</w:t>
            </w:r>
          </w:p>
        </w:tc>
        <w:tc>
          <w:tcPr>
            <w:tcW w:w="1597" w:type="dxa"/>
            <w:tcBorders>
              <w:top w:val="single" w:sz="4" w:space="0" w:color="468C61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超标倍数</w:t>
            </w:r>
          </w:p>
        </w:tc>
      </w:tr>
      <w:tr w:rsidR="00C32497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氨氮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C32497" w:rsidRDefault="008078B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丈八沟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2.77</w:t>
            </w:r>
          </w:p>
        </w:tc>
      </w:tr>
      <w:tr w:rsidR="00C32497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总磷（以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P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计）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丈八沟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3.77</w:t>
            </w:r>
          </w:p>
        </w:tc>
      </w:tr>
      <w:tr w:rsidR="00C32497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高锰酸盐指数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丈八沟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0.12</w:t>
            </w:r>
          </w:p>
        </w:tc>
      </w:tr>
      <w:tr w:rsidR="00C32497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溶解氧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C32497" w:rsidRDefault="008078B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滈入潏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0.09</w:t>
            </w:r>
          </w:p>
        </w:tc>
      </w:tr>
      <w:tr w:rsidR="00C32497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化学需氧量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468C61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丈八沟</w:t>
            </w:r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thinThickSmallGap" w:sz="24" w:space="0" w:color="339966"/>
              <w:right w:val="nil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0.10</w:t>
            </w:r>
          </w:p>
        </w:tc>
      </w:tr>
    </w:tbl>
    <w:p w:rsidR="00C32497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tbl>
      <w:tblPr>
        <w:tblpPr w:leftFromText="180" w:rightFromText="180" w:vertAnchor="page" w:horzAnchor="margin" w:tblpY="7456"/>
        <w:tblW w:w="8322" w:type="dxa"/>
        <w:tblBorders>
          <w:top w:val="single" w:sz="6" w:space="0" w:color="339966"/>
          <w:bottom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4A0"/>
      </w:tblPr>
      <w:tblGrid>
        <w:gridCol w:w="657"/>
        <w:gridCol w:w="1251"/>
        <w:gridCol w:w="1260"/>
        <w:gridCol w:w="1260"/>
        <w:gridCol w:w="1620"/>
        <w:gridCol w:w="2274"/>
      </w:tblGrid>
      <w:tr w:rsidR="00C32497">
        <w:trPr>
          <w:trHeight w:val="645"/>
        </w:trPr>
        <w:tc>
          <w:tcPr>
            <w:tcW w:w="8322" w:type="dxa"/>
            <w:gridSpan w:val="6"/>
            <w:shd w:val="clear" w:color="auto" w:fill="339966"/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</w:t>
            </w:r>
            <w:r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3    20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年一季度排污渠系水质综合评价结果</w:t>
            </w:r>
          </w:p>
        </w:tc>
      </w:tr>
      <w:tr w:rsidR="00C32497">
        <w:trPr>
          <w:cantSplit/>
          <w:trHeight w:val="412"/>
        </w:trPr>
        <w:tc>
          <w:tcPr>
            <w:tcW w:w="657" w:type="dxa"/>
            <w:vMerge w:val="restart"/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断面</w:t>
            </w:r>
          </w:p>
          <w:p w:rsidR="00C32497" w:rsidRDefault="008078B8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251" w:type="dxa"/>
            <w:vMerge w:val="restart"/>
            <w:vAlign w:val="center"/>
          </w:tcPr>
          <w:p w:rsidR="00C32497" w:rsidRDefault="00807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断面</w:t>
            </w:r>
          </w:p>
          <w:p w:rsidR="00C32497" w:rsidRDefault="00807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:rsidR="00C32497" w:rsidRDefault="008078B8" w:rsidP="00622F2D">
            <w:pPr>
              <w:autoSpaceDE w:val="0"/>
              <w:autoSpaceDN w:val="0"/>
              <w:adjustRightInd w:val="0"/>
              <w:ind w:firstLineChars="99" w:firstLine="238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污染综合指数</w:t>
            </w:r>
          </w:p>
        </w:tc>
        <w:tc>
          <w:tcPr>
            <w:tcW w:w="1620" w:type="dxa"/>
            <w:vMerge w:val="restart"/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变化百分比</w:t>
            </w:r>
            <w:r>
              <w:rPr>
                <w:rFonts w:ascii="宋体" w:hAnsi="宋体"/>
                <w:sz w:val="24"/>
              </w:rPr>
              <w:t>(%)</w:t>
            </w:r>
          </w:p>
        </w:tc>
        <w:tc>
          <w:tcPr>
            <w:tcW w:w="2274" w:type="dxa"/>
            <w:vMerge w:val="restart"/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主要超标污染物</w:t>
            </w:r>
          </w:p>
        </w:tc>
      </w:tr>
      <w:tr w:rsidR="00C32497">
        <w:trPr>
          <w:cantSplit/>
          <w:trHeight w:val="419"/>
        </w:trPr>
        <w:tc>
          <w:tcPr>
            <w:tcW w:w="657" w:type="dxa"/>
            <w:vMerge/>
            <w:vAlign w:val="center"/>
          </w:tcPr>
          <w:p w:rsidR="00C32497" w:rsidRDefault="00C3249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1" w:type="dxa"/>
            <w:vMerge/>
            <w:vAlign w:val="center"/>
          </w:tcPr>
          <w:p w:rsidR="00C32497" w:rsidRDefault="00C32497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:rsidR="00C32497" w:rsidRDefault="008078B8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一</w:t>
            </w:r>
            <w:r>
              <w:rPr>
                <w:rFonts w:ascii="宋体" w:hAnsi="宋体" w:hint="eastAsia"/>
                <w:sz w:val="24"/>
              </w:rPr>
              <w:t>季度</w:t>
            </w:r>
          </w:p>
        </w:tc>
        <w:tc>
          <w:tcPr>
            <w:tcW w:w="1260" w:type="dxa"/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:rsidR="00C32497" w:rsidRDefault="008078B8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一</w:t>
            </w:r>
            <w:r>
              <w:rPr>
                <w:rFonts w:ascii="宋体" w:hAnsi="宋体" w:hint="eastAsia"/>
                <w:sz w:val="24"/>
              </w:rPr>
              <w:t>季度</w:t>
            </w:r>
          </w:p>
        </w:tc>
        <w:tc>
          <w:tcPr>
            <w:tcW w:w="1620" w:type="dxa"/>
            <w:vMerge/>
            <w:vAlign w:val="center"/>
          </w:tcPr>
          <w:p w:rsidR="00C32497" w:rsidRDefault="00C3249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274" w:type="dxa"/>
            <w:vMerge/>
            <w:vAlign w:val="center"/>
          </w:tcPr>
          <w:p w:rsidR="00C32497" w:rsidRDefault="00C32497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32497">
        <w:trPr>
          <w:trHeight w:val="668"/>
        </w:trPr>
        <w:tc>
          <w:tcPr>
            <w:tcW w:w="657" w:type="dxa"/>
            <w:vAlign w:val="center"/>
          </w:tcPr>
          <w:p w:rsidR="00C32497" w:rsidRDefault="00807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1251" w:type="dxa"/>
            <w:vAlign w:val="center"/>
          </w:tcPr>
          <w:p w:rsidR="00C32497" w:rsidRDefault="00807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贾家滩</w:t>
            </w:r>
          </w:p>
        </w:tc>
        <w:tc>
          <w:tcPr>
            <w:tcW w:w="1260" w:type="dxa"/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4.47</w:t>
            </w:r>
          </w:p>
        </w:tc>
        <w:tc>
          <w:tcPr>
            <w:tcW w:w="1260" w:type="dxa"/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6.90</w:t>
            </w:r>
          </w:p>
        </w:tc>
        <w:tc>
          <w:tcPr>
            <w:tcW w:w="1620" w:type="dxa"/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54.4</w:t>
            </w:r>
          </w:p>
        </w:tc>
        <w:tc>
          <w:tcPr>
            <w:tcW w:w="2274" w:type="dxa"/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ind w:firstLineChars="350" w:firstLine="84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氨氮</w:t>
            </w:r>
          </w:p>
        </w:tc>
      </w:tr>
      <w:tr w:rsidR="00C32497">
        <w:trPr>
          <w:trHeight w:val="694"/>
        </w:trPr>
        <w:tc>
          <w:tcPr>
            <w:tcW w:w="657" w:type="dxa"/>
            <w:vAlign w:val="center"/>
          </w:tcPr>
          <w:p w:rsidR="00C32497" w:rsidRDefault="00807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1251" w:type="dxa"/>
            <w:vAlign w:val="center"/>
          </w:tcPr>
          <w:p w:rsidR="00C32497" w:rsidRDefault="00807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西兴隆</w:t>
            </w:r>
          </w:p>
        </w:tc>
        <w:tc>
          <w:tcPr>
            <w:tcW w:w="1260" w:type="dxa"/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5.69</w:t>
            </w:r>
          </w:p>
        </w:tc>
        <w:tc>
          <w:tcPr>
            <w:tcW w:w="1260" w:type="dxa"/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3.68</w:t>
            </w:r>
          </w:p>
        </w:tc>
        <w:tc>
          <w:tcPr>
            <w:tcW w:w="1620" w:type="dxa"/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-35.3</w:t>
            </w:r>
          </w:p>
        </w:tc>
        <w:tc>
          <w:tcPr>
            <w:tcW w:w="2274" w:type="dxa"/>
            <w:vAlign w:val="center"/>
          </w:tcPr>
          <w:p w:rsidR="00C32497" w:rsidRDefault="008078B8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int="eastAsia"/>
                <w:kern w:val="0"/>
                <w:sz w:val="24"/>
              </w:rPr>
              <w:t>——</w:t>
            </w:r>
          </w:p>
        </w:tc>
      </w:tr>
      <w:tr w:rsidR="00C32497">
        <w:trPr>
          <w:trHeight w:val="694"/>
        </w:trPr>
        <w:tc>
          <w:tcPr>
            <w:tcW w:w="1908" w:type="dxa"/>
            <w:gridSpan w:val="2"/>
            <w:tcBorders>
              <w:bottom w:val="thinThickSmallGap" w:sz="2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10.16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10.58</w:t>
            </w:r>
          </w:p>
        </w:tc>
        <w:tc>
          <w:tcPr>
            <w:tcW w:w="1620" w:type="dxa"/>
            <w:tcBorders>
              <w:bottom w:val="thinThickSmallGap" w:sz="24" w:space="0" w:color="339966"/>
            </w:tcBorders>
            <w:vAlign w:val="center"/>
          </w:tcPr>
          <w:p w:rsidR="00C32497" w:rsidRDefault="0080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4.1</w:t>
            </w:r>
          </w:p>
        </w:tc>
        <w:tc>
          <w:tcPr>
            <w:tcW w:w="2274" w:type="dxa"/>
            <w:tcBorders>
              <w:bottom w:val="thinThickSmallGap" w:sz="24" w:space="0" w:color="339966"/>
            </w:tcBorders>
            <w:vAlign w:val="center"/>
          </w:tcPr>
          <w:p w:rsidR="00C32497" w:rsidRDefault="00C32497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</w:tbl>
    <w:p w:rsidR="00C32497" w:rsidRDefault="00C32497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C32497" w:rsidRDefault="008078B8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监测结果表明：</w:t>
      </w:r>
    </w:p>
    <w:p w:rsidR="00C32497" w:rsidRDefault="008078B8" w:rsidP="003B4E4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年一季度西安市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条河流污染程度由重至轻排序依次为：皂河〉新河〉临河〉滈河〉太平河〉泾河〉潏河〉浐河〉石川河〉涝河〉沣河〉渭河〉灞河〉黑河。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条河流中，皂河的水质污染较去年同期略有加重，综合污染指数较</w:t>
      </w:r>
      <w:r>
        <w:rPr>
          <w:rFonts w:ascii="仿宋" w:eastAsia="仿宋" w:hAnsi="仿宋" w:hint="eastAsia"/>
          <w:sz w:val="32"/>
          <w:szCs w:val="32"/>
        </w:rPr>
        <w:lastRenderedPageBreak/>
        <w:t>去年上升</w:t>
      </w:r>
      <w:r>
        <w:rPr>
          <w:rFonts w:ascii="仿宋" w:eastAsia="仿宋" w:hAnsi="仿宋" w:hint="eastAsia"/>
          <w:sz w:val="32"/>
          <w:szCs w:val="32"/>
        </w:rPr>
        <w:t>20.2%</w:t>
      </w:r>
      <w:r>
        <w:rPr>
          <w:rFonts w:ascii="仿宋" w:eastAsia="仿宋" w:hAnsi="仿宋" w:hint="eastAsia"/>
          <w:sz w:val="32"/>
          <w:szCs w:val="32"/>
        </w:rPr>
        <w:t>，其余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条河流的水质污染较去年同期均有不同程度的减轻，降幅在</w:t>
      </w:r>
      <w:r>
        <w:rPr>
          <w:rFonts w:ascii="仿宋" w:eastAsia="仿宋" w:hAnsi="仿宋" w:hint="eastAsia"/>
          <w:sz w:val="32"/>
          <w:szCs w:val="32"/>
        </w:rPr>
        <w:t>10.6%</w:t>
      </w:r>
      <w:r>
        <w:rPr>
          <w:rFonts w:ascii="仿宋" w:eastAsia="仿宋" w:hAnsi="仿宋" w:hint="eastAsia"/>
          <w:kern w:val="0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52.3%</w:t>
      </w:r>
      <w:r>
        <w:rPr>
          <w:rFonts w:ascii="仿宋" w:eastAsia="仿宋" w:hAnsi="仿宋" w:hint="eastAsia"/>
          <w:sz w:val="32"/>
          <w:szCs w:val="32"/>
        </w:rPr>
        <w:t>之间，河流综合污染指数较上年同期下降了</w:t>
      </w:r>
      <w:r>
        <w:rPr>
          <w:rFonts w:ascii="仿宋" w:eastAsia="仿宋" w:hAnsi="仿宋" w:hint="eastAsia"/>
          <w:sz w:val="32"/>
          <w:szCs w:val="32"/>
        </w:rPr>
        <w:t>28.1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，整体水质污染减轻。</w:t>
      </w:r>
    </w:p>
    <w:p w:rsidR="00C32497" w:rsidRDefault="008078B8">
      <w:pPr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年一季度全市</w:t>
      </w:r>
      <w:r>
        <w:rPr>
          <w:rFonts w:ascii="仿宋" w:eastAsia="仿宋" w:hAnsi="仿宋" w:hint="eastAsia"/>
          <w:sz w:val="32"/>
          <w:szCs w:val="32"/>
        </w:rPr>
        <w:t>33</w:t>
      </w:r>
      <w:r>
        <w:rPr>
          <w:rFonts w:ascii="仿宋" w:eastAsia="仿宋" w:hAnsi="仿宋" w:hint="eastAsia"/>
          <w:sz w:val="32"/>
          <w:szCs w:val="32"/>
        </w:rPr>
        <w:t>个监测断面中，有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个监测断面的水质达到其功能区划分类别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其余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个未达标的断面分别是丈八沟、雁秋门、农场西站、浐河口、文涝路、杜曲、滈入潏、临河入渭口和新河入渭口监测断面。在</w:t>
      </w:r>
      <w:r>
        <w:rPr>
          <w:rFonts w:ascii="仿宋" w:eastAsia="仿宋" w:hAnsi="仿宋" w:hint="eastAsia"/>
          <w:sz w:val="32"/>
          <w:szCs w:val="32"/>
        </w:rPr>
        <w:t>33</w:t>
      </w:r>
      <w:r>
        <w:rPr>
          <w:rFonts w:ascii="仿宋" w:eastAsia="仿宋" w:hAnsi="仿宋" w:hint="eastAsia"/>
          <w:sz w:val="32"/>
          <w:szCs w:val="32"/>
        </w:rPr>
        <w:t>个监测断面中，有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个断面达到</w:t>
      </w:r>
      <w:r w:rsidR="00C32497"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 w:hint="eastAsia"/>
          <w:sz w:val="32"/>
          <w:szCs w:val="32"/>
        </w:rPr>
        <w:instrText>= 1 \* ROMAN</w:instrText>
      </w:r>
      <w:r w:rsidR="00C32497"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/>
          <w:sz w:val="32"/>
          <w:szCs w:val="32"/>
        </w:rPr>
        <w:t>I</w:t>
      </w:r>
      <w:r w:rsidR="00C32497"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类水质，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个断面达到Ⅱ类水质，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个断面达到Ⅲ类水质，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个断面达到Ⅳ类水质，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个断面为</w:t>
      </w:r>
      <w:r>
        <w:rPr>
          <w:rFonts w:ascii="仿宋" w:eastAsia="仿宋" w:hAnsi="仿宋"/>
          <w:sz w:val="32"/>
          <w:szCs w:val="32"/>
        </w:rPr>
        <w:t>V</w:t>
      </w:r>
      <w:r>
        <w:rPr>
          <w:rFonts w:ascii="仿宋" w:eastAsia="仿宋" w:hAnsi="仿宋" w:hint="eastAsia"/>
          <w:sz w:val="32"/>
          <w:szCs w:val="32"/>
        </w:rPr>
        <w:t>类水质，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个断面为劣</w:t>
      </w:r>
      <w:r>
        <w:rPr>
          <w:rFonts w:ascii="仿宋" w:eastAsia="仿宋" w:hAnsi="仿宋"/>
          <w:sz w:val="32"/>
          <w:szCs w:val="32"/>
        </w:rPr>
        <w:t>V</w:t>
      </w:r>
      <w:r>
        <w:rPr>
          <w:rFonts w:ascii="仿宋" w:eastAsia="仿宋" w:hAnsi="仿宋" w:hint="eastAsia"/>
          <w:sz w:val="32"/>
          <w:szCs w:val="32"/>
        </w:rPr>
        <w:t>类水质。河流的主要污染物为氨氮和总磷。</w:t>
      </w:r>
    </w:p>
    <w:p w:rsidR="00C32497" w:rsidRDefault="008078B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一季度排污渠系监测断面为贾家滩和西兴隆断面。贾家滩监测断面的水质超过《地表水环境质量标准》（</w:t>
      </w:r>
      <w:r>
        <w:rPr>
          <w:rFonts w:ascii="仿宋" w:eastAsia="仿宋" w:hAnsi="仿宋"/>
          <w:sz w:val="32"/>
          <w:szCs w:val="32"/>
        </w:rPr>
        <w:t>GB3838-2002</w:t>
      </w:r>
      <w:r>
        <w:rPr>
          <w:rFonts w:ascii="仿宋" w:eastAsia="仿宋" w:hAnsi="仿宋" w:hint="eastAsia"/>
          <w:sz w:val="32"/>
          <w:szCs w:val="32"/>
        </w:rPr>
        <w:t>）的Ⅳ类标准，为劣</w:t>
      </w:r>
      <w:r>
        <w:rPr>
          <w:rFonts w:ascii="仿宋" w:eastAsia="仿宋" w:hAnsi="仿宋"/>
          <w:sz w:val="32"/>
          <w:szCs w:val="32"/>
        </w:rPr>
        <w:t>V</w:t>
      </w:r>
      <w:r>
        <w:rPr>
          <w:rFonts w:ascii="仿宋" w:eastAsia="仿宋" w:hAnsi="仿宋" w:hint="eastAsia"/>
          <w:sz w:val="32"/>
          <w:szCs w:val="32"/>
        </w:rPr>
        <w:t>类水质；西兴隆断面的所有监测项目均达标，为Ⅳ类水质。</w:t>
      </w:r>
    </w:p>
    <w:p w:rsidR="00C32497" w:rsidRDefault="008078B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年一季度全市饮用水源地取水总量为</w:t>
      </w:r>
      <w:r>
        <w:rPr>
          <w:rFonts w:ascii="仿宋" w:eastAsia="仿宋" w:hAnsi="仿宋" w:hint="eastAsia"/>
          <w:sz w:val="32"/>
          <w:szCs w:val="32"/>
        </w:rPr>
        <w:t>10722.07</w:t>
      </w:r>
      <w:r>
        <w:rPr>
          <w:rFonts w:ascii="仿宋" w:eastAsia="仿宋" w:hAnsi="仿宋" w:hint="eastAsia"/>
          <w:sz w:val="32"/>
          <w:szCs w:val="32"/>
        </w:rPr>
        <w:t>万吨，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个监测点位的所有项目全部达到《地表水环境质量标准》（</w:t>
      </w:r>
      <w:r>
        <w:rPr>
          <w:rFonts w:ascii="仿宋" w:eastAsia="仿宋" w:hAnsi="仿宋"/>
          <w:sz w:val="32"/>
          <w:szCs w:val="32"/>
        </w:rPr>
        <w:t>GB3838-2002</w:t>
      </w:r>
      <w:r>
        <w:rPr>
          <w:rFonts w:ascii="仿宋" w:eastAsia="仿宋" w:hAnsi="仿宋" w:hint="eastAsia"/>
          <w:sz w:val="32"/>
          <w:szCs w:val="32"/>
        </w:rPr>
        <w:t>）和《地下水质量标准》（</w:t>
      </w:r>
      <w:r>
        <w:rPr>
          <w:rFonts w:ascii="仿宋" w:eastAsia="仿宋" w:hAnsi="仿宋"/>
          <w:sz w:val="32"/>
          <w:szCs w:val="32"/>
        </w:rPr>
        <w:t>GB/T14848-2017</w:t>
      </w:r>
      <w:r>
        <w:rPr>
          <w:rFonts w:ascii="仿宋" w:eastAsia="仿宋" w:hAnsi="仿宋" w:hint="eastAsia"/>
          <w:sz w:val="32"/>
          <w:szCs w:val="32"/>
        </w:rPr>
        <w:t>）的Ⅲ类标准。一季度西安市饮用水源地水质达标率为</w:t>
      </w:r>
      <w:r>
        <w:rPr>
          <w:rFonts w:ascii="仿宋" w:eastAsia="仿宋" w:hAnsi="仿宋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2497" w:rsidRDefault="00C32497">
      <w:pPr>
        <w:tabs>
          <w:tab w:val="left" w:pos="3285"/>
        </w:tabs>
        <w:spacing w:line="360" w:lineRule="auto"/>
        <w:ind w:firstLineChars="200" w:firstLine="643"/>
        <w:rPr>
          <w:rFonts w:ascii="宋体" w:hAnsi="宋体"/>
          <w:b/>
          <w:color w:val="FF0000"/>
          <w:sz w:val="32"/>
          <w:szCs w:val="32"/>
        </w:rPr>
      </w:pPr>
    </w:p>
    <w:p w:rsidR="00C32497" w:rsidRDefault="008078B8">
      <w:pPr>
        <w:rPr>
          <w:rFonts w:ascii="宋体" w:hAnsi="宋体"/>
          <w:b/>
          <w:sz w:val="32"/>
          <w:szCs w:val="32"/>
        </w:rPr>
      </w:pPr>
      <w:bookmarkStart w:id="1" w:name="OLE_LINK8"/>
      <w:r>
        <w:rPr>
          <w:rFonts w:ascii="宋体" w:hAnsi="宋体" w:hint="eastAsia"/>
          <w:b/>
          <w:sz w:val="32"/>
          <w:szCs w:val="32"/>
        </w:rPr>
        <w:t>◆声环境质量监测</w:t>
      </w:r>
    </w:p>
    <w:p w:rsidR="00C32497" w:rsidRDefault="008078B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年一季度全市功能区噪声监测点位为</w:t>
      </w:r>
      <w:r>
        <w:rPr>
          <w:rFonts w:ascii="仿宋" w:eastAsia="仿宋" w:hAnsi="仿宋" w:hint="eastAsia"/>
          <w:color w:val="000000"/>
          <w:sz w:val="32"/>
          <w:szCs w:val="32"/>
        </w:rPr>
        <w:t>陕西宾馆、建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筑科技大学、东六路、省气象局、钟楼、汉庭连</w:t>
      </w:r>
      <w:r>
        <w:rPr>
          <w:rFonts w:ascii="仿宋" w:eastAsia="仿宋" w:hAnsi="仿宋" w:hint="eastAsia"/>
          <w:sz w:val="32"/>
          <w:szCs w:val="32"/>
        </w:rPr>
        <w:t>锁酒店丝绸群雕店（原高压电瓷厂）、四医大贵宾楼（原搪瓷厂）、西五路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个点位，分别代表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个类型区域，其中陕西宾馆代表特殊住宅区；建筑科技大学代表居民文教区；东六路、省气象局、钟楼代表</w:t>
      </w:r>
      <w:r>
        <w:rPr>
          <w:rFonts w:ascii="仿宋" w:eastAsia="仿宋" w:hAnsi="仿宋" w:hint="eastAsia"/>
          <w:color w:val="000000"/>
          <w:sz w:val="32"/>
          <w:szCs w:val="32"/>
        </w:rPr>
        <w:t>居住、商业、工业混杂区</w:t>
      </w:r>
      <w:r>
        <w:rPr>
          <w:rFonts w:ascii="仿宋" w:eastAsia="仿宋" w:hAnsi="仿宋" w:hint="eastAsia"/>
          <w:sz w:val="32"/>
          <w:szCs w:val="32"/>
        </w:rPr>
        <w:t>；汉庭连锁酒店丝绸群雕店代表工业集中区；四医大贵宾楼和西五路代表交通干线道路两侧区。每季度监测一次。受疫情影响，陕西宾馆、建筑科技大学和省气象局未能监测。</w:t>
      </w:r>
    </w:p>
    <w:p w:rsidR="00C32497" w:rsidRDefault="008078B8">
      <w:pPr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年一季度对西安市功能区噪声进行了例行监测，结果见表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及图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8528" w:type="dxa"/>
        <w:tblLayout w:type="fixed"/>
        <w:tblLook w:val="04A0"/>
      </w:tblPr>
      <w:tblGrid>
        <w:gridCol w:w="776"/>
        <w:gridCol w:w="776"/>
        <w:gridCol w:w="776"/>
        <w:gridCol w:w="776"/>
        <w:gridCol w:w="776"/>
        <w:gridCol w:w="776"/>
        <w:gridCol w:w="778"/>
        <w:gridCol w:w="776"/>
        <w:gridCol w:w="778"/>
        <w:gridCol w:w="776"/>
        <w:gridCol w:w="764"/>
      </w:tblGrid>
      <w:tr w:rsidR="00C32497">
        <w:trPr>
          <w:trHeight w:val="300"/>
        </w:trPr>
        <w:tc>
          <w:tcPr>
            <w:tcW w:w="8528" w:type="dxa"/>
            <w:gridSpan w:val="11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000000" w:fill="339966"/>
            <w:vAlign w:val="center"/>
          </w:tcPr>
          <w:p w:rsidR="00C32497" w:rsidRDefault="008078B8">
            <w:pPr>
              <w:rPr>
                <w:rFonts w:ascii="黑体" w:eastAsia="黑体" w:hAnsi="黑体"/>
                <w:color w:val="FFFFFF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表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 xml:space="preserve">4       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2020</w:t>
            </w:r>
            <w:r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年一季度西安市功能区噪声定期监测统计</w:t>
            </w:r>
          </w:p>
        </w:tc>
      </w:tr>
      <w:tr w:rsidR="00C32497">
        <w:trPr>
          <w:trHeight w:val="645"/>
        </w:trPr>
        <w:tc>
          <w:tcPr>
            <w:tcW w:w="776" w:type="dxa"/>
            <w:vMerge w:val="restar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功能区</w:t>
            </w:r>
          </w:p>
        </w:tc>
        <w:tc>
          <w:tcPr>
            <w:tcW w:w="1552" w:type="dxa"/>
            <w:gridSpan w:val="2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特殊住宅区</w:t>
            </w:r>
          </w:p>
        </w:tc>
        <w:tc>
          <w:tcPr>
            <w:tcW w:w="1552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居民文教区</w:t>
            </w:r>
          </w:p>
        </w:tc>
        <w:tc>
          <w:tcPr>
            <w:tcW w:w="1554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居住、商业、工业混杂区</w:t>
            </w:r>
          </w:p>
        </w:tc>
        <w:tc>
          <w:tcPr>
            <w:tcW w:w="1554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工业集中区</w:t>
            </w:r>
          </w:p>
        </w:tc>
        <w:tc>
          <w:tcPr>
            <w:tcW w:w="1540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交通干线道路两侧区</w:t>
            </w:r>
          </w:p>
        </w:tc>
      </w:tr>
      <w:tr w:rsidR="00C32497">
        <w:trPr>
          <w:trHeight w:val="645"/>
        </w:trPr>
        <w:tc>
          <w:tcPr>
            <w:tcW w:w="776" w:type="dxa"/>
            <w:vMerge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vAlign w:val="center"/>
          </w:tcPr>
          <w:p w:rsidR="00C32497" w:rsidRDefault="00C32497">
            <w:pPr>
              <w:jc w:val="center"/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昼间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夜间</w:t>
            </w:r>
          </w:p>
        </w:tc>
      </w:tr>
      <w:tr w:rsidR="00C32497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上年同期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t>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t>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t>69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</w:tr>
      <w:tr w:rsidR="00C32497">
        <w:trPr>
          <w:trHeight w:val="330"/>
        </w:trPr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本季度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t>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t>61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t>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C32497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国标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778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339966"/>
            </w:tcBorders>
            <w:shd w:val="clear" w:color="auto" w:fill="auto"/>
            <w:vAlign w:val="center"/>
          </w:tcPr>
          <w:p w:rsidR="00C32497" w:rsidRDefault="008078B8">
            <w:pPr>
              <w:jc w:val="center"/>
            </w:pPr>
            <w:r>
              <w:rPr>
                <w:rFonts w:hint="eastAsia"/>
              </w:rPr>
              <w:t>55</w:t>
            </w:r>
          </w:p>
        </w:tc>
      </w:tr>
    </w:tbl>
    <w:p w:rsidR="00C32497" w:rsidRDefault="008078B8">
      <w:pPr>
        <w:spacing w:line="360" w:lineRule="auto"/>
        <w:ind w:firstLineChars="192" w:firstLine="403"/>
      </w:pPr>
      <w:r>
        <w:rPr>
          <w:rFonts w:hint="eastAsia"/>
        </w:rPr>
        <w:t>注：栏目中倾斜字体的噪声值属于超标。</w:t>
      </w:r>
    </w:p>
    <w:p w:rsidR="00C32497" w:rsidRDefault="008078B8">
      <w:pPr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由表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可知，全市功能区噪声监测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个区域中，昼间噪声均达标；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个功能区的夜间噪声中</w:t>
      </w:r>
      <w:r>
        <w:rPr>
          <w:rFonts w:ascii="仿宋" w:eastAsia="仿宋" w:hAnsi="仿宋" w:hint="eastAsia"/>
          <w:color w:val="000000"/>
          <w:sz w:val="32"/>
          <w:szCs w:val="32"/>
        </w:rPr>
        <w:t>居住、商业、工业</w:t>
      </w:r>
      <w:r>
        <w:rPr>
          <w:rFonts w:ascii="仿宋" w:eastAsia="仿宋" w:hAnsi="仿宋" w:hint="eastAsia"/>
          <w:sz w:val="32"/>
          <w:szCs w:val="32"/>
        </w:rPr>
        <w:t>混杂区达标，其余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个功能区均超标。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个功能区中噪声最低的是</w:t>
      </w:r>
      <w:r>
        <w:rPr>
          <w:rFonts w:ascii="仿宋" w:eastAsia="仿宋" w:hAnsi="仿宋" w:hint="eastAsia"/>
          <w:color w:val="000000"/>
          <w:sz w:val="32"/>
          <w:szCs w:val="32"/>
        </w:rPr>
        <w:t>居住、商业、工业</w:t>
      </w:r>
      <w:r>
        <w:rPr>
          <w:rFonts w:ascii="仿宋" w:eastAsia="仿宋" w:hAnsi="仿宋" w:hint="eastAsia"/>
          <w:sz w:val="32"/>
          <w:szCs w:val="32"/>
        </w:rPr>
        <w:t>混杂区的夜间噪声，最高的是交通干线道路两侧区的昼间噪声。</w:t>
      </w:r>
    </w:p>
    <w:p w:rsidR="00C32497" w:rsidRDefault="008078B8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从图</w:t>
      </w:r>
      <w:r>
        <w:rPr>
          <w:rFonts w:ascii="仿宋" w:eastAsia="仿宋" w:hAnsi="仿宋" w:hint="eastAsia"/>
          <w:color w:val="000000"/>
          <w:sz w:val="32"/>
          <w:szCs w:val="32"/>
        </w:rPr>
        <w:t>13</w:t>
      </w:r>
      <w:r>
        <w:rPr>
          <w:rFonts w:ascii="仿宋" w:eastAsia="仿宋" w:hAnsi="仿宋" w:hint="eastAsia"/>
          <w:color w:val="000000"/>
          <w:sz w:val="32"/>
          <w:szCs w:val="32"/>
        </w:rPr>
        <w:t>、图</w:t>
      </w:r>
      <w:r>
        <w:rPr>
          <w:rFonts w:ascii="仿宋" w:eastAsia="仿宋" w:hAnsi="仿宋" w:hint="eastAsia"/>
          <w:color w:val="000000"/>
          <w:sz w:val="32"/>
          <w:szCs w:val="32"/>
        </w:rPr>
        <w:t>14</w:t>
      </w:r>
      <w:r>
        <w:rPr>
          <w:rFonts w:ascii="仿宋" w:eastAsia="仿宋" w:hAnsi="仿宋" w:hint="eastAsia"/>
          <w:color w:val="000000"/>
          <w:sz w:val="32"/>
          <w:szCs w:val="32"/>
        </w:rPr>
        <w:t>可看出：与上年同期相比，居住、商业、工业</w:t>
      </w:r>
      <w:r>
        <w:rPr>
          <w:rFonts w:ascii="仿宋" w:eastAsia="仿宋" w:hAnsi="仿宋" w:hint="eastAsia"/>
          <w:sz w:val="32"/>
          <w:szCs w:val="32"/>
        </w:rPr>
        <w:t>混杂区</w:t>
      </w:r>
      <w:r>
        <w:rPr>
          <w:rFonts w:ascii="仿宋" w:eastAsia="仿宋" w:hAnsi="仿宋" w:hint="eastAsia"/>
          <w:color w:val="000000"/>
          <w:sz w:val="32"/>
          <w:szCs w:val="32"/>
        </w:rPr>
        <w:t>昼间噪声上升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分贝，夜间噪声下降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分贝；</w:t>
      </w:r>
      <w:r>
        <w:rPr>
          <w:rFonts w:ascii="仿宋" w:eastAsia="仿宋" w:hAnsi="仿宋" w:hint="eastAsia"/>
          <w:sz w:val="32"/>
          <w:szCs w:val="32"/>
        </w:rPr>
        <w:t>工业集中区</w:t>
      </w:r>
      <w:r>
        <w:rPr>
          <w:rFonts w:ascii="仿宋" w:eastAsia="仿宋" w:hAnsi="仿宋" w:hint="eastAsia"/>
          <w:color w:val="000000"/>
          <w:sz w:val="32"/>
          <w:szCs w:val="32"/>
        </w:rPr>
        <w:t>的昼间噪声下降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分贝，夜间噪声上升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分贝；</w:t>
      </w:r>
      <w:r>
        <w:rPr>
          <w:rFonts w:ascii="仿宋" w:eastAsia="仿宋" w:hAnsi="仿宋" w:hint="eastAsia"/>
          <w:sz w:val="32"/>
          <w:szCs w:val="32"/>
        </w:rPr>
        <w:t>交通干线道路两侧</w:t>
      </w:r>
      <w:r>
        <w:rPr>
          <w:rFonts w:ascii="仿宋" w:eastAsia="仿宋" w:hAnsi="仿宋" w:hint="eastAsia"/>
          <w:color w:val="000000"/>
          <w:sz w:val="32"/>
          <w:szCs w:val="32"/>
        </w:rPr>
        <w:t>区的昼间和夜间噪声与上年同期相比均有下降，分别下降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分贝和</w:t>
      </w: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分贝。</w:t>
      </w:r>
    </w:p>
    <w:p w:rsidR="00C32497" w:rsidRDefault="008078B8">
      <w:pPr>
        <w:ind w:firstLineChars="192" w:firstLine="614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>
        <w:rPr>
          <w:rFonts w:ascii="仿宋" w:eastAsia="仿宋" w:hAnsi="仿宋" w:hint="eastAsia"/>
          <w:color w:val="000000"/>
          <w:sz w:val="32"/>
          <w:szCs w:val="32"/>
        </w:rPr>
        <w:t>年一季度功能区噪声</w:t>
      </w:r>
      <w:r>
        <w:rPr>
          <w:rFonts w:ascii="仿宋" w:eastAsia="仿宋" w:hAnsi="仿宋" w:hint="eastAsia"/>
          <w:sz w:val="32"/>
          <w:szCs w:val="32"/>
        </w:rPr>
        <w:t>与国标相比，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个功能区中昼间噪声均达标，夜间有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个功能区达标，其余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个功能区超标。</w:t>
      </w:r>
    </w:p>
    <w:p w:rsidR="00C32497" w:rsidRDefault="00C32497">
      <w:pPr>
        <w:ind w:firstLineChars="192" w:firstLine="614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C32497" w:rsidRDefault="008078B8">
      <w:pPr>
        <w:jc w:val="center"/>
      </w:pPr>
      <w:r>
        <w:rPr>
          <w:noProof/>
        </w:rPr>
        <w:drawing>
          <wp:inline distT="0" distB="0" distL="0" distR="0">
            <wp:extent cx="5489575" cy="2828925"/>
            <wp:effectExtent l="6096" t="0" r="0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32497" w:rsidRDefault="008078B8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13   2020</w:t>
      </w:r>
      <w:r>
        <w:rPr>
          <w:rFonts w:ascii="宋体" w:hAnsi="宋体" w:hint="eastAsia"/>
          <w:sz w:val="24"/>
        </w:rPr>
        <w:t>年一季度昼间噪声与上年同期变化比较</w:t>
      </w:r>
    </w:p>
    <w:p w:rsidR="00C32497" w:rsidRDefault="00C32497">
      <w:pPr>
        <w:jc w:val="center"/>
        <w:rPr>
          <w:rFonts w:ascii="宋体" w:hAnsi="宋体"/>
          <w:sz w:val="24"/>
        </w:rPr>
      </w:pPr>
    </w:p>
    <w:p w:rsidR="00C32497" w:rsidRDefault="008078B8">
      <w:pPr>
        <w:jc w:val="center"/>
      </w:pPr>
      <w:r>
        <w:rPr>
          <w:noProof/>
        </w:rPr>
        <w:lastRenderedPageBreak/>
        <w:drawing>
          <wp:inline distT="0" distB="0" distL="0" distR="0">
            <wp:extent cx="5489575" cy="2619375"/>
            <wp:effectExtent l="6096" t="0" r="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32497" w:rsidRDefault="008078B8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14   2020</w:t>
      </w:r>
      <w:r>
        <w:rPr>
          <w:rFonts w:ascii="宋体" w:hAnsi="宋体" w:hint="eastAsia"/>
          <w:sz w:val="24"/>
        </w:rPr>
        <w:t>年一季度夜间噪声与上年同期变化比较</w:t>
      </w:r>
    </w:p>
    <w:bookmarkEnd w:id="1"/>
    <w:p w:rsidR="00C32497" w:rsidRDefault="00C32497">
      <w:pPr>
        <w:rPr>
          <w:b/>
          <w:sz w:val="32"/>
          <w:szCs w:val="32"/>
        </w:rPr>
      </w:pPr>
    </w:p>
    <w:p w:rsidR="00C32497" w:rsidRDefault="008078B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◆辐射环境质量监测</w:t>
      </w:r>
    </w:p>
    <w:p w:rsidR="00C32497" w:rsidRDefault="008078B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年一季度全市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个辐射环境自动监测站点运行状况稳定，监测结果在正常水平范围内波动，陆地γ剂量率日平均值为</w:t>
      </w:r>
      <w:r>
        <w:rPr>
          <w:rFonts w:ascii="仿宋" w:eastAsia="仿宋" w:hAnsi="仿宋" w:hint="eastAsia"/>
          <w:sz w:val="32"/>
          <w:szCs w:val="32"/>
        </w:rPr>
        <w:t>0.0902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0.1208</w:t>
      </w:r>
      <w:r>
        <w:rPr>
          <w:rFonts w:ascii="仿宋" w:eastAsia="仿宋" w:hAnsi="仿宋" w:hint="eastAsia"/>
          <w:sz w:val="32"/>
          <w:szCs w:val="32"/>
        </w:rPr>
        <w:t>μ</w:t>
      </w:r>
      <w:r>
        <w:rPr>
          <w:rFonts w:ascii="仿宋" w:eastAsia="仿宋" w:hAnsi="仿宋" w:hint="eastAsia"/>
          <w:sz w:val="32"/>
          <w:szCs w:val="32"/>
        </w:rPr>
        <w:t>Gy/h</w:t>
      </w:r>
      <w:r>
        <w:rPr>
          <w:rFonts w:ascii="仿宋" w:eastAsia="仿宋" w:hAnsi="仿宋" w:hint="eastAsia"/>
          <w:sz w:val="32"/>
          <w:szCs w:val="32"/>
        </w:rPr>
        <w:t>，季平均值为</w:t>
      </w:r>
      <w:r>
        <w:rPr>
          <w:rFonts w:ascii="仿宋" w:eastAsia="仿宋" w:hAnsi="仿宋" w:hint="eastAsia"/>
          <w:sz w:val="32"/>
          <w:szCs w:val="32"/>
        </w:rPr>
        <w:t>0.1038</w:t>
      </w:r>
      <w:r>
        <w:rPr>
          <w:rFonts w:ascii="仿宋" w:eastAsia="仿宋" w:hAnsi="仿宋" w:hint="eastAsia"/>
          <w:sz w:val="32"/>
          <w:szCs w:val="32"/>
        </w:rPr>
        <w:t>μ</w:t>
      </w:r>
      <w:r>
        <w:rPr>
          <w:rFonts w:ascii="仿宋" w:eastAsia="仿宋" w:hAnsi="仿宋" w:hint="eastAsia"/>
          <w:sz w:val="32"/>
          <w:szCs w:val="32"/>
        </w:rPr>
        <w:t>Gy/h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2497" w:rsidRDefault="008078B8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注：陕西省放射性水平调查值为：原野</w:t>
      </w:r>
      <w:r>
        <w:rPr>
          <w:rFonts w:hint="eastAsia"/>
          <w:sz w:val="24"/>
        </w:rPr>
        <w:t>0.070</w:t>
      </w:r>
      <w:r>
        <w:rPr>
          <w:sz w:val="24"/>
        </w:rPr>
        <w:t>~</w:t>
      </w:r>
      <w:r>
        <w:rPr>
          <w:rFonts w:hint="eastAsia"/>
          <w:sz w:val="24"/>
        </w:rPr>
        <w:t>0.190</w:t>
      </w:r>
      <w:r>
        <w:rPr>
          <w:sz w:val="24"/>
        </w:rPr>
        <w:t>μGy/h</w:t>
      </w:r>
      <w:r>
        <w:rPr>
          <w:rFonts w:hint="eastAsia"/>
          <w:sz w:val="24"/>
        </w:rPr>
        <w:t>；道路</w:t>
      </w:r>
      <w:r>
        <w:rPr>
          <w:rFonts w:hint="eastAsia"/>
          <w:sz w:val="24"/>
        </w:rPr>
        <w:t>0.060</w:t>
      </w:r>
      <w:r>
        <w:rPr>
          <w:sz w:val="24"/>
        </w:rPr>
        <w:t>~</w:t>
      </w:r>
      <w:r>
        <w:rPr>
          <w:rFonts w:hint="eastAsia"/>
          <w:sz w:val="24"/>
        </w:rPr>
        <w:t>0.200</w:t>
      </w:r>
      <w:r>
        <w:rPr>
          <w:sz w:val="24"/>
        </w:rPr>
        <w:t>μGy/h</w:t>
      </w:r>
      <w:r>
        <w:rPr>
          <w:rFonts w:hint="eastAsia"/>
          <w:sz w:val="24"/>
        </w:rPr>
        <w:t>；室内</w:t>
      </w:r>
      <w:r>
        <w:rPr>
          <w:rFonts w:hint="eastAsia"/>
          <w:sz w:val="24"/>
        </w:rPr>
        <w:t>0.090</w:t>
      </w:r>
      <w:r>
        <w:rPr>
          <w:sz w:val="24"/>
        </w:rPr>
        <w:t>~</w:t>
      </w:r>
      <w:r>
        <w:rPr>
          <w:rFonts w:hint="eastAsia"/>
          <w:sz w:val="24"/>
        </w:rPr>
        <w:t>0.200</w:t>
      </w:r>
      <w:r>
        <w:rPr>
          <w:sz w:val="24"/>
        </w:rPr>
        <w:t>μGy/h</w:t>
      </w:r>
      <w:r>
        <w:rPr>
          <w:rFonts w:hint="eastAsia"/>
          <w:sz w:val="24"/>
        </w:rPr>
        <w:t>。</w:t>
      </w:r>
    </w:p>
    <w:p w:rsidR="00C32497" w:rsidRDefault="008078B8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038725" cy="2571750"/>
            <wp:effectExtent l="0" t="0" r="0" b="0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32497" w:rsidRDefault="00C32497">
      <w:pPr>
        <w:jc w:val="center"/>
        <w:rPr>
          <w:bCs/>
          <w:sz w:val="24"/>
        </w:rPr>
      </w:pPr>
    </w:p>
    <w:p w:rsidR="00C32497" w:rsidRDefault="008078B8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图</w:t>
      </w:r>
      <w:r>
        <w:rPr>
          <w:rFonts w:hint="eastAsia"/>
          <w:bCs/>
          <w:sz w:val="24"/>
        </w:rPr>
        <w:t>15   2020</w:t>
      </w:r>
      <w:r>
        <w:rPr>
          <w:rFonts w:hint="eastAsia"/>
          <w:bCs/>
          <w:sz w:val="24"/>
        </w:rPr>
        <w:t>年一季度辐射自动</w:t>
      </w:r>
      <w:r>
        <w:rPr>
          <w:rFonts w:hint="eastAsia"/>
          <w:bCs/>
          <w:sz w:val="24"/>
        </w:rPr>
        <w:t>监</w:t>
      </w:r>
      <w:bookmarkStart w:id="2" w:name="_GoBack"/>
      <w:bookmarkEnd w:id="2"/>
      <w:r>
        <w:rPr>
          <w:rFonts w:hint="eastAsia"/>
          <w:bCs/>
          <w:sz w:val="24"/>
        </w:rPr>
        <w:t>测值变化曲线图</w:t>
      </w: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  <w:r w:rsidRPr="00C32497">
        <w:rPr>
          <w:rFonts w:ascii="仿宋_GB2312" w:eastAsia="仿宋_GB2312" w:hAnsi="宋体"/>
          <w:color w:val="FF0000"/>
          <w:sz w:val="32"/>
          <w:szCs w:val="32"/>
        </w:rPr>
        <w:pict>
          <v:line id="_x0000_s1030" style="position:absolute;left:0;text-align:left;z-index:251656192" from="-9pt,49.6pt" to="434.1pt,51pt">
            <v:shadow on="t" color="#99f" offset="3pt"/>
            <w10:wrap type="square"/>
          </v:line>
        </w:pict>
      </w:r>
    </w:p>
    <w:p w:rsidR="00C32497" w:rsidRDefault="008078B8">
      <w:pPr>
        <w:spacing w:line="440" w:lineRule="exact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sz w:val="30"/>
        </w:rPr>
        <w:t>主办</w:t>
      </w:r>
      <w:r>
        <w:rPr>
          <w:rFonts w:ascii="楷体_GB2312" w:eastAsia="楷体_GB2312" w:hint="eastAsia"/>
          <w:sz w:val="30"/>
        </w:rPr>
        <w:t>：</w:t>
      </w:r>
      <w:r>
        <w:rPr>
          <w:rFonts w:ascii="楷体_GB2312" w:eastAsia="楷体_GB2312" w:hint="eastAsia"/>
          <w:b/>
          <w:bCs/>
          <w:sz w:val="30"/>
        </w:rPr>
        <w:t>西安市环境监测站信息统计室</w:t>
      </w:r>
    </w:p>
    <w:p w:rsidR="00C32497" w:rsidRDefault="00C32497">
      <w:pPr>
        <w:spacing w:line="440" w:lineRule="exact"/>
        <w:ind w:firstLine="840"/>
        <w:rPr>
          <w:b/>
          <w:bCs/>
          <w:color w:val="FF0000"/>
        </w:rPr>
      </w:pPr>
    </w:p>
    <w:sectPr w:rsidR="00C32497" w:rsidSect="00C32497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B8" w:rsidRDefault="008078B8" w:rsidP="00C32497">
      <w:r>
        <w:separator/>
      </w:r>
    </w:p>
  </w:endnote>
  <w:endnote w:type="continuationSeparator" w:id="1">
    <w:p w:rsidR="008078B8" w:rsidRDefault="008078B8" w:rsidP="00C3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97" w:rsidRDefault="00C32497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8078B8">
      <w:rPr>
        <w:rStyle w:val="a9"/>
      </w:rPr>
      <w:instrText xml:space="preserve">PAGE  </w:instrText>
    </w:r>
    <w:r>
      <w:fldChar w:fldCharType="separate"/>
    </w:r>
    <w:r w:rsidR="00D964A9">
      <w:rPr>
        <w:rStyle w:val="a9"/>
        <w:noProof/>
      </w:rPr>
      <w:t>14</w:t>
    </w:r>
    <w:r>
      <w:fldChar w:fldCharType="end"/>
    </w:r>
  </w:p>
  <w:p w:rsidR="00C32497" w:rsidRDefault="00C324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97" w:rsidRDefault="00C32497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8078B8">
      <w:rPr>
        <w:rStyle w:val="a9"/>
      </w:rPr>
      <w:instrText xml:space="preserve">PAGE  </w:instrText>
    </w:r>
    <w:r>
      <w:fldChar w:fldCharType="separate"/>
    </w:r>
    <w:r w:rsidR="00D964A9">
      <w:rPr>
        <w:rStyle w:val="a9"/>
        <w:noProof/>
      </w:rPr>
      <w:t>13</w:t>
    </w:r>
    <w:r>
      <w:fldChar w:fldCharType="end"/>
    </w:r>
  </w:p>
  <w:p w:rsidR="00C32497" w:rsidRDefault="00C324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B8" w:rsidRDefault="008078B8" w:rsidP="00C32497">
      <w:r>
        <w:separator/>
      </w:r>
    </w:p>
  </w:footnote>
  <w:footnote w:type="continuationSeparator" w:id="1">
    <w:p w:rsidR="008078B8" w:rsidRDefault="008078B8" w:rsidP="00C32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97" w:rsidRDefault="008078B8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环境监测科研动态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97" w:rsidRDefault="008078B8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总</w:t>
    </w:r>
    <w:r>
      <w:rPr>
        <w:rFonts w:hint="eastAsia"/>
        <w:sz w:val="21"/>
        <w:szCs w:val="21"/>
      </w:rPr>
      <w:t>196</w:t>
    </w:r>
    <w:r>
      <w:rPr>
        <w:rFonts w:hint="eastAsia"/>
        <w:sz w:val="21"/>
        <w:szCs w:val="21"/>
      </w:rPr>
      <w:t>期</w:t>
    </w:r>
    <w:r>
      <w:rPr>
        <w:rFonts w:hint="eastAsia"/>
        <w:sz w:val="21"/>
        <w:szCs w:val="21"/>
      </w:rPr>
      <w:t xml:space="preserve">                                                          2020</w:t>
    </w:r>
    <w:r>
      <w:rPr>
        <w:rFonts w:hint="eastAsia"/>
        <w:sz w:val="21"/>
        <w:szCs w:val="21"/>
      </w:rPr>
      <w:t>年第</w:t>
    </w:r>
    <w:r>
      <w:rPr>
        <w:rFonts w:hint="eastAsia"/>
        <w:sz w:val="21"/>
        <w:szCs w:val="21"/>
      </w:rPr>
      <w:t>3</w:t>
    </w:r>
    <w:r>
      <w:rPr>
        <w:rFonts w:hint="eastAsia"/>
        <w:sz w:val="21"/>
        <w:szCs w:val="21"/>
      </w:rPr>
      <w:t>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F29"/>
    <w:rsid w:val="00003E49"/>
    <w:rsid w:val="00005FA4"/>
    <w:rsid w:val="00007320"/>
    <w:rsid w:val="00007AE9"/>
    <w:rsid w:val="00007C78"/>
    <w:rsid w:val="000103CD"/>
    <w:rsid w:val="0001640A"/>
    <w:rsid w:val="0001657A"/>
    <w:rsid w:val="000252AD"/>
    <w:rsid w:val="00027294"/>
    <w:rsid w:val="00031614"/>
    <w:rsid w:val="000330DE"/>
    <w:rsid w:val="00036218"/>
    <w:rsid w:val="0004206C"/>
    <w:rsid w:val="00043653"/>
    <w:rsid w:val="000447B4"/>
    <w:rsid w:val="00045536"/>
    <w:rsid w:val="000463EC"/>
    <w:rsid w:val="00046FE3"/>
    <w:rsid w:val="00056437"/>
    <w:rsid w:val="000571EC"/>
    <w:rsid w:val="00060B2E"/>
    <w:rsid w:val="00062302"/>
    <w:rsid w:val="000624AD"/>
    <w:rsid w:val="00062A75"/>
    <w:rsid w:val="0007032A"/>
    <w:rsid w:val="00070B4E"/>
    <w:rsid w:val="0007351F"/>
    <w:rsid w:val="000744E3"/>
    <w:rsid w:val="00082156"/>
    <w:rsid w:val="000859F6"/>
    <w:rsid w:val="00086727"/>
    <w:rsid w:val="000926AB"/>
    <w:rsid w:val="0009765D"/>
    <w:rsid w:val="000A1562"/>
    <w:rsid w:val="000A2D43"/>
    <w:rsid w:val="000A4B8E"/>
    <w:rsid w:val="000B144C"/>
    <w:rsid w:val="000C0FCA"/>
    <w:rsid w:val="000C2B94"/>
    <w:rsid w:val="000C2F0E"/>
    <w:rsid w:val="000C3AC4"/>
    <w:rsid w:val="000C47AC"/>
    <w:rsid w:val="000C62FD"/>
    <w:rsid w:val="000C6CDD"/>
    <w:rsid w:val="000C7AD0"/>
    <w:rsid w:val="000D0ED3"/>
    <w:rsid w:val="000D1276"/>
    <w:rsid w:val="000D14EB"/>
    <w:rsid w:val="000D5E35"/>
    <w:rsid w:val="000D667B"/>
    <w:rsid w:val="000E2837"/>
    <w:rsid w:val="000E2DCC"/>
    <w:rsid w:val="000E3038"/>
    <w:rsid w:val="000E55E3"/>
    <w:rsid w:val="000F0C19"/>
    <w:rsid w:val="000F1944"/>
    <w:rsid w:val="000F34B1"/>
    <w:rsid w:val="000F4376"/>
    <w:rsid w:val="00106A53"/>
    <w:rsid w:val="00107084"/>
    <w:rsid w:val="0011361B"/>
    <w:rsid w:val="00115098"/>
    <w:rsid w:val="001156D3"/>
    <w:rsid w:val="00115C02"/>
    <w:rsid w:val="00116318"/>
    <w:rsid w:val="00117137"/>
    <w:rsid w:val="00120EAD"/>
    <w:rsid w:val="00123990"/>
    <w:rsid w:val="0012749A"/>
    <w:rsid w:val="00132675"/>
    <w:rsid w:val="0013520A"/>
    <w:rsid w:val="00137664"/>
    <w:rsid w:val="00137A1C"/>
    <w:rsid w:val="00140928"/>
    <w:rsid w:val="00141004"/>
    <w:rsid w:val="00142ED0"/>
    <w:rsid w:val="001470C3"/>
    <w:rsid w:val="001474C5"/>
    <w:rsid w:val="00147657"/>
    <w:rsid w:val="00147B39"/>
    <w:rsid w:val="001526C9"/>
    <w:rsid w:val="001613EE"/>
    <w:rsid w:val="00162807"/>
    <w:rsid w:val="001709BF"/>
    <w:rsid w:val="00172A27"/>
    <w:rsid w:val="00174CF1"/>
    <w:rsid w:val="001755D2"/>
    <w:rsid w:val="00176B8F"/>
    <w:rsid w:val="001775F6"/>
    <w:rsid w:val="0018048B"/>
    <w:rsid w:val="00183156"/>
    <w:rsid w:val="00184DB8"/>
    <w:rsid w:val="00186C61"/>
    <w:rsid w:val="001871DD"/>
    <w:rsid w:val="00193DAA"/>
    <w:rsid w:val="00196EAD"/>
    <w:rsid w:val="00196F4A"/>
    <w:rsid w:val="001971A0"/>
    <w:rsid w:val="001A45A9"/>
    <w:rsid w:val="001A4B5A"/>
    <w:rsid w:val="001A5F7F"/>
    <w:rsid w:val="001A7CE6"/>
    <w:rsid w:val="001A7E43"/>
    <w:rsid w:val="001C0770"/>
    <w:rsid w:val="001C0B33"/>
    <w:rsid w:val="001C23CB"/>
    <w:rsid w:val="001C2BDC"/>
    <w:rsid w:val="001C5A3D"/>
    <w:rsid w:val="001D0843"/>
    <w:rsid w:val="001D4542"/>
    <w:rsid w:val="001D569F"/>
    <w:rsid w:val="001D64F3"/>
    <w:rsid w:val="001D7589"/>
    <w:rsid w:val="001D7E20"/>
    <w:rsid w:val="001E3342"/>
    <w:rsid w:val="001E55BA"/>
    <w:rsid w:val="001E7C46"/>
    <w:rsid w:val="001F0FF8"/>
    <w:rsid w:val="001F7C19"/>
    <w:rsid w:val="0020107E"/>
    <w:rsid w:val="0020780F"/>
    <w:rsid w:val="00216DF8"/>
    <w:rsid w:val="002220FA"/>
    <w:rsid w:val="00227ACD"/>
    <w:rsid w:val="00231A9B"/>
    <w:rsid w:val="00234337"/>
    <w:rsid w:val="00237C34"/>
    <w:rsid w:val="00237FD6"/>
    <w:rsid w:val="002418A2"/>
    <w:rsid w:val="0024492A"/>
    <w:rsid w:val="002475C8"/>
    <w:rsid w:val="00250BD3"/>
    <w:rsid w:val="00250F75"/>
    <w:rsid w:val="00253174"/>
    <w:rsid w:val="0026093E"/>
    <w:rsid w:val="00262440"/>
    <w:rsid w:val="00263F2F"/>
    <w:rsid w:val="00264CF7"/>
    <w:rsid w:val="002650DF"/>
    <w:rsid w:val="00271EE8"/>
    <w:rsid w:val="00272EE0"/>
    <w:rsid w:val="00273177"/>
    <w:rsid w:val="00273D5E"/>
    <w:rsid w:val="00273F0F"/>
    <w:rsid w:val="00274E91"/>
    <w:rsid w:val="002760D7"/>
    <w:rsid w:val="002777F0"/>
    <w:rsid w:val="00284832"/>
    <w:rsid w:val="0028707F"/>
    <w:rsid w:val="00287254"/>
    <w:rsid w:val="00287DBD"/>
    <w:rsid w:val="00290AC6"/>
    <w:rsid w:val="00293CCC"/>
    <w:rsid w:val="002964FD"/>
    <w:rsid w:val="00296AA2"/>
    <w:rsid w:val="002A37D5"/>
    <w:rsid w:val="002A479A"/>
    <w:rsid w:val="002B2BDB"/>
    <w:rsid w:val="002B386C"/>
    <w:rsid w:val="002B7A15"/>
    <w:rsid w:val="002D01C5"/>
    <w:rsid w:val="002D05B4"/>
    <w:rsid w:val="002D0E35"/>
    <w:rsid w:val="002D2D8B"/>
    <w:rsid w:val="002D7F5E"/>
    <w:rsid w:val="002E16E4"/>
    <w:rsid w:val="002E35D2"/>
    <w:rsid w:val="002E39FB"/>
    <w:rsid w:val="002E4387"/>
    <w:rsid w:val="002E5B1A"/>
    <w:rsid w:val="002F24A6"/>
    <w:rsid w:val="002F2AEC"/>
    <w:rsid w:val="002F59CD"/>
    <w:rsid w:val="002F6ECC"/>
    <w:rsid w:val="0030152F"/>
    <w:rsid w:val="00301DED"/>
    <w:rsid w:val="003022BA"/>
    <w:rsid w:val="003027D6"/>
    <w:rsid w:val="00307914"/>
    <w:rsid w:val="00310B67"/>
    <w:rsid w:val="00313854"/>
    <w:rsid w:val="0031391D"/>
    <w:rsid w:val="00314435"/>
    <w:rsid w:val="00315275"/>
    <w:rsid w:val="003200BE"/>
    <w:rsid w:val="00331D96"/>
    <w:rsid w:val="00335FDB"/>
    <w:rsid w:val="003427A4"/>
    <w:rsid w:val="00345905"/>
    <w:rsid w:val="00346B62"/>
    <w:rsid w:val="00352717"/>
    <w:rsid w:val="00353913"/>
    <w:rsid w:val="00353B12"/>
    <w:rsid w:val="0035770E"/>
    <w:rsid w:val="00361214"/>
    <w:rsid w:val="00361B0B"/>
    <w:rsid w:val="00363604"/>
    <w:rsid w:val="00365717"/>
    <w:rsid w:val="0037004E"/>
    <w:rsid w:val="00380F9F"/>
    <w:rsid w:val="00381C26"/>
    <w:rsid w:val="003A14EC"/>
    <w:rsid w:val="003A3144"/>
    <w:rsid w:val="003A5F3A"/>
    <w:rsid w:val="003A67D1"/>
    <w:rsid w:val="003A771F"/>
    <w:rsid w:val="003B26FB"/>
    <w:rsid w:val="003B28EC"/>
    <w:rsid w:val="003B2BB6"/>
    <w:rsid w:val="003B4E41"/>
    <w:rsid w:val="003C407E"/>
    <w:rsid w:val="003C6E6C"/>
    <w:rsid w:val="003D27E8"/>
    <w:rsid w:val="003D39BA"/>
    <w:rsid w:val="003D3B6B"/>
    <w:rsid w:val="003E1650"/>
    <w:rsid w:val="003E6463"/>
    <w:rsid w:val="003E7E24"/>
    <w:rsid w:val="003F24A1"/>
    <w:rsid w:val="003F52BA"/>
    <w:rsid w:val="003F7C6B"/>
    <w:rsid w:val="00400EEB"/>
    <w:rsid w:val="00401373"/>
    <w:rsid w:val="00406397"/>
    <w:rsid w:val="00412105"/>
    <w:rsid w:val="00413417"/>
    <w:rsid w:val="00415935"/>
    <w:rsid w:val="00416FAF"/>
    <w:rsid w:val="0041762E"/>
    <w:rsid w:val="004232EE"/>
    <w:rsid w:val="0042628A"/>
    <w:rsid w:val="00426B98"/>
    <w:rsid w:val="004278C7"/>
    <w:rsid w:val="004305B1"/>
    <w:rsid w:val="00432A05"/>
    <w:rsid w:val="004362B0"/>
    <w:rsid w:val="00444EFE"/>
    <w:rsid w:val="00445022"/>
    <w:rsid w:val="004464DB"/>
    <w:rsid w:val="00447EB7"/>
    <w:rsid w:val="00452356"/>
    <w:rsid w:val="00455A08"/>
    <w:rsid w:val="00460A46"/>
    <w:rsid w:val="00462457"/>
    <w:rsid w:val="004640A7"/>
    <w:rsid w:val="00470B47"/>
    <w:rsid w:val="00471508"/>
    <w:rsid w:val="0047359A"/>
    <w:rsid w:val="00477AAD"/>
    <w:rsid w:val="00480FD2"/>
    <w:rsid w:val="004850BB"/>
    <w:rsid w:val="0049032F"/>
    <w:rsid w:val="004950E1"/>
    <w:rsid w:val="004A3184"/>
    <w:rsid w:val="004B22FA"/>
    <w:rsid w:val="004B44FD"/>
    <w:rsid w:val="004B4CDD"/>
    <w:rsid w:val="004B76C0"/>
    <w:rsid w:val="004C0D5F"/>
    <w:rsid w:val="004C4BC1"/>
    <w:rsid w:val="004D34ED"/>
    <w:rsid w:val="004D46E1"/>
    <w:rsid w:val="004E0881"/>
    <w:rsid w:val="004E23C7"/>
    <w:rsid w:val="004E54CD"/>
    <w:rsid w:val="004F08B2"/>
    <w:rsid w:val="004F1085"/>
    <w:rsid w:val="004F36F0"/>
    <w:rsid w:val="004F4823"/>
    <w:rsid w:val="004F7476"/>
    <w:rsid w:val="00513E1D"/>
    <w:rsid w:val="00516D32"/>
    <w:rsid w:val="00524E94"/>
    <w:rsid w:val="005251CF"/>
    <w:rsid w:val="00534ABB"/>
    <w:rsid w:val="00540172"/>
    <w:rsid w:val="0054155C"/>
    <w:rsid w:val="00541FD5"/>
    <w:rsid w:val="0054402D"/>
    <w:rsid w:val="0055193E"/>
    <w:rsid w:val="00561CF1"/>
    <w:rsid w:val="00564B31"/>
    <w:rsid w:val="0058212C"/>
    <w:rsid w:val="00585C8E"/>
    <w:rsid w:val="00585FB7"/>
    <w:rsid w:val="00591D2B"/>
    <w:rsid w:val="00595315"/>
    <w:rsid w:val="005958F4"/>
    <w:rsid w:val="005A199B"/>
    <w:rsid w:val="005A24E6"/>
    <w:rsid w:val="005A2FF4"/>
    <w:rsid w:val="005B1371"/>
    <w:rsid w:val="005B14FC"/>
    <w:rsid w:val="005B3B33"/>
    <w:rsid w:val="005B49FA"/>
    <w:rsid w:val="005C1700"/>
    <w:rsid w:val="005C26FF"/>
    <w:rsid w:val="005C4547"/>
    <w:rsid w:val="005C7B11"/>
    <w:rsid w:val="005D22D3"/>
    <w:rsid w:val="005D42C7"/>
    <w:rsid w:val="005D4810"/>
    <w:rsid w:val="005D5F34"/>
    <w:rsid w:val="005D6663"/>
    <w:rsid w:val="005D71DA"/>
    <w:rsid w:val="005E348B"/>
    <w:rsid w:val="005E56DB"/>
    <w:rsid w:val="005E70E7"/>
    <w:rsid w:val="005E7C0F"/>
    <w:rsid w:val="005F5F71"/>
    <w:rsid w:val="00604314"/>
    <w:rsid w:val="00605A9C"/>
    <w:rsid w:val="00606101"/>
    <w:rsid w:val="00616080"/>
    <w:rsid w:val="00620352"/>
    <w:rsid w:val="00622F2D"/>
    <w:rsid w:val="00625E8A"/>
    <w:rsid w:val="00632C03"/>
    <w:rsid w:val="00633970"/>
    <w:rsid w:val="006340CB"/>
    <w:rsid w:val="00634BA1"/>
    <w:rsid w:val="00640C5E"/>
    <w:rsid w:val="006410DB"/>
    <w:rsid w:val="006411EA"/>
    <w:rsid w:val="00646517"/>
    <w:rsid w:val="00650243"/>
    <w:rsid w:val="006510F0"/>
    <w:rsid w:val="00663547"/>
    <w:rsid w:val="006655C6"/>
    <w:rsid w:val="00666950"/>
    <w:rsid w:val="0067171C"/>
    <w:rsid w:val="006735E2"/>
    <w:rsid w:val="00675BA1"/>
    <w:rsid w:val="00676282"/>
    <w:rsid w:val="006806EA"/>
    <w:rsid w:val="006831C5"/>
    <w:rsid w:val="00684687"/>
    <w:rsid w:val="006863E0"/>
    <w:rsid w:val="00687270"/>
    <w:rsid w:val="00687CE4"/>
    <w:rsid w:val="00693017"/>
    <w:rsid w:val="00693448"/>
    <w:rsid w:val="006A12D0"/>
    <w:rsid w:val="006A321D"/>
    <w:rsid w:val="006A49EE"/>
    <w:rsid w:val="006A66B5"/>
    <w:rsid w:val="006B22A9"/>
    <w:rsid w:val="006B3382"/>
    <w:rsid w:val="006B5F56"/>
    <w:rsid w:val="006B690D"/>
    <w:rsid w:val="006B7A36"/>
    <w:rsid w:val="006C07AB"/>
    <w:rsid w:val="006C6DA3"/>
    <w:rsid w:val="006D0EDE"/>
    <w:rsid w:val="006E0332"/>
    <w:rsid w:val="006E0795"/>
    <w:rsid w:val="006E0A57"/>
    <w:rsid w:val="006E6AD4"/>
    <w:rsid w:val="006E6BE5"/>
    <w:rsid w:val="006E7738"/>
    <w:rsid w:val="006F124A"/>
    <w:rsid w:val="006F2BD1"/>
    <w:rsid w:val="0070047E"/>
    <w:rsid w:val="0070156F"/>
    <w:rsid w:val="00702961"/>
    <w:rsid w:val="00702ECD"/>
    <w:rsid w:val="007044F5"/>
    <w:rsid w:val="00704A32"/>
    <w:rsid w:val="00716101"/>
    <w:rsid w:val="007216E4"/>
    <w:rsid w:val="00721C36"/>
    <w:rsid w:val="00723680"/>
    <w:rsid w:val="00723BEB"/>
    <w:rsid w:val="00730587"/>
    <w:rsid w:val="0074478D"/>
    <w:rsid w:val="007447AD"/>
    <w:rsid w:val="00744F45"/>
    <w:rsid w:val="007514F7"/>
    <w:rsid w:val="00755CA2"/>
    <w:rsid w:val="007566E8"/>
    <w:rsid w:val="0075762B"/>
    <w:rsid w:val="007601E5"/>
    <w:rsid w:val="0076335B"/>
    <w:rsid w:val="00764235"/>
    <w:rsid w:val="00764AFE"/>
    <w:rsid w:val="007659DE"/>
    <w:rsid w:val="00765CA7"/>
    <w:rsid w:val="00773752"/>
    <w:rsid w:val="0077567E"/>
    <w:rsid w:val="007764FC"/>
    <w:rsid w:val="00777EC4"/>
    <w:rsid w:val="0078009B"/>
    <w:rsid w:val="00781CBD"/>
    <w:rsid w:val="00781CD1"/>
    <w:rsid w:val="007843FD"/>
    <w:rsid w:val="007941CB"/>
    <w:rsid w:val="007A1F76"/>
    <w:rsid w:val="007A2714"/>
    <w:rsid w:val="007A6240"/>
    <w:rsid w:val="007B2416"/>
    <w:rsid w:val="007D1CF6"/>
    <w:rsid w:val="007D21D5"/>
    <w:rsid w:val="007D25F3"/>
    <w:rsid w:val="007D2EBE"/>
    <w:rsid w:val="007E4BF9"/>
    <w:rsid w:val="007E5C7F"/>
    <w:rsid w:val="007E76A3"/>
    <w:rsid w:val="007E7D54"/>
    <w:rsid w:val="00800D56"/>
    <w:rsid w:val="00802BAB"/>
    <w:rsid w:val="008035D7"/>
    <w:rsid w:val="0080383F"/>
    <w:rsid w:val="00807125"/>
    <w:rsid w:val="008078B8"/>
    <w:rsid w:val="00812449"/>
    <w:rsid w:val="00831079"/>
    <w:rsid w:val="00832F7B"/>
    <w:rsid w:val="00833B0D"/>
    <w:rsid w:val="00840676"/>
    <w:rsid w:val="00841F37"/>
    <w:rsid w:val="008432C3"/>
    <w:rsid w:val="008437B5"/>
    <w:rsid w:val="00846007"/>
    <w:rsid w:val="00847A07"/>
    <w:rsid w:val="008501DC"/>
    <w:rsid w:val="008530C2"/>
    <w:rsid w:val="00855002"/>
    <w:rsid w:val="0085794F"/>
    <w:rsid w:val="00860842"/>
    <w:rsid w:val="00861CA6"/>
    <w:rsid w:val="00862DC2"/>
    <w:rsid w:val="00863B42"/>
    <w:rsid w:val="00865FAB"/>
    <w:rsid w:val="008668E5"/>
    <w:rsid w:val="008705EC"/>
    <w:rsid w:val="008738D3"/>
    <w:rsid w:val="00873BDC"/>
    <w:rsid w:val="00875BB2"/>
    <w:rsid w:val="00876D97"/>
    <w:rsid w:val="008803BD"/>
    <w:rsid w:val="00880AD5"/>
    <w:rsid w:val="00883104"/>
    <w:rsid w:val="0088449E"/>
    <w:rsid w:val="00885814"/>
    <w:rsid w:val="00885D6D"/>
    <w:rsid w:val="0089029C"/>
    <w:rsid w:val="00894C70"/>
    <w:rsid w:val="0089720F"/>
    <w:rsid w:val="008A20C5"/>
    <w:rsid w:val="008A4239"/>
    <w:rsid w:val="008A6467"/>
    <w:rsid w:val="008B181D"/>
    <w:rsid w:val="008B3F3A"/>
    <w:rsid w:val="008B50E9"/>
    <w:rsid w:val="008C37F5"/>
    <w:rsid w:val="008C74EA"/>
    <w:rsid w:val="008C792B"/>
    <w:rsid w:val="008D18BD"/>
    <w:rsid w:val="008D27B6"/>
    <w:rsid w:val="008D5AA8"/>
    <w:rsid w:val="008D79B6"/>
    <w:rsid w:val="008E07BD"/>
    <w:rsid w:val="008E6B09"/>
    <w:rsid w:val="008F27B9"/>
    <w:rsid w:val="008F2C1D"/>
    <w:rsid w:val="008F7CBD"/>
    <w:rsid w:val="0090016B"/>
    <w:rsid w:val="00902A6D"/>
    <w:rsid w:val="00903961"/>
    <w:rsid w:val="00903DCA"/>
    <w:rsid w:val="0090542C"/>
    <w:rsid w:val="009057C2"/>
    <w:rsid w:val="009105B8"/>
    <w:rsid w:val="00910D33"/>
    <w:rsid w:val="009140B4"/>
    <w:rsid w:val="0092302E"/>
    <w:rsid w:val="00934B42"/>
    <w:rsid w:val="00934CC7"/>
    <w:rsid w:val="009420FC"/>
    <w:rsid w:val="0094255E"/>
    <w:rsid w:val="009447BD"/>
    <w:rsid w:val="00944AFB"/>
    <w:rsid w:val="00946205"/>
    <w:rsid w:val="0094639E"/>
    <w:rsid w:val="00947B33"/>
    <w:rsid w:val="00950C4C"/>
    <w:rsid w:val="00951342"/>
    <w:rsid w:val="00951E78"/>
    <w:rsid w:val="00953307"/>
    <w:rsid w:val="00953F94"/>
    <w:rsid w:val="009541E3"/>
    <w:rsid w:val="00954C01"/>
    <w:rsid w:val="009567F1"/>
    <w:rsid w:val="00956E9E"/>
    <w:rsid w:val="009575A0"/>
    <w:rsid w:val="0096297C"/>
    <w:rsid w:val="00972E98"/>
    <w:rsid w:val="00973A2B"/>
    <w:rsid w:val="00973E7C"/>
    <w:rsid w:val="0097524D"/>
    <w:rsid w:val="0097702B"/>
    <w:rsid w:val="00981FA5"/>
    <w:rsid w:val="009849A3"/>
    <w:rsid w:val="009870D1"/>
    <w:rsid w:val="009932BF"/>
    <w:rsid w:val="0099446A"/>
    <w:rsid w:val="009976FD"/>
    <w:rsid w:val="009A14E7"/>
    <w:rsid w:val="009A18DC"/>
    <w:rsid w:val="009A5C99"/>
    <w:rsid w:val="009A75CA"/>
    <w:rsid w:val="009B3B84"/>
    <w:rsid w:val="009B3E79"/>
    <w:rsid w:val="009B6349"/>
    <w:rsid w:val="009C06DC"/>
    <w:rsid w:val="009C21AC"/>
    <w:rsid w:val="009C4EF4"/>
    <w:rsid w:val="009C74B5"/>
    <w:rsid w:val="009D34FC"/>
    <w:rsid w:val="009F20AF"/>
    <w:rsid w:val="009F2D3E"/>
    <w:rsid w:val="009F496A"/>
    <w:rsid w:val="009F4B1E"/>
    <w:rsid w:val="00A01B43"/>
    <w:rsid w:val="00A0499E"/>
    <w:rsid w:val="00A1162D"/>
    <w:rsid w:val="00A20278"/>
    <w:rsid w:val="00A224CB"/>
    <w:rsid w:val="00A246D4"/>
    <w:rsid w:val="00A24E45"/>
    <w:rsid w:val="00A35C95"/>
    <w:rsid w:val="00A35D01"/>
    <w:rsid w:val="00A402CC"/>
    <w:rsid w:val="00A40920"/>
    <w:rsid w:val="00A4183D"/>
    <w:rsid w:val="00A504D0"/>
    <w:rsid w:val="00A52671"/>
    <w:rsid w:val="00A5269C"/>
    <w:rsid w:val="00A5776D"/>
    <w:rsid w:val="00A57941"/>
    <w:rsid w:val="00A62816"/>
    <w:rsid w:val="00A65D38"/>
    <w:rsid w:val="00A6733F"/>
    <w:rsid w:val="00A717C6"/>
    <w:rsid w:val="00A74463"/>
    <w:rsid w:val="00A7473A"/>
    <w:rsid w:val="00A766D4"/>
    <w:rsid w:val="00A848D5"/>
    <w:rsid w:val="00A922F2"/>
    <w:rsid w:val="00A924F7"/>
    <w:rsid w:val="00A935AD"/>
    <w:rsid w:val="00A93C68"/>
    <w:rsid w:val="00A96F11"/>
    <w:rsid w:val="00AA10F8"/>
    <w:rsid w:val="00AA1A14"/>
    <w:rsid w:val="00AA1D01"/>
    <w:rsid w:val="00AA4657"/>
    <w:rsid w:val="00AA5765"/>
    <w:rsid w:val="00AA58A4"/>
    <w:rsid w:val="00AA6426"/>
    <w:rsid w:val="00AA7645"/>
    <w:rsid w:val="00AB012A"/>
    <w:rsid w:val="00AB4202"/>
    <w:rsid w:val="00AB5831"/>
    <w:rsid w:val="00AC2A66"/>
    <w:rsid w:val="00AC3699"/>
    <w:rsid w:val="00AC420D"/>
    <w:rsid w:val="00AC51BB"/>
    <w:rsid w:val="00AD02A3"/>
    <w:rsid w:val="00AD1FAE"/>
    <w:rsid w:val="00AD2E6B"/>
    <w:rsid w:val="00AD6BB3"/>
    <w:rsid w:val="00AD7E62"/>
    <w:rsid w:val="00AE06CF"/>
    <w:rsid w:val="00AE486F"/>
    <w:rsid w:val="00AE64BD"/>
    <w:rsid w:val="00AF24A4"/>
    <w:rsid w:val="00AF3525"/>
    <w:rsid w:val="00AF6401"/>
    <w:rsid w:val="00AF7708"/>
    <w:rsid w:val="00B03B25"/>
    <w:rsid w:val="00B067D3"/>
    <w:rsid w:val="00B10145"/>
    <w:rsid w:val="00B1133C"/>
    <w:rsid w:val="00B1294D"/>
    <w:rsid w:val="00B15F97"/>
    <w:rsid w:val="00B169EC"/>
    <w:rsid w:val="00B17157"/>
    <w:rsid w:val="00B17A6D"/>
    <w:rsid w:val="00B27036"/>
    <w:rsid w:val="00B27BA5"/>
    <w:rsid w:val="00B31800"/>
    <w:rsid w:val="00B3298C"/>
    <w:rsid w:val="00B335DB"/>
    <w:rsid w:val="00B34E08"/>
    <w:rsid w:val="00B419C2"/>
    <w:rsid w:val="00B43BBC"/>
    <w:rsid w:val="00B44C7A"/>
    <w:rsid w:val="00B4649D"/>
    <w:rsid w:val="00B50E52"/>
    <w:rsid w:val="00B607FD"/>
    <w:rsid w:val="00B60801"/>
    <w:rsid w:val="00B639EA"/>
    <w:rsid w:val="00B654DF"/>
    <w:rsid w:val="00B66E55"/>
    <w:rsid w:val="00B72BB9"/>
    <w:rsid w:val="00B77B6E"/>
    <w:rsid w:val="00B81A2A"/>
    <w:rsid w:val="00B86FF8"/>
    <w:rsid w:val="00B87BED"/>
    <w:rsid w:val="00B91A13"/>
    <w:rsid w:val="00B92E47"/>
    <w:rsid w:val="00B936B8"/>
    <w:rsid w:val="00B9591D"/>
    <w:rsid w:val="00B97E8B"/>
    <w:rsid w:val="00BA0286"/>
    <w:rsid w:val="00BA0477"/>
    <w:rsid w:val="00BA182F"/>
    <w:rsid w:val="00BA189B"/>
    <w:rsid w:val="00BA26E6"/>
    <w:rsid w:val="00BA54E6"/>
    <w:rsid w:val="00BB0011"/>
    <w:rsid w:val="00BB0982"/>
    <w:rsid w:val="00BB0F85"/>
    <w:rsid w:val="00BB2261"/>
    <w:rsid w:val="00BB4E9B"/>
    <w:rsid w:val="00BB6435"/>
    <w:rsid w:val="00BB796F"/>
    <w:rsid w:val="00BC5FBA"/>
    <w:rsid w:val="00BC6EC4"/>
    <w:rsid w:val="00BD09F1"/>
    <w:rsid w:val="00BD115A"/>
    <w:rsid w:val="00BD1270"/>
    <w:rsid w:val="00BD1334"/>
    <w:rsid w:val="00BD3307"/>
    <w:rsid w:val="00BD47C7"/>
    <w:rsid w:val="00BD49F9"/>
    <w:rsid w:val="00BF035B"/>
    <w:rsid w:val="00BF0841"/>
    <w:rsid w:val="00BF18A0"/>
    <w:rsid w:val="00BF3606"/>
    <w:rsid w:val="00BF43EB"/>
    <w:rsid w:val="00BF4DC7"/>
    <w:rsid w:val="00BF688F"/>
    <w:rsid w:val="00C03AE3"/>
    <w:rsid w:val="00C04409"/>
    <w:rsid w:val="00C05777"/>
    <w:rsid w:val="00C102EB"/>
    <w:rsid w:val="00C10EC6"/>
    <w:rsid w:val="00C1240F"/>
    <w:rsid w:val="00C17A14"/>
    <w:rsid w:val="00C214C1"/>
    <w:rsid w:val="00C32497"/>
    <w:rsid w:val="00C36DBD"/>
    <w:rsid w:val="00C40B38"/>
    <w:rsid w:val="00C41EE0"/>
    <w:rsid w:val="00C44B9D"/>
    <w:rsid w:val="00C52489"/>
    <w:rsid w:val="00C54215"/>
    <w:rsid w:val="00C568EF"/>
    <w:rsid w:val="00C5690A"/>
    <w:rsid w:val="00C57492"/>
    <w:rsid w:val="00C5790F"/>
    <w:rsid w:val="00C57CF8"/>
    <w:rsid w:val="00C61252"/>
    <w:rsid w:val="00C67C03"/>
    <w:rsid w:val="00C730B5"/>
    <w:rsid w:val="00C73AD0"/>
    <w:rsid w:val="00C74A3E"/>
    <w:rsid w:val="00C74B16"/>
    <w:rsid w:val="00C813DF"/>
    <w:rsid w:val="00C823C4"/>
    <w:rsid w:val="00C90F1F"/>
    <w:rsid w:val="00C9531E"/>
    <w:rsid w:val="00C95889"/>
    <w:rsid w:val="00CA1C92"/>
    <w:rsid w:val="00CA316A"/>
    <w:rsid w:val="00CA46C3"/>
    <w:rsid w:val="00CB0F8B"/>
    <w:rsid w:val="00CB6F96"/>
    <w:rsid w:val="00CC03B0"/>
    <w:rsid w:val="00CC1A59"/>
    <w:rsid w:val="00CC3573"/>
    <w:rsid w:val="00CC4D10"/>
    <w:rsid w:val="00CC59AE"/>
    <w:rsid w:val="00CC6381"/>
    <w:rsid w:val="00CD1D2D"/>
    <w:rsid w:val="00CD2A94"/>
    <w:rsid w:val="00CD36CD"/>
    <w:rsid w:val="00CD4004"/>
    <w:rsid w:val="00CE42AB"/>
    <w:rsid w:val="00CE4F36"/>
    <w:rsid w:val="00CF3FF7"/>
    <w:rsid w:val="00CF4FEE"/>
    <w:rsid w:val="00CF583F"/>
    <w:rsid w:val="00CF5A89"/>
    <w:rsid w:val="00CF5F29"/>
    <w:rsid w:val="00CF6049"/>
    <w:rsid w:val="00D00567"/>
    <w:rsid w:val="00D042F8"/>
    <w:rsid w:val="00D04C62"/>
    <w:rsid w:val="00D070DC"/>
    <w:rsid w:val="00D10813"/>
    <w:rsid w:val="00D119B6"/>
    <w:rsid w:val="00D158FE"/>
    <w:rsid w:val="00D16A35"/>
    <w:rsid w:val="00D238BC"/>
    <w:rsid w:val="00D23CA2"/>
    <w:rsid w:val="00D25D13"/>
    <w:rsid w:val="00D30975"/>
    <w:rsid w:val="00D30EB5"/>
    <w:rsid w:val="00D31E83"/>
    <w:rsid w:val="00D328CD"/>
    <w:rsid w:val="00D33ABA"/>
    <w:rsid w:val="00D359A5"/>
    <w:rsid w:val="00D42187"/>
    <w:rsid w:val="00D460A8"/>
    <w:rsid w:val="00D462E5"/>
    <w:rsid w:val="00D46782"/>
    <w:rsid w:val="00D46B1C"/>
    <w:rsid w:val="00D504D9"/>
    <w:rsid w:val="00D5276F"/>
    <w:rsid w:val="00D5426A"/>
    <w:rsid w:val="00D5438A"/>
    <w:rsid w:val="00D56BA5"/>
    <w:rsid w:val="00D6055E"/>
    <w:rsid w:val="00D606AD"/>
    <w:rsid w:val="00D65C96"/>
    <w:rsid w:val="00D67679"/>
    <w:rsid w:val="00D679C1"/>
    <w:rsid w:val="00D7175D"/>
    <w:rsid w:val="00D71A77"/>
    <w:rsid w:val="00D71DBD"/>
    <w:rsid w:val="00D72B80"/>
    <w:rsid w:val="00D72CF1"/>
    <w:rsid w:val="00D73427"/>
    <w:rsid w:val="00D73D81"/>
    <w:rsid w:val="00D73E57"/>
    <w:rsid w:val="00D755A2"/>
    <w:rsid w:val="00D76819"/>
    <w:rsid w:val="00D77422"/>
    <w:rsid w:val="00D86243"/>
    <w:rsid w:val="00D87FEA"/>
    <w:rsid w:val="00D91CB8"/>
    <w:rsid w:val="00D964A9"/>
    <w:rsid w:val="00DA207D"/>
    <w:rsid w:val="00DA429A"/>
    <w:rsid w:val="00DA59A9"/>
    <w:rsid w:val="00DC04DB"/>
    <w:rsid w:val="00DC4175"/>
    <w:rsid w:val="00DC53FE"/>
    <w:rsid w:val="00DD27DD"/>
    <w:rsid w:val="00DD48E0"/>
    <w:rsid w:val="00DD50B9"/>
    <w:rsid w:val="00DE37BF"/>
    <w:rsid w:val="00DE417B"/>
    <w:rsid w:val="00DE514F"/>
    <w:rsid w:val="00DF2A7A"/>
    <w:rsid w:val="00DF4D20"/>
    <w:rsid w:val="00DF5031"/>
    <w:rsid w:val="00DF5047"/>
    <w:rsid w:val="00DF64C5"/>
    <w:rsid w:val="00DF68BF"/>
    <w:rsid w:val="00DF7246"/>
    <w:rsid w:val="00E0258C"/>
    <w:rsid w:val="00E03F2E"/>
    <w:rsid w:val="00E07B22"/>
    <w:rsid w:val="00E11C50"/>
    <w:rsid w:val="00E11F20"/>
    <w:rsid w:val="00E1321E"/>
    <w:rsid w:val="00E143BA"/>
    <w:rsid w:val="00E159BD"/>
    <w:rsid w:val="00E171C6"/>
    <w:rsid w:val="00E17DD2"/>
    <w:rsid w:val="00E22018"/>
    <w:rsid w:val="00E25B29"/>
    <w:rsid w:val="00E31DD8"/>
    <w:rsid w:val="00E378BC"/>
    <w:rsid w:val="00E4273D"/>
    <w:rsid w:val="00E42827"/>
    <w:rsid w:val="00E43C9C"/>
    <w:rsid w:val="00E475D3"/>
    <w:rsid w:val="00E521F6"/>
    <w:rsid w:val="00E56B83"/>
    <w:rsid w:val="00E579FD"/>
    <w:rsid w:val="00E62866"/>
    <w:rsid w:val="00E63AF7"/>
    <w:rsid w:val="00E6485C"/>
    <w:rsid w:val="00E66E61"/>
    <w:rsid w:val="00E700F1"/>
    <w:rsid w:val="00E70A27"/>
    <w:rsid w:val="00E734EE"/>
    <w:rsid w:val="00E74476"/>
    <w:rsid w:val="00E762D3"/>
    <w:rsid w:val="00E773FA"/>
    <w:rsid w:val="00E77E10"/>
    <w:rsid w:val="00E80F9C"/>
    <w:rsid w:val="00E8182E"/>
    <w:rsid w:val="00E9006E"/>
    <w:rsid w:val="00E93423"/>
    <w:rsid w:val="00E943E3"/>
    <w:rsid w:val="00E978A2"/>
    <w:rsid w:val="00EA3E0D"/>
    <w:rsid w:val="00EA43BF"/>
    <w:rsid w:val="00EA7CD4"/>
    <w:rsid w:val="00EB31C5"/>
    <w:rsid w:val="00EC2770"/>
    <w:rsid w:val="00EC5B36"/>
    <w:rsid w:val="00EC7B60"/>
    <w:rsid w:val="00ED038E"/>
    <w:rsid w:val="00ED6F97"/>
    <w:rsid w:val="00EE0039"/>
    <w:rsid w:val="00EE1C37"/>
    <w:rsid w:val="00EE2B52"/>
    <w:rsid w:val="00EE3A8C"/>
    <w:rsid w:val="00EE3C08"/>
    <w:rsid w:val="00EE72FF"/>
    <w:rsid w:val="00EF6547"/>
    <w:rsid w:val="00EF6FE2"/>
    <w:rsid w:val="00F00406"/>
    <w:rsid w:val="00F0069A"/>
    <w:rsid w:val="00F00DAC"/>
    <w:rsid w:val="00F03008"/>
    <w:rsid w:val="00F0428B"/>
    <w:rsid w:val="00F06C64"/>
    <w:rsid w:val="00F07197"/>
    <w:rsid w:val="00F1502D"/>
    <w:rsid w:val="00F1570F"/>
    <w:rsid w:val="00F17928"/>
    <w:rsid w:val="00F20555"/>
    <w:rsid w:val="00F22484"/>
    <w:rsid w:val="00F24313"/>
    <w:rsid w:val="00F30CA6"/>
    <w:rsid w:val="00F37F1E"/>
    <w:rsid w:val="00F40195"/>
    <w:rsid w:val="00F41BF8"/>
    <w:rsid w:val="00F41F8A"/>
    <w:rsid w:val="00F44436"/>
    <w:rsid w:val="00F4569B"/>
    <w:rsid w:val="00F45810"/>
    <w:rsid w:val="00F46D40"/>
    <w:rsid w:val="00F50236"/>
    <w:rsid w:val="00F532A6"/>
    <w:rsid w:val="00F53E81"/>
    <w:rsid w:val="00F56A56"/>
    <w:rsid w:val="00F573A5"/>
    <w:rsid w:val="00F603C4"/>
    <w:rsid w:val="00F6289C"/>
    <w:rsid w:val="00F63B34"/>
    <w:rsid w:val="00F64EB6"/>
    <w:rsid w:val="00F7024F"/>
    <w:rsid w:val="00F71193"/>
    <w:rsid w:val="00F73FCB"/>
    <w:rsid w:val="00F7400D"/>
    <w:rsid w:val="00F75192"/>
    <w:rsid w:val="00F76536"/>
    <w:rsid w:val="00F7759E"/>
    <w:rsid w:val="00F83015"/>
    <w:rsid w:val="00F8419D"/>
    <w:rsid w:val="00F9063C"/>
    <w:rsid w:val="00F9246C"/>
    <w:rsid w:val="00F94DD0"/>
    <w:rsid w:val="00FA1A1C"/>
    <w:rsid w:val="00FA1D84"/>
    <w:rsid w:val="00FA28B0"/>
    <w:rsid w:val="00FB00A5"/>
    <w:rsid w:val="00FB53E4"/>
    <w:rsid w:val="00FB6EA3"/>
    <w:rsid w:val="00FC1E4A"/>
    <w:rsid w:val="00FC4BCE"/>
    <w:rsid w:val="00FC6F21"/>
    <w:rsid w:val="00FC7FE6"/>
    <w:rsid w:val="00FD0E90"/>
    <w:rsid w:val="00FD219C"/>
    <w:rsid w:val="00FD40C3"/>
    <w:rsid w:val="00FD504F"/>
    <w:rsid w:val="00FD7E7A"/>
    <w:rsid w:val="00FE1AFC"/>
    <w:rsid w:val="00FE2DF0"/>
    <w:rsid w:val="00FE3A3B"/>
    <w:rsid w:val="00FE69EA"/>
    <w:rsid w:val="00FE6BBF"/>
    <w:rsid w:val="00FE7A14"/>
    <w:rsid w:val="00FF3DFC"/>
    <w:rsid w:val="00FF464A"/>
    <w:rsid w:val="00FF4DE3"/>
    <w:rsid w:val="00FF5F97"/>
    <w:rsid w:val="00FF7A51"/>
    <w:rsid w:val="02287A18"/>
    <w:rsid w:val="042B1767"/>
    <w:rsid w:val="04742BE4"/>
    <w:rsid w:val="08845B88"/>
    <w:rsid w:val="104C4DC9"/>
    <w:rsid w:val="126079B8"/>
    <w:rsid w:val="14173CA1"/>
    <w:rsid w:val="17CC781A"/>
    <w:rsid w:val="208D55A1"/>
    <w:rsid w:val="28132811"/>
    <w:rsid w:val="2ACF5A74"/>
    <w:rsid w:val="2BFF7358"/>
    <w:rsid w:val="2CC3304D"/>
    <w:rsid w:val="2CC43900"/>
    <w:rsid w:val="2CEB6A90"/>
    <w:rsid w:val="331D2CEA"/>
    <w:rsid w:val="36A44704"/>
    <w:rsid w:val="394452F8"/>
    <w:rsid w:val="3FDC17E8"/>
    <w:rsid w:val="40032407"/>
    <w:rsid w:val="41240AEC"/>
    <w:rsid w:val="41B13DCE"/>
    <w:rsid w:val="429A368A"/>
    <w:rsid w:val="433C2B42"/>
    <w:rsid w:val="43CE1D1D"/>
    <w:rsid w:val="47751272"/>
    <w:rsid w:val="4B213962"/>
    <w:rsid w:val="4C501FD9"/>
    <w:rsid w:val="4CA45305"/>
    <w:rsid w:val="4DAE78A8"/>
    <w:rsid w:val="4FBA075B"/>
    <w:rsid w:val="50D818F1"/>
    <w:rsid w:val="51047479"/>
    <w:rsid w:val="515A2312"/>
    <w:rsid w:val="51821C65"/>
    <w:rsid w:val="541C548D"/>
    <w:rsid w:val="58235328"/>
    <w:rsid w:val="58CC6450"/>
    <w:rsid w:val="5D9C4E6A"/>
    <w:rsid w:val="5FF564FD"/>
    <w:rsid w:val="602B0BD5"/>
    <w:rsid w:val="60C97E24"/>
    <w:rsid w:val="639B507A"/>
    <w:rsid w:val="64DD3107"/>
    <w:rsid w:val="664C7E16"/>
    <w:rsid w:val="66A84CFD"/>
    <w:rsid w:val="68314D95"/>
    <w:rsid w:val="69BC0A87"/>
    <w:rsid w:val="70167689"/>
    <w:rsid w:val="711F20B5"/>
    <w:rsid w:val="719C0F72"/>
    <w:rsid w:val="71C24A90"/>
    <w:rsid w:val="721E0247"/>
    <w:rsid w:val="728942B7"/>
    <w:rsid w:val="73FA5747"/>
    <w:rsid w:val="76695B69"/>
    <w:rsid w:val="77746B0A"/>
    <w:rsid w:val="79F357A8"/>
    <w:rsid w:val="7AA16669"/>
    <w:rsid w:val="7B194382"/>
    <w:rsid w:val="7D7F2934"/>
    <w:rsid w:val="7E3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4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32497"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C324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324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C32497"/>
    <w:pPr>
      <w:ind w:firstLineChars="200" w:firstLine="600"/>
    </w:pPr>
    <w:rPr>
      <w:rFonts w:ascii="仿宋_GB2312" w:eastAsia="仿宋_GB2312"/>
      <w:sz w:val="30"/>
      <w:szCs w:val="32"/>
    </w:rPr>
  </w:style>
  <w:style w:type="paragraph" w:styleId="a3">
    <w:name w:val="Balloon Text"/>
    <w:basedOn w:val="a"/>
    <w:link w:val="Char"/>
    <w:qFormat/>
    <w:rsid w:val="00C32497"/>
    <w:rPr>
      <w:sz w:val="18"/>
      <w:szCs w:val="18"/>
    </w:rPr>
  </w:style>
  <w:style w:type="paragraph" w:styleId="a4">
    <w:name w:val="footer"/>
    <w:basedOn w:val="a"/>
    <w:qFormat/>
    <w:rsid w:val="00C3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3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324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7">
    <w:name w:val="Table Grid"/>
    <w:basedOn w:val="a1"/>
    <w:qFormat/>
    <w:rsid w:val="00C32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32497"/>
    <w:rPr>
      <w:b/>
      <w:bCs/>
    </w:rPr>
  </w:style>
  <w:style w:type="character" w:styleId="a9">
    <w:name w:val="page number"/>
    <w:basedOn w:val="a0"/>
    <w:qFormat/>
    <w:rsid w:val="00C32497"/>
  </w:style>
  <w:style w:type="character" w:customStyle="1" w:styleId="f12l1">
    <w:name w:val="f12l1"/>
    <w:basedOn w:val="a0"/>
    <w:qFormat/>
    <w:rsid w:val="00C32497"/>
  </w:style>
  <w:style w:type="character" w:customStyle="1" w:styleId="f18bt">
    <w:name w:val="f18bt"/>
    <w:basedOn w:val="a0"/>
    <w:qFormat/>
    <w:rsid w:val="00C32497"/>
  </w:style>
  <w:style w:type="character" w:customStyle="1" w:styleId="3Char">
    <w:name w:val="标题 3 Char"/>
    <w:basedOn w:val="a0"/>
    <w:link w:val="3"/>
    <w:qFormat/>
    <w:rsid w:val="00C32497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C32497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CharChar1Char">
    <w:name w:val="Char Char1 Char"/>
    <w:basedOn w:val="a"/>
    <w:qFormat/>
    <w:rsid w:val="00C32497"/>
    <w:rPr>
      <w:rFonts w:ascii="仿宋_GB2312" w:eastAsia="仿宋_GB2312"/>
      <w:b/>
      <w:sz w:val="30"/>
      <w:szCs w:val="32"/>
    </w:rPr>
  </w:style>
  <w:style w:type="paragraph" w:customStyle="1" w:styleId="CharCharChar">
    <w:name w:val="Char Char Char"/>
    <w:basedOn w:val="a"/>
    <w:rsid w:val="00C32497"/>
  </w:style>
  <w:style w:type="paragraph" w:customStyle="1" w:styleId="CharChar1Char1">
    <w:name w:val="Char Char1 Char1"/>
    <w:basedOn w:val="a"/>
    <w:qFormat/>
    <w:rsid w:val="00C32497"/>
    <w:rPr>
      <w:rFonts w:ascii="仿宋_GB2312" w:eastAsia="仿宋_GB2312"/>
      <w:b/>
      <w:sz w:val="30"/>
      <w:szCs w:val="32"/>
    </w:rPr>
  </w:style>
  <w:style w:type="paragraph" w:customStyle="1" w:styleId="p0">
    <w:name w:val="p0"/>
    <w:basedOn w:val="a"/>
    <w:qFormat/>
    <w:rsid w:val="00C32497"/>
    <w:pPr>
      <w:widowControl/>
    </w:pPr>
    <w:rPr>
      <w:kern w:val="0"/>
      <w:szCs w:val="21"/>
    </w:rPr>
  </w:style>
  <w:style w:type="paragraph" w:customStyle="1" w:styleId="Char2CharCharChar">
    <w:name w:val="Char2 Char Char Char"/>
    <w:basedOn w:val="a"/>
    <w:rsid w:val="00C32497"/>
    <w:rPr>
      <w:szCs w:val="20"/>
    </w:rPr>
  </w:style>
  <w:style w:type="character" w:customStyle="1" w:styleId="Char">
    <w:name w:val="批注框文本 Char"/>
    <w:basedOn w:val="a0"/>
    <w:link w:val="a3"/>
    <w:qFormat/>
    <w:rsid w:val="00C32497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C32497"/>
    <w:pPr>
      <w:ind w:firstLineChars="200" w:firstLine="420"/>
    </w:pPr>
  </w:style>
  <w:style w:type="paragraph" w:customStyle="1" w:styleId="z-1">
    <w:name w:val="z-窗体底端1"/>
    <w:basedOn w:val="a"/>
    <w:next w:val="a"/>
    <w:link w:val="z-Char"/>
    <w:uiPriority w:val="99"/>
    <w:unhideWhenUsed/>
    <w:rsid w:val="00C3249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uiPriority w:val="99"/>
    <w:rsid w:val="00C3249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1doc&#25991;&#20214;\doc\2020&#24180;1&#23395;&#24230;&#22122;&#22768;&#22270;&#3492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1doc&#25991;&#20214;\doc\2020&#24180;1&#23395;&#24230;&#22122;&#22768;&#22270;&#3492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21150;&#20844;&#25991;&#20214;\&#33258;&#21160;&#31449;+&#20449;&#24687;\&#33258;&#21160;&#31449;&#25968;&#25454;\2020\&#23395;&#25253;-&#24180;&#25253;\2020&#23395;&#25253;&#30011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9578013492115"/>
          <c:y val="3.927797833935022E-2"/>
          <c:w val="0.76435114205765597"/>
          <c:h val="0.65034965034965242"/>
        </c:manualLayout>
      </c:layout>
      <c:bar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Ld 2019年1季度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Sheet1!$B$10:$B$14</c:f>
              <c:numCache>
                <c:formatCode>0_);[Red]\(0\)</c:formatCode>
                <c:ptCount val="5"/>
                <c:pt idx="0">
                  <c:v>45</c:v>
                </c:pt>
                <c:pt idx="1">
                  <c:v>54</c:v>
                </c:pt>
                <c:pt idx="2">
                  <c:v>53</c:v>
                </c:pt>
                <c:pt idx="3">
                  <c:v>62</c:v>
                </c:pt>
                <c:pt idx="4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Ld 2020年1季度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489817792069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2926045016077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622722400860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292604501607701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005359056806007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Sheet1!$C$10:$C$14</c:f>
              <c:numCache>
                <c:formatCode>0_);[Red]\(0\)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54</c:v>
                </c:pt>
                <c:pt idx="3">
                  <c:v>61</c:v>
                </c:pt>
                <c:pt idx="4">
                  <c:v>66</c:v>
                </c:pt>
              </c:numCache>
            </c:numRef>
          </c:val>
        </c:ser>
        <c:dLbls>
          <c:showVal val="1"/>
        </c:dLbls>
        <c:axId val="65395328"/>
        <c:axId val="141313152"/>
      </c:barChart>
      <c:catAx>
        <c:axId val="65395328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27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41313152"/>
        <c:crosses val="autoZero"/>
        <c:auto val="1"/>
        <c:lblAlgn val="ctr"/>
        <c:lblOffset val="100"/>
        <c:tickLblSkip val="1"/>
      </c:catAx>
      <c:valAx>
        <c:axId val="141313152"/>
        <c:scaling>
          <c:orientation val="minMax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0_);[Red]\(0\)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6539532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81725619834710683"/>
          <c:y val="2.2144491553940403E-2"/>
          <c:w val="0.17363337020888894"/>
          <c:h val="0.11538461538461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2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7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6.3414734843011647E-2"/>
          <c:y val="7.9406859856803833E-2"/>
          <c:w val="0.90135637923308398"/>
          <c:h val="0.53824021997250404"/>
        </c:manualLayout>
      </c:layout>
      <c:bar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Ln 2019年1季度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Sheet1!$B$18:$B$22</c:f>
              <c:numCache>
                <c:formatCode>0_);[Red]\(0\)</c:formatCode>
                <c:ptCount val="5"/>
                <c:pt idx="0">
                  <c:v>41</c:v>
                </c:pt>
                <c:pt idx="1">
                  <c:v>46</c:v>
                </c:pt>
                <c:pt idx="2">
                  <c:v>49</c:v>
                </c:pt>
                <c:pt idx="3">
                  <c:v>57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Ln 2020年1季度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1219512195120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51219512195120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848238482384904E-2"/>
                  <c:y val="-4.9019607843137532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512195121951105E-2"/>
                  <c:y val="-1.470588235294120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344173441734403E-2"/>
                  <c:y val="-9.803921568627450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Sheet1!$C$18:$C$22</c:f>
              <c:numCache>
                <c:formatCode>0_);[Red]\(0\)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47</c:v>
                </c:pt>
                <c:pt idx="3">
                  <c:v>58</c:v>
                </c:pt>
                <c:pt idx="4">
                  <c:v>60</c:v>
                </c:pt>
              </c:numCache>
            </c:numRef>
          </c:val>
        </c:ser>
        <c:dLbls>
          <c:showVal val="1"/>
        </c:dLbls>
        <c:axId val="141603200"/>
        <c:axId val="141648256"/>
      </c:barChart>
      <c:catAx>
        <c:axId val="141603200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27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41648256"/>
        <c:crosses val="autoZero"/>
        <c:auto val="1"/>
        <c:lblAlgn val="ctr"/>
        <c:lblOffset val="100"/>
        <c:tickLblSkip val="1"/>
      </c:catAx>
      <c:valAx>
        <c:axId val="141648256"/>
        <c:scaling>
          <c:orientation val="minMax"/>
        </c:scaling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0_);[Red]\(0\)" sourceLinked="1"/>
        <c:majorTickMark val="in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endParaRPr lang="zh-CN"/>
          </a:p>
        </c:txPr>
        <c:crossAx val="1416032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7837398373983766"/>
          <c:y val="1.838234506400991E-2"/>
          <c:w val="0.16910569105691101"/>
          <c:h val="0.1029410609388110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50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6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3221995643739453E-2"/>
          <c:y val="0.170828509168862"/>
          <c:w val="0.62629911336697441"/>
          <c:h val="0.72718844324001919"/>
        </c:manualLayout>
      </c:layout>
      <c:lineChart>
        <c:grouping val="standard"/>
        <c:ser>
          <c:idx val="0"/>
          <c:order val="0"/>
          <c:tx>
            <c:strRef>
              <c:f>2020年第一季度</c:f>
              <c:strCache>
                <c:ptCount val="1"/>
                <c:pt idx="0">
                  <c:v>2020年第一季度</c:v>
                </c:pt>
              </c:strCache>
            </c:strRef>
          </c:tx>
          <c:spPr>
            <a:ln w="15875" cap="sq" cmpd="sng" algn="ctr">
              <a:solidFill>
                <a:srgbClr val="002060"/>
              </a:solidFill>
              <a:prstDash val="solid"/>
              <a:round/>
            </a:ln>
          </c:spPr>
          <c:marker>
            <c:spPr>
              <a:solidFill>
                <a:schemeClr val="accent1"/>
              </a:solidFill>
            </c:spPr>
          </c:marker>
          <c:cat>
            <c:strRef>
              <c:f>Sheet1!$A$38:$A$41</c:f>
              <c:strCache>
                <c:ptCount val="4"/>
                <c:pt idx="0">
                  <c:v>一月</c:v>
                </c:pt>
                <c:pt idx="1">
                  <c:v>二月</c:v>
                </c:pt>
                <c:pt idx="2">
                  <c:v>三月</c:v>
                </c:pt>
                <c:pt idx="3">
                  <c:v>季均值</c:v>
                </c:pt>
              </c:strCache>
            </c:strRef>
          </c:cat>
          <c:val>
            <c:numRef>
              <c:f>Sheet1!$B$38:$B$41</c:f>
              <c:numCache>
                <c:formatCode>General</c:formatCode>
                <c:ptCount val="4"/>
                <c:pt idx="0">
                  <c:v>104.4</c:v>
                </c:pt>
                <c:pt idx="1">
                  <c:v>103.1</c:v>
                </c:pt>
                <c:pt idx="2">
                  <c:v>104</c:v>
                </c:pt>
                <c:pt idx="3">
                  <c:v>103.8</c:v>
                </c:pt>
              </c:numCache>
            </c:numRef>
          </c:val>
        </c:ser>
        <c:marker val="1"/>
        <c:axId val="141666560"/>
        <c:axId val="141812480"/>
      </c:lineChart>
      <c:catAx>
        <c:axId val="141666560"/>
        <c:scaling>
          <c:orientation val="minMax"/>
        </c:scaling>
        <c:axPos val="b"/>
        <c:numFmt formatCode="General" sourceLinked="1"/>
        <c:majorTickMark val="in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alt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1812480"/>
        <c:crosses val="autoZero"/>
        <c:lblAlgn val="ctr"/>
        <c:lblOffset val="100"/>
      </c:catAx>
      <c:valAx>
        <c:axId val="141812480"/>
        <c:scaling>
          <c:orientation val="minMax"/>
          <c:max val="110"/>
          <c:min val="100"/>
        </c:scaling>
        <c:axPos val="l"/>
        <c:majorGridlines/>
        <c:numFmt formatCode="General" sourceLinked="1"/>
        <c:majorTickMark val="in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alt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4166656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666671628239422"/>
          <c:y val="0.17098674374563905"/>
          <c:w val="0.252753623188406"/>
          <c:h val="7.6240406658028503E-2"/>
        </c:manualLayout>
      </c:layout>
      <c:spPr>
        <a:ln>
          <a:solidFill>
            <a:schemeClr val="accent1"/>
          </a:solidFill>
        </a:ln>
      </c:spPr>
      <c:txPr>
        <a:bodyPr rot="0" spcFirstLastPara="0" vertOverflow="ellipsis" vert="horz" wrap="square" anchor="ctr" anchorCtr="1"/>
        <a:lstStyle/>
        <a:p>
          <a:pPr>
            <a:defRPr lang="zh-CN" altLang="en-US"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altLang="en-US" sz="1000" b="0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0.78195</cdr:x>
      <cdr:y>0.71528</cdr:y>
    </cdr:from>
    <cdr:to>
      <cdr:x>0.95489</cdr:x>
      <cdr:y>0.79861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962400" y="1962150"/>
          <a:ext cx="8763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0.02231</cdr:x>
      <cdr:y>0.05884</cdr:y>
    </cdr:from>
    <cdr:to>
      <cdr:x>0.28359</cdr:x>
      <cdr:y>0.14564</cdr:y>
    </cdr:to>
    <cdr:sp macro="" textlink="">
      <cdr:nvSpPr>
        <cdr:cNvPr id="3" name="矩形 2"/>
        <cdr:cNvSpPr/>
      </cdr:nvSpPr>
      <cdr:spPr>
        <a:xfrm xmlns:a="http://schemas.openxmlformats.org/drawingml/2006/main">
          <a:off x="112402" y="186193"/>
          <a:ext cx="1316509" cy="274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r>
            <a:rPr lang="zh-CN" altLang="zh-CN" sz="1000" b="0" i="0" baseline="0">
              <a:latin typeface="+mn-ea"/>
              <a:ea typeface="+mn-ea"/>
              <a:cs typeface="+mn-cs"/>
            </a:rPr>
            <a:t>剂量率</a:t>
          </a:r>
          <a:r>
            <a:rPr lang="zh-CN" altLang="en-US" sz="1000" b="0" i="0" baseline="0">
              <a:latin typeface="+mn-ea"/>
              <a:ea typeface="+mn-ea"/>
              <a:cs typeface="+mn-cs"/>
            </a:rPr>
            <a:t>（</a:t>
          </a:r>
          <a:r>
            <a:rPr lang="en-US" altLang="zh-CN" sz="1000" b="0" i="0" baseline="0">
              <a:latin typeface="+mn-ea"/>
              <a:ea typeface="+mn-ea"/>
              <a:cs typeface="+mn-cs"/>
            </a:rPr>
            <a:t>nGy/h</a:t>
          </a:r>
          <a:r>
            <a:rPr lang="zh-CN" altLang="zh-CN" sz="1000" b="0" i="0" baseline="0">
              <a:latin typeface="+mn-ea"/>
              <a:ea typeface="+mn-ea"/>
              <a:cs typeface="+mn-cs"/>
            </a:rPr>
            <a:t>）</a:t>
          </a:r>
          <a:endParaRPr lang="zh-CN" altLang="en-US" sz="1000">
            <a:latin typeface="+mn-ea"/>
            <a:ea typeface="+mn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2BD9BF-64EB-446E-A35A-D9847C0D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2052</Words>
  <Characters>2177</Characters>
  <Application>Microsoft Office Word</Application>
  <DocSecurity>0</DocSecurity>
  <Lines>272</Lines>
  <Paragraphs>302</Paragraphs>
  <ScaleCrop>false</ScaleCrop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1-2月份环境质量与监测 </dc:title>
  <dc:creator>User</dc:creator>
  <cp:lastModifiedBy>chaixin</cp:lastModifiedBy>
  <cp:revision>3</cp:revision>
  <cp:lastPrinted>2008-11-17T02:58:00Z</cp:lastPrinted>
  <dcterms:created xsi:type="dcterms:W3CDTF">2020-04-24T03:04:00Z</dcterms:created>
  <dcterms:modified xsi:type="dcterms:W3CDTF">2020-04-24T03:05:00Z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