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仿宋_GB2312"/>
          <w:color w:val="000000" w:themeColor="text1"/>
          <w:sz w:val="28"/>
          <w14:textFill>
            <w14:solidFill>
              <w14:schemeClr w14:val="tx1"/>
            </w14:solidFill>
          </w14:textFill>
        </w:rPr>
      </w:pPr>
    </w:p>
    <w:p>
      <w:pPr>
        <w:jc w:val="center"/>
        <w:rPr>
          <w:rFonts w:ascii="华文新魏" w:eastAsia="华文新魏"/>
          <w:b/>
          <w:color w:val="000000"/>
          <w:sz w:val="44"/>
          <w:szCs w:val="44"/>
        </w:rPr>
      </w:pPr>
      <w:r>
        <w:rPr>
          <w:rFonts w:hint="eastAsia" w:ascii="华文新魏" w:eastAsia="华文新魏"/>
          <w:b/>
          <w:color w:val="000000"/>
          <w:sz w:val="44"/>
          <w:szCs w:val="44"/>
          <w:lang w:eastAsia="zh-CN"/>
        </w:rPr>
        <w:t>建筑垃圾再生利用生产新型建筑材料项目</w:t>
      </w:r>
      <w:r>
        <w:rPr>
          <w:rFonts w:hint="eastAsia" w:ascii="华文新魏" w:eastAsia="华文新魏"/>
          <w:b/>
          <w:color w:val="000000"/>
          <w:sz w:val="44"/>
          <w:szCs w:val="44"/>
        </w:rPr>
        <w:t>竣工环境保护验收监测报告表</w:t>
      </w:r>
    </w:p>
    <w:p>
      <w:pPr>
        <w:pStyle w:val="2"/>
        <w:jc w:val="center"/>
        <w:rPr>
          <w:rFonts w:eastAsia="宋体"/>
        </w:rPr>
      </w:pPr>
      <w:r>
        <w:rPr>
          <w:rFonts w:hint="eastAsia" w:ascii="宋体" w:hAnsi="宋体" w:eastAsia="宋体"/>
          <w:color w:val="000000" w:themeColor="text1"/>
          <w:sz w:val="52"/>
          <w:szCs w:val="52"/>
          <w14:textFill>
            <w14:solidFill>
              <w14:schemeClr w14:val="tx1"/>
            </w14:solidFill>
          </w14:textFill>
        </w:rPr>
        <w:t>（固废）</w:t>
      </w:r>
    </w:p>
    <w:p>
      <w:pPr>
        <w:spacing w:line="360" w:lineRule="auto"/>
        <w:jc w:val="center"/>
        <w:rPr>
          <w:rFonts w:ascii="宋体" w:hAnsi="宋体" w:eastAsia="宋体"/>
          <w:b/>
          <w:color w:val="000000" w:themeColor="text1"/>
          <w:sz w:val="48"/>
          <w:szCs w:val="48"/>
          <w14:textFill>
            <w14:solidFill>
              <w14:schemeClr w14:val="tx1"/>
            </w14:solidFill>
          </w14:textFill>
        </w:rPr>
      </w:pPr>
    </w:p>
    <w:p>
      <w:pPr>
        <w:pStyle w:val="2"/>
      </w:pPr>
    </w:p>
    <w:p>
      <w:pPr>
        <w:spacing w:after="0" w:line="360" w:lineRule="auto"/>
        <w:rPr>
          <w:rFonts w:ascii="宋体" w:hAnsi="宋体" w:eastAsia="宋体"/>
          <w:color w:val="000000" w:themeColor="text1"/>
          <w:sz w:val="36"/>
          <w:szCs w:val="36"/>
          <w14:textFill>
            <w14:solidFill>
              <w14:schemeClr w14:val="tx1"/>
            </w14:solidFill>
          </w14:textFill>
        </w:rPr>
      </w:pPr>
    </w:p>
    <w:p>
      <w:pPr>
        <w:ind w:firstLine="1500" w:firstLineChars="500"/>
        <w:jc w:val="both"/>
        <w:rPr>
          <w:rFonts w:hint="eastAsia" w:ascii="华文新魏" w:eastAsia="华文新魏"/>
          <w:color w:val="000000"/>
          <w:sz w:val="30"/>
          <w:szCs w:val="30"/>
          <w:lang w:eastAsia="zh-CN"/>
        </w:rPr>
      </w:pPr>
      <w:r>
        <w:rPr>
          <w:rFonts w:hint="eastAsia" w:ascii="华文新魏" w:eastAsia="华文新魏"/>
          <w:color w:val="000000"/>
          <w:sz w:val="30"/>
          <w:szCs w:val="30"/>
        </w:rPr>
        <w:t>建设单位：</w:t>
      </w:r>
      <w:r>
        <w:rPr>
          <w:rFonts w:hint="eastAsia" w:ascii="华文新魏" w:eastAsia="华文新魏"/>
          <w:bCs/>
          <w:color w:val="000000"/>
          <w:sz w:val="30"/>
          <w:szCs w:val="30"/>
        </w:rPr>
        <w:t>西安</w:t>
      </w:r>
      <w:r>
        <w:rPr>
          <w:rFonts w:hint="eastAsia" w:ascii="华文新魏" w:eastAsia="华文新魏"/>
          <w:bCs/>
          <w:color w:val="000000"/>
          <w:sz w:val="30"/>
          <w:szCs w:val="30"/>
          <w:lang w:eastAsia="zh-CN"/>
        </w:rPr>
        <w:t>永联环保建筑材料有限公司</w:t>
      </w:r>
    </w:p>
    <w:p>
      <w:pPr>
        <w:ind w:firstLine="1500" w:firstLineChars="500"/>
        <w:jc w:val="both"/>
        <w:rPr>
          <w:rFonts w:hint="eastAsia" w:ascii="华文新魏" w:eastAsia="华文新魏"/>
          <w:color w:val="000000"/>
          <w:sz w:val="30"/>
          <w:szCs w:val="30"/>
          <w:lang w:eastAsia="zh-CN"/>
        </w:rPr>
      </w:pPr>
      <w:r>
        <w:rPr>
          <w:rFonts w:hint="eastAsia" w:ascii="华文新魏" w:eastAsia="华文新魏"/>
          <w:color w:val="000000"/>
          <w:sz w:val="30"/>
          <w:szCs w:val="30"/>
        </w:rPr>
        <w:t>编制单位：</w:t>
      </w:r>
      <w:r>
        <w:rPr>
          <w:rFonts w:hint="eastAsia" w:ascii="华文新魏" w:eastAsia="华文新魏"/>
          <w:bCs/>
          <w:color w:val="000000"/>
          <w:sz w:val="30"/>
          <w:szCs w:val="30"/>
        </w:rPr>
        <w:t>西安</w:t>
      </w:r>
      <w:r>
        <w:rPr>
          <w:rFonts w:hint="eastAsia" w:ascii="华文新魏" w:eastAsia="华文新魏"/>
          <w:bCs/>
          <w:color w:val="000000"/>
          <w:sz w:val="30"/>
          <w:szCs w:val="30"/>
          <w:lang w:eastAsia="zh-CN"/>
        </w:rPr>
        <w:t>永联环保建筑材料有限公司</w:t>
      </w:r>
    </w:p>
    <w:p>
      <w:pPr>
        <w:jc w:val="center"/>
        <w:rPr>
          <w:rFonts w:ascii="华文新魏" w:eastAsia="华文新魏" w:cs="Times New Roman"/>
          <w:color w:val="000000"/>
          <w:sz w:val="30"/>
          <w:szCs w:val="30"/>
        </w:rPr>
      </w:pPr>
    </w:p>
    <w:p>
      <w:pPr>
        <w:spacing w:line="360" w:lineRule="auto"/>
        <w:ind w:firstLine="1260" w:firstLineChars="450"/>
        <w:rPr>
          <w:rFonts w:ascii="宋体" w:hAnsi="宋体" w:eastAsia="宋体"/>
          <w:color w:val="000000" w:themeColor="text1"/>
          <w:sz w:val="28"/>
          <w:szCs w:val="28"/>
          <w14:textFill>
            <w14:solidFill>
              <w14:schemeClr w14:val="tx1"/>
            </w14:solidFill>
          </w14:textFill>
        </w:rPr>
      </w:pPr>
    </w:p>
    <w:p>
      <w:pPr>
        <w:spacing w:line="360" w:lineRule="auto"/>
        <w:ind w:firstLine="1260" w:firstLineChars="450"/>
        <w:rPr>
          <w:rFonts w:ascii="宋体" w:hAnsi="宋体" w:eastAsia="宋体"/>
          <w:color w:val="000000" w:themeColor="text1"/>
          <w:sz w:val="28"/>
          <w:szCs w:val="28"/>
          <w14:textFill>
            <w14:solidFill>
              <w14:schemeClr w14:val="tx1"/>
            </w14:solidFill>
          </w14:textFill>
        </w:rPr>
      </w:pPr>
    </w:p>
    <w:p>
      <w:pPr>
        <w:pStyle w:val="2"/>
      </w:pPr>
    </w:p>
    <w:p>
      <w:pPr>
        <w:spacing w:line="360" w:lineRule="auto"/>
        <w:rPr>
          <w:rFonts w:ascii="宋体" w:hAnsi="宋体" w:eastAsia="宋体"/>
          <w:color w:val="000000" w:themeColor="text1"/>
          <w:sz w:val="28"/>
          <w:szCs w:val="28"/>
          <w14:textFill>
            <w14:solidFill>
              <w14:schemeClr w14:val="tx1"/>
            </w14:solidFill>
          </w14:textFill>
        </w:rPr>
      </w:pPr>
    </w:p>
    <w:p>
      <w:pPr>
        <w:jc w:val="center"/>
        <w:rPr>
          <w:rFonts w:ascii="华文新魏" w:eastAsia="华文新魏" w:cs="Times New Roman"/>
          <w:color w:val="auto"/>
          <w:sz w:val="30"/>
          <w:szCs w:val="30"/>
        </w:rPr>
      </w:pPr>
      <w:r>
        <w:rPr>
          <w:rFonts w:hint="eastAsia" w:ascii="华文新魏" w:eastAsia="华文新魏" w:cs="Times New Roman"/>
          <w:color w:val="auto"/>
          <w:sz w:val="30"/>
          <w:szCs w:val="30"/>
        </w:rPr>
        <w:t>二O一</w:t>
      </w:r>
      <w:r>
        <w:rPr>
          <w:rFonts w:hint="eastAsia" w:ascii="华文新魏" w:eastAsia="华文新魏" w:cs="Times New Roman"/>
          <w:color w:val="auto"/>
          <w:sz w:val="30"/>
          <w:szCs w:val="30"/>
          <w:lang w:eastAsia="zh-CN"/>
        </w:rPr>
        <w:t>九</w:t>
      </w:r>
      <w:r>
        <w:rPr>
          <w:rFonts w:hint="eastAsia" w:ascii="华文新魏" w:eastAsia="华文新魏" w:cs="Times New Roman"/>
          <w:color w:val="auto"/>
          <w:sz w:val="30"/>
          <w:szCs w:val="30"/>
        </w:rPr>
        <w:t>年</w:t>
      </w:r>
      <w:r>
        <w:rPr>
          <w:rFonts w:hint="eastAsia" w:ascii="华文新魏" w:eastAsia="华文新魏" w:cs="Times New Roman"/>
          <w:color w:val="auto"/>
          <w:sz w:val="30"/>
          <w:szCs w:val="30"/>
          <w:lang w:eastAsia="zh-CN"/>
        </w:rPr>
        <w:t>十</w:t>
      </w:r>
      <w:r>
        <w:rPr>
          <w:rFonts w:hint="eastAsia" w:ascii="华文新魏" w:eastAsia="华文新魏" w:cs="Times New Roman"/>
          <w:color w:val="auto"/>
          <w:sz w:val="30"/>
          <w:szCs w:val="30"/>
        </w:rPr>
        <w:t>月</w:t>
      </w:r>
    </w:p>
    <w:p>
      <w:pPr>
        <w:rPr>
          <w:rFonts w:ascii="仿宋" w:hAnsi="仿宋" w:eastAsia="仿宋"/>
          <w:color w:val="000000" w:themeColor="text1"/>
          <w:sz w:val="28"/>
          <w:szCs w:val="28"/>
          <w14:textFill>
            <w14:solidFill>
              <w14:schemeClr w14:val="tx1"/>
            </w14:solidFill>
          </w14:textFill>
        </w:rPr>
      </w:pPr>
    </w:p>
    <w:p>
      <w:pPr>
        <w:spacing w:beforeLines="50" w:after="120" w:line="360" w:lineRule="auto"/>
        <w:rPr>
          <w:rFonts w:asciiTheme="minorEastAsia" w:hAnsiTheme="minorEastAsia" w:eastAsiaTheme="minorEastAsia"/>
          <w:b/>
          <w:color w:val="000000" w:themeColor="text1"/>
          <w:sz w:val="28"/>
          <w14:textFill>
            <w14:solidFill>
              <w14:schemeClr w14:val="tx1"/>
            </w14:solidFill>
          </w14:textFill>
        </w:rPr>
        <w:sectPr>
          <w:footerReference r:id="rId3" w:type="default"/>
          <w:pgSz w:w="11906" w:h="16838"/>
          <w:pgMar w:top="1440" w:right="1440" w:bottom="1440" w:left="1440" w:header="709" w:footer="709" w:gutter="0"/>
          <w:pgBorders>
            <w:top w:val="none" w:sz="0" w:space="0"/>
            <w:left w:val="none" w:sz="0" w:space="0"/>
            <w:bottom w:val="none" w:sz="0" w:space="0"/>
            <w:right w:val="none" w:sz="0" w:space="0"/>
          </w:pgBorders>
          <w:pgNumType w:start="1"/>
          <w:cols w:space="425" w:num="1"/>
          <w:docGrid w:linePitch="360" w:charSpace="0"/>
        </w:sectPr>
      </w:pPr>
    </w:p>
    <w:p>
      <w:pPr>
        <w:widowControl w:val="0"/>
        <w:adjustRightInd/>
        <w:snapToGrid/>
        <w:spacing w:line="360" w:lineRule="auto"/>
        <w:jc w:val="both"/>
        <w:rPr>
          <w:rFonts w:hint="eastAsia" w:ascii="Times New Roman" w:hAnsi="Times New Roman" w:eastAsia="宋体" w:cs="Times New Roman"/>
          <w:kern w:val="2"/>
          <w:sz w:val="24"/>
          <w:szCs w:val="24"/>
        </w:rPr>
      </w:pPr>
    </w:p>
    <w:p>
      <w:pPr>
        <w:widowControl w:val="0"/>
        <w:adjustRightInd/>
        <w:snapToGrid/>
        <w:spacing w:line="360" w:lineRule="auto"/>
        <w:jc w:val="both"/>
        <w:rPr>
          <w:rFonts w:hint="eastAsia" w:ascii="Times New Roman" w:hAnsi="Times New Roman" w:eastAsia="宋体" w:cs="Times New Roman"/>
          <w:kern w:val="2"/>
          <w:sz w:val="28"/>
          <w:szCs w:val="28"/>
        </w:rPr>
      </w:pPr>
      <w:r>
        <w:rPr>
          <w:rFonts w:hint="eastAsia" w:ascii="Times New Roman" w:hAnsi="Times New Roman" w:eastAsia="宋体" w:cs="Times New Roman"/>
          <w:kern w:val="2"/>
          <w:sz w:val="28"/>
          <w:szCs w:val="28"/>
        </w:rPr>
        <w:t>建设单位法人代表：</w:t>
      </w:r>
    </w:p>
    <w:p>
      <w:pPr>
        <w:pStyle w:val="2"/>
        <w:rPr>
          <w:rFonts w:hint="eastAsia"/>
        </w:rPr>
      </w:pPr>
    </w:p>
    <w:p>
      <w:pPr>
        <w:rPr>
          <w:rFonts w:hint="eastAsia" w:ascii="仿宋_GB2312" w:hAnsi="Tahoma" w:eastAsia="仿宋_GB2312" w:cstheme="minorBidi"/>
          <w:b/>
          <w:color w:val="000000"/>
          <w:sz w:val="28"/>
          <w:szCs w:val="22"/>
          <w:lang w:val="en-US" w:eastAsia="zh-CN" w:bidi="ar-SA"/>
        </w:rPr>
      </w:pPr>
    </w:p>
    <w:p>
      <w:pPr>
        <w:tabs>
          <w:tab w:val="left" w:pos="984"/>
        </w:tabs>
        <w:rPr>
          <w:rFonts w:ascii="仿宋_GB2312" w:eastAsia="仿宋_GB2312"/>
          <w:color w:val="000000"/>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pStyle w:val="42"/>
        <w:rPr>
          <w:rFonts w:ascii="仿宋_GB2312" w:eastAsia="仿宋_GB2312"/>
          <w:sz w:val="28"/>
        </w:rPr>
      </w:pPr>
    </w:p>
    <w:p>
      <w:pPr>
        <w:rPr>
          <w:rFonts w:hint="eastAsia" w:ascii="仿宋_GB2312" w:eastAsia="仿宋_GB2312"/>
          <w:color w:val="000000"/>
          <w:sz w:val="24"/>
          <w:szCs w:val="24"/>
          <w:lang w:eastAsia="zh-CN"/>
        </w:rPr>
      </w:pPr>
      <w:r>
        <w:rPr>
          <w:rFonts w:hint="eastAsia" w:ascii="仿宋_GB2312" w:eastAsia="仿宋_GB2312"/>
          <w:color w:val="000000"/>
          <w:sz w:val="24"/>
          <w:szCs w:val="24"/>
          <w:lang w:val="en-US" w:eastAsia="zh-CN"/>
        </w:rPr>
        <w:t>建设单位：</w:t>
      </w:r>
      <w:r>
        <w:rPr>
          <w:rFonts w:hint="eastAsia" w:ascii="仿宋_GB2312" w:eastAsia="仿宋_GB2312"/>
          <w:color w:val="000000"/>
          <w:sz w:val="24"/>
          <w:szCs w:val="24"/>
          <w:lang w:eastAsia="zh-CN"/>
        </w:rPr>
        <w:t>西安永联环保建筑材料有限公司</w:t>
      </w:r>
      <w:r>
        <w:rPr>
          <w:rFonts w:hint="eastAsia" w:ascii="仿宋_GB2312" w:eastAsia="仿宋_GB2312"/>
          <w:color w:val="000000"/>
          <w:sz w:val="24"/>
          <w:szCs w:val="24"/>
          <w:lang w:val="en-US" w:eastAsia="zh-CN"/>
        </w:rPr>
        <w:t xml:space="preserve">   </w:t>
      </w:r>
    </w:p>
    <w:p>
      <w:pP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 xml:space="preserve">电话：17719585005  </w:t>
      </w:r>
      <w:r>
        <w:rPr>
          <w:rFonts w:hint="eastAsia" w:ascii="仿宋_GB2312" w:eastAsia="仿宋_GB2312"/>
          <w:color w:val="000000"/>
          <w:sz w:val="24"/>
          <w:szCs w:val="24"/>
          <w:lang w:val="en-US" w:eastAsia="zh-CN"/>
        </w:rPr>
        <w:tab/>
      </w:r>
      <w:r>
        <w:rPr>
          <w:rFonts w:hint="eastAsia" w:ascii="仿宋_GB2312" w:eastAsia="仿宋_GB2312"/>
          <w:color w:val="000000"/>
          <w:sz w:val="24"/>
          <w:szCs w:val="24"/>
          <w:lang w:val="en-US" w:eastAsia="zh-CN"/>
        </w:rPr>
        <w:t xml:space="preserve">                     </w:t>
      </w:r>
    </w:p>
    <w:p>
      <w:pP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 xml:space="preserve">传真：/                                                  </w:t>
      </w:r>
    </w:p>
    <w:p>
      <w:pPr>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邮编：710101</w:t>
      </w:r>
      <w:r>
        <w:rPr>
          <w:rFonts w:hint="eastAsia" w:ascii="仿宋_GB2312" w:eastAsia="仿宋_GB2312"/>
          <w:color w:val="000000"/>
          <w:sz w:val="24"/>
          <w:szCs w:val="24"/>
          <w:lang w:val="en-US" w:eastAsia="zh-CN"/>
        </w:rPr>
        <w:tab/>
      </w:r>
      <w:r>
        <w:rPr>
          <w:rFonts w:hint="eastAsia" w:ascii="仿宋_GB2312" w:eastAsia="仿宋_GB2312"/>
          <w:color w:val="000000"/>
          <w:sz w:val="24"/>
          <w:szCs w:val="24"/>
          <w:lang w:val="en-US" w:eastAsia="zh-CN"/>
        </w:rPr>
        <w:t xml:space="preserve">                                             </w:t>
      </w:r>
    </w:p>
    <w:p>
      <w:r>
        <w:rPr>
          <w:rFonts w:hint="eastAsia" w:ascii="仿宋_GB2312" w:eastAsia="仿宋_GB2312"/>
          <w:color w:val="000000"/>
          <w:sz w:val="24"/>
          <w:szCs w:val="24"/>
          <w:lang w:val="en-US" w:eastAsia="zh-CN"/>
        </w:rPr>
        <w:t xml:space="preserve">地址：西安市长安区大兆街道三益村  </w:t>
      </w:r>
      <w:r>
        <w:rPr>
          <w:rFonts w:hint="eastAsia" w:ascii="仿宋_GB2312" w:eastAsia="仿宋_GB2312"/>
          <w:color w:val="000000"/>
          <w:sz w:val="21"/>
          <w:szCs w:val="21"/>
          <w:lang w:val="en-US" w:eastAsia="zh-CN"/>
        </w:rPr>
        <w:t xml:space="preserve">       </w:t>
      </w:r>
    </w:p>
    <w:p>
      <w:pPr>
        <w:spacing w:after="0" w:line="360" w:lineRule="auto"/>
      </w:pPr>
    </w:p>
    <w:p>
      <w:pPr>
        <w:pStyle w:val="2"/>
      </w:pPr>
    </w:p>
    <w:p/>
    <w:p>
      <w:pPr>
        <w:pStyle w:val="3"/>
        <w:rPr>
          <w:color w:val="000000" w:themeColor="text1"/>
          <w14:textFill>
            <w14:solidFill>
              <w14:schemeClr w14:val="tx1"/>
            </w14:solidFill>
          </w14:textFill>
        </w:rPr>
      </w:pPr>
      <w:r>
        <w:rPr>
          <w:color w:val="000000" w:themeColor="text1"/>
          <w14:textFill>
            <w14:solidFill>
              <w14:schemeClr w14:val="tx1"/>
            </w14:solidFill>
          </w14:textFill>
        </w:rPr>
        <w:t>表一</w:t>
      </w:r>
    </w:p>
    <w:tbl>
      <w:tblPr>
        <w:tblStyle w:val="19"/>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131"/>
        <w:gridCol w:w="1702"/>
        <w:gridCol w:w="1502"/>
        <w:gridCol w:w="1054"/>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sz w:val="24"/>
                <w:szCs w:val="24"/>
                <w:lang w:eastAsia="zh-CN"/>
              </w:rPr>
              <w:t>建筑垃圾再生利用生产新型建筑材料项目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建设单位名称</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sz w:val="24"/>
                <w:szCs w:val="24"/>
                <w:lang w:eastAsia="zh-CN"/>
              </w:rPr>
              <w:t>西安永联环保建筑材料有限公司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建设项目性质</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√新建    改扩建    技改    迁建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西安市长安区大兆街道三益村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主要产品名称</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免烧压制砖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设计生产能力</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auto"/>
                <w:sz w:val="24"/>
                <w:szCs w:val="24"/>
                <w:shd w:val="clear" w:color="auto" w:fill="auto"/>
                <w:lang w:val="en-US" w:eastAsia="zh-CN"/>
              </w:rPr>
              <w:t>6000万</w:t>
            </w:r>
            <w:r>
              <w:rPr>
                <w:rFonts w:hint="default" w:ascii="Times New Roman" w:hAnsi="Times New Roman" w:eastAsia="宋体" w:cs="Times New Roman"/>
                <w:color w:val="auto"/>
                <w:sz w:val="24"/>
                <w:szCs w:val="24"/>
                <w:shd w:val="clear" w:color="auto" w:fill="auto"/>
              </w:rPr>
              <w:t>块/年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实际生产能力</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shd w:val="clear" w:color="auto" w:fill="auto"/>
                <w:lang w:val="en-US" w:eastAsia="zh-CN"/>
              </w:rPr>
              <w:t>4</w:t>
            </w:r>
            <w:r>
              <w:rPr>
                <w:rFonts w:hint="eastAsia" w:ascii="Times New Roman" w:hAnsi="Times New Roman" w:eastAsia="宋体" w:cs="Times New Roman"/>
                <w:color w:val="auto"/>
                <w:sz w:val="24"/>
                <w:szCs w:val="24"/>
                <w:shd w:val="clear" w:color="auto" w:fill="auto"/>
                <w:lang w:val="en-US" w:eastAsia="zh-CN"/>
              </w:rPr>
              <w:t>5</w:t>
            </w:r>
            <w:r>
              <w:rPr>
                <w:rFonts w:hint="default" w:ascii="Times New Roman" w:hAnsi="Times New Roman" w:eastAsia="宋体" w:cs="Times New Roman"/>
                <w:color w:val="auto"/>
                <w:sz w:val="24"/>
                <w:szCs w:val="24"/>
                <w:shd w:val="clear" w:color="auto" w:fill="auto"/>
                <w:lang w:val="en-US" w:eastAsia="zh-CN"/>
              </w:rPr>
              <w:t>00万块</w:t>
            </w:r>
            <w:r>
              <w:rPr>
                <w:rFonts w:hint="default" w:ascii="Times New Roman" w:hAnsi="Times New Roman" w:eastAsia="宋体" w:cs="Times New Roman"/>
                <w:color w:val="auto"/>
                <w:sz w:val="24"/>
                <w:szCs w:val="24"/>
                <w:shd w:val="clear" w:color="auto" w:fill="auto"/>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建设项目环评时间</w:t>
            </w:r>
          </w:p>
        </w:tc>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开工建设时间</w:t>
            </w:r>
          </w:p>
        </w:tc>
        <w:tc>
          <w:tcPr>
            <w:tcW w:w="37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2018年9月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调试时间</w:t>
            </w:r>
          </w:p>
        </w:tc>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2019年9月</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验收现场监测时间</w:t>
            </w:r>
          </w:p>
        </w:tc>
        <w:tc>
          <w:tcPr>
            <w:tcW w:w="37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2019年10月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环评报告表</w:t>
            </w:r>
          </w:p>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审批部门</w:t>
            </w:r>
          </w:p>
        </w:tc>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auto"/>
                <w:sz w:val="24"/>
                <w:szCs w:val="24"/>
              </w:rPr>
              <w:t>西安市环境保护局</w:t>
            </w:r>
            <w:r>
              <w:rPr>
                <w:rFonts w:hint="default" w:ascii="Times New Roman" w:hAnsi="Times New Roman" w:eastAsia="宋体" w:cs="Times New Roman"/>
                <w:color w:val="auto"/>
                <w:sz w:val="24"/>
                <w:szCs w:val="24"/>
                <w:lang w:eastAsia="zh-CN"/>
              </w:rPr>
              <w:t>长安分局</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编制单位</w:t>
            </w:r>
          </w:p>
        </w:tc>
        <w:tc>
          <w:tcPr>
            <w:tcW w:w="37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安徽通济环保科技有限公司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环保设施设计单位</w:t>
            </w:r>
          </w:p>
        </w:tc>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邹平华卫环保科技有限公司</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环保设施施工单位</w:t>
            </w:r>
          </w:p>
        </w:tc>
        <w:tc>
          <w:tcPr>
            <w:tcW w:w="37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邹平华卫环保科技有限公司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投资总概算</w:t>
            </w:r>
          </w:p>
        </w:tc>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2355</w:t>
            </w:r>
            <w:r>
              <w:rPr>
                <w:rFonts w:hint="default" w:ascii="Times New Roman" w:hAnsi="Times New Roman" w:eastAsia="宋体" w:cs="Times New Roman"/>
                <w:color w:val="auto"/>
                <w:sz w:val="24"/>
                <w:szCs w:val="24"/>
              </w:rPr>
              <w:t>万元</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总概算</w:t>
            </w:r>
          </w:p>
        </w:tc>
        <w:tc>
          <w:tcPr>
            <w:tcW w:w="15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91.8</w:t>
            </w:r>
            <w:r>
              <w:rPr>
                <w:rFonts w:hint="default" w:ascii="Times New Roman" w:hAnsi="Times New Roman" w:eastAsia="宋体" w:cs="Times New Roman"/>
                <w:color w:val="auto"/>
                <w:sz w:val="24"/>
                <w:szCs w:val="24"/>
              </w:rPr>
              <w:t>万元</w:t>
            </w:r>
          </w:p>
        </w:tc>
        <w:tc>
          <w:tcPr>
            <w:tcW w:w="105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比例</w:t>
            </w:r>
          </w:p>
        </w:tc>
        <w:tc>
          <w:tcPr>
            <w:tcW w:w="11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3.89</w:t>
            </w:r>
            <w:r>
              <w:rPr>
                <w:rFonts w:hint="default" w:ascii="Times New Roman" w:hAnsi="Times New Roman" w:eastAsia="宋体" w:cs="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实际总概算</w:t>
            </w:r>
          </w:p>
        </w:tc>
        <w:tc>
          <w:tcPr>
            <w:tcW w:w="21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1800万元</w:t>
            </w:r>
          </w:p>
        </w:tc>
        <w:tc>
          <w:tcPr>
            <w:tcW w:w="17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环保投资</w:t>
            </w:r>
          </w:p>
        </w:tc>
        <w:tc>
          <w:tcPr>
            <w:tcW w:w="15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85.2万元</w:t>
            </w:r>
          </w:p>
        </w:tc>
        <w:tc>
          <w:tcPr>
            <w:tcW w:w="105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比例</w:t>
            </w:r>
          </w:p>
        </w:tc>
        <w:tc>
          <w:tcPr>
            <w:tcW w:w="118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lang w:val="en-US" w:eastAsia="zh-CN"/>
              </w:rPr>
              <w:t>4.73%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验收监测依据</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（1）《中华人民共和国环境保护法》，2015年1月1日；</w:t>
            </w:r>
          </w:p>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（2）《中华人民共和国固体废弃物污染环境防治法》，2016年11月7日；</w:t>
            </w:r>
          </w:p>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（3）《国务院关于修改〈建设项目环境保护管理条例〉的决定》（2017年7月16日中华人民共和国国务院令第682号）；</w:t>
            </w:r>
          </w:p>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（4）《建设项目竣工环境保护验收暂行办法》（国环规环评【2017】4号）；</w:t>
            </w:r>
          </w:p>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（5）《建设项目竣工环境保护验收技术指南 污染影响类》（生态环境部公告2018年第9号，2018年5月1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日）；</w:t>
            </w:r>
          </w:p>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w:t>
            </w:r>
            <w:r>
              <w:rPr>
                <w:rFonts w:hint="default" w:ascii="Times New Roman" w:hAnsi="Times New Roman" w:eastAsia="宋体" w:cs="Times New Roman"/>
                <w:color w:val="000000" w:themeColor="text1"/>
                <w:sz w:val="24"/>
                <w:szCs w:val="24"/>
                <w:lang w:eastAsia="zh-CN"/>
                <w14:textFill>
                  <w14:solidFill>
                    <w14:schemeClr w14:val="tx1"/>
                  </w14:solidFill>
                </w14:textFill>
              </w:rPr>
              <w:t>安徽通济环保科技有限公司</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建筑垃圾再生利用生产新型建筑材料</w:t>
            </w:r>
            <w:r>
              <w:rPr>
                <w:rFonts w:hint="default" w:ascii="Times New Roman" w:hAnsi="Times New Roman" w:eastAsia="宋体" w:cs="Times New Roman"/>
                <w:color w:val="000000" w:themeColor="text1"/>
                <w:sz w:val="24"/>
                <w:szCs w:val="24"/>
                <w14:textFill>
                  <w14:solidFill>
                    <w14:schemeClr w14:val="tx1"/>
                  </w14:solidFill>
                </w14:textFill>
              </w:rPr>
              <w:t>项目环境影响报告表》（201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月）；</w:t>
            </w:r>
          </w:p>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（7）西安市环境保护局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长安分局</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建筑垃圾再生利用生产新型建筑材料项目</w:t>
            </w:r>
            <w:r>
              <w:rPr>
                <w:rFonts w:hint="default" w:ascii="Times New Roman" w:hAnsi="Times New Roman" w:eastAsia="宋体" w:cs="Times New Roman"/>
                <w:color w:val="000000" w:themeColor="text1"/>
                <w:sz w:val="24"/>
                <w:szCs w:val="24"/>
                <w14:textFill>
                  <w14:solidFill>
                    <w14:schemeClr w14:val="tx1"/>
                  </w14:solidFill>
                </w14:textFill>
              </w:rPr>
              <w:t>环境影响报告表的批复》（</w:t>
            </w:r>
            <w:r>
              <w:rPr>
                <w:rFonts w:hint="default" w:ascii="Times New Roman" w:hAnsi="Times New Roman" w:eastAsia="宋体" w:cs="Times New Roman"/>
                <w:color w:val="000000" w:themeColor="text1"/>
                <w:sz w:val="24"/>
                <w:szCs w:val="24"/>
                <w:lang w:eastAsia="zh-CN"/>
                <w14:textFill>
                  <w14:solidFill>
                    <w14:schemeClr w14:val="tx1"/>
                  </w14:solidFill>
                </w14:textFill>
              </w:rPr>
              <w:t>市环长</w:t>
            </w:r>
            <w:r>
              <w:rPr>
                <w:rFonts w:hint="default" w:ascii="Times New Roman" w:hAnsi="Times New Roman" w:eastAsia="宋体" w:cs="Times New Roman"/>
                <w:color w:val="000000" w:themeColor="text1"/>
                <w:sz w:val="24"/>
                <w:szCs w:val="24"/>
                <w14:textFill>
                  <w14:solidFill>
                    <w14:schemeClr w14:val="tx1"/>
                  </w14:solidFill>
                </w14:textFill>
              </w:rPr>
              <w:t>批复（201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t>号）；</w:t>
            </w:r>
          </w:p>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themeColor="text1"/>
                <w:sz w:val="24"/>
                <w:szCs w:val="24"/>
                <w14:textFill>
                  <w14:solidFill>
                    <w14:schemeClr w14:val="tx1"/>
                  </w14:solidFill>
                </w14:textFill>
              </w:rPr>
              <w:t>（8）其他相关资料。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7" w:type="dxa"/>
            <w:vAlign w:val="center"/>
          </w:tcPr>
          <w:p>
            <w:pPr>
              <w:spacing w:after="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验收监测评价标准、标号、级别、限值</w:t>
            </w:r>
          </w:p>
        </w:tc>
        <w:tc>
          <w:tcPr>
            <w:tcW w:w="75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312" w:lineRule="auto"/>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一般固体废物执行《一般工业固体废物贮存、处置场污染控制标准》（GB18599-2001）及其修改单的相关规定；危险废物执行《危险废物贮存污染控制标准》（GB18597-2001）及其修改单的相关规定。</w:t>
            </w:r>
          </w:p>
        </w:tc>
      </w:tr>
    </w:tbl>
    <w:p>
      <w:pPr>
        <w:pStyle w:val="3"/>
        <w:rPr>
          <w:color w:val="000000" w:themeColor="text1"/>
          <w14:textFill>
            <w14:solidFill>
              <w14:schemeClr w14:val="tx1"/>
            </w14:solidFill>
          </w14:textFill>
        </w:rPr>
      </w:pPr>
      <w:r>
        <w:rPr>
          <w:color w:val="000000" w:themeColor="text1"/>
          <w:sz w:val="21"/>
          <w:szCs w:val="21"/>
          <w14:textFill>
            <w14:solidFill>
              <w14:schemeClr w14:val="tx1"/>
            </w14:solidFill>
          </w14:textFill>
        </w:rPr>
        <w:br w:type="page"/>
      </w:r>
      <w:r>
        <w:rPr>
          <w:rFonts w:hint="eastAsia"/>
          <w:color w:val="000000" w:themeColor="text1"/>
          <w14:textFill>
            <w14:solidFill>
              <w14:schemeClr w14:val="tx1"/>
            </w14:solidFill>
          </w14:textFill>
        </w:rPr>
        <w:t>表二</w:t>
      </w:r>
    </w:p>
    <w:tbl>
      <w:tblPr>
        <w:tblStyle w:val="19"/>
        <w:tblW w:w="92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1" w:hRule="atLeast"/>
          <w:jc w:val="center"/>
        </w:trPr>
        <w:tc>
          <w:tcPr>
            <w:tcW w:w="9224" w:type="dxa"/>
          </w:tcPr>
          <w:p>
            <w:pPr>
              <w:spacing w:beforeLines="20"/>
              <w:ind w:firstLine="482" w:firstLineChars="20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一、</w:t>
            </w:r>
            <w:r>
              <w:rPr>
                <w:rFonts w:ascii="Times New Roman" w:hAnsi="Times New Roman" w:eastAsia="宋体"/>
                <w:b/>
                <w:color w:val="000000" w:themeColor="text1"/>
                <w:sz w:val="24"/>
                <w:szCs w:val="24"/>
                <w14:textFill>
                  <w14:solidFill>
                    <w14:schemeClr w14:val="tx1"/>
                  </w14:solidFill>
                </w14:textFill>
              </w:rPr>
              <w:t>工程建设内容</w:t>
            </w:r>
          </w:p>
          <w:p>
            <w:pPr>
              <w:spacing w:after="0" w:line="360" w:lineRule="auto"/>
              <w:ind w:firstLine="482" w:firstLineChars="200"/>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1、产品方案</w:t>
            </w:r>
          </w:p>
          <w:p>
            <w:pPr>
              <w:widowControl w:val="0"/>
              <w:adjustRightInd/>
              <w:snapToGrid/>
              <w:spacing w:after="0" w:line="360" w:lineRule="auto"/>
              <w:ind w:firstLine="480" w:firstLineChars="200"/>
              <w:rPr>
                <w:rFonts w:ascii="Times New Roman" w:hAnsi="Times New Roman" w:eastAsia="宋体"/>
                <w:color w:val="000000" w:themeColor="text1"/>
                <w:kern w:val="2"/>
                <w:sz w:val="24"/>
                <w:szCs w:val="24"/>
                <w14:textFill>
                  <w14:solidFill>
                    <w14:schemeClr w14:val="tx1"/>
                  </w14:solidFill>
                </w14:textFill>
              </w:rPr>
            </w:pPr>
            <w:r>
              <w:rPr>
                <w:rFonts w:ascii="Times New Roman" w:hAnsi="Times New Roman" w:eastAsia="宋体"/>
                <w:color w:val="000000" w:themeColor="text1"/>
                <w:kern w:val="2"/>
                <w:sz w:val="24"/>
                <w:szCs w:val="24"/>
                <w14:textFill>
                  <w14:solidFill>
                    <w14:schemeClr w14:val="tx1"/>
                  </w14:solidFill>
                </w14:textFill>
              </w:rPr>
              <w:t>本项目主要</w:t>
            </w:r>
            <w:r>
              <w:rPr>
                <w:rFonts w:hint="eastAsia" w:ascii="Times New Roman" w:hAnsi="Times New Roman" w:eastAsia="宋体"/>
                <w:color w:val="000000" w:themeColor="text1"/>
                <w:kern w:val="2"/>
                <w:sz w:val="24"/>
                <w:szCs w:val="24"/>
                <w:lang w:eastAsia="zh-CN"/>
                <w14:textFill>
                  <w14:solidFill>
                    <w14:schemeClr w14:val="tx1"/>
                  </w14:solidFill>
                </w14:textFill>
              </w:rPr>
              <w:t>免烧压制砖</w:t>
            </w:r>
            <w:r>
              <w:rPr>
                <w:rFonts w:hint="eastAsia" w:ascii="Times New Roman" w:hAnsi="Times New Roman" w:eastAsia="宋体"/>
                <w:color w:val="000000" w:themeColor="text1"/>
                <w:kern w:val="2"/>
                <w:sz w:val="24"/>
                <w:szCs w:val="24"/>
                <w14:textFill>
                  <w14:solidFill>
                    <w14:schemeClr w14:val="tx1"/>
                  </w14:solidFill>
                </w14:textFill>
              </w:rPr>
              <w:t>，年产</w:t>
            </w:r>
            <w:r>
              <w:rPr>
                <w:rFonts w:hint="eastAsia" w:ascii="Times New Roman" w:hAnsi="Times New Roman" w:eastAsia="宋体"/>
                <w:color w:val="000000" w:themeColor="text1"/>
                <w:kern w:val="2"/>
                <w:sz w:val="24"/>
                <w:szCs w:val="24"/>
                <w:lang w:val="en-US" w:eastAsia="zh-CN"/>
                <w14:textFill>
                  <w14:solidFill>
                    <w14:schemeClr w14:val="tx1"/>
                  </w14:solidFill>
                </w14:textFill>
              </w:rPr>
              <w:t>6000万块免烧压制砖</w:t>
            </w:r>
            <w:r>
              <w:rPr>
                <w:rFonts w:ascii="Times New Roman" w:hAnsi="Times New Roman" w:eastAsia="宋体"/>
                <w:color w:val="000000" w:themeColor="text1"/>
                <w:kern w:val="2"/>
                <w:sz w:val="24"/>
                <w:szCs w:val="24"/>
                <w14:textFill>
                  <w14:solidFill>
                    <w14:schemeClr w14:val="tx1"/>
                  </w14:solidFill>
                </w14:textFill>
              </w:rPr>
              <w:t>方案见表</w:t>
            </w:r>
            <w:r>
              <w:rPr>
                <w:rFonts w:hint="eastAsia" w:ascii="Times New Roman" w:hAnsi="Times New Roman" w:eastAsia="宋体"/>
                <w:color w:val="000000" w:themeColor="text1"/>
                <w:kern w:val="2"/>
                <w:sz w:val="24"/>
                <w:szCs w:val="24"/>
                <w14:textFill>
                  <w14:solidFill>
                    <w14:schemeClr w14:val="tx1"/>
                  </w14:solidFill>
                </w14:textFill>
              </w:rPr>
              <w:t>2-1</w:t>
            </w:r>
            <w:r>
              <w:rPr>
                <w:rFonts w:ascii="Times New Roman" w:hAnsi="Times New Roman" w:eastAsia="宋体"/>
                <w:color w:val="000000" w:themeColor="text1"/>
                <w:kern w:val="2"/>
                <w:sz w:val="24"/>
                <w:szCs w:val="24"/>
                <w14:textFill>
                  <w14:solidFill>
                    <w14:schemeClr w14:val="tx1"/>
                  </w14:solidFill>
                </w14:textFill>
              </w:rPr>
              <w:t>。</w:t>
            </w:r>
          </w:p>
          <w:p>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表2</w:t>
            </w:r>
            <w:r>
              <w:rPr>
                <w:rFonts w:hint="eastAsia" w:ascii="Times New Roman" w:hAnsi="Times New Roman" w:eastAsia="宋体"/>
                <w:b/>
                <w:color w:val="000000" w:themeColor="text1"/>
                <w:sz w:val="21"/>
                <w:szCs w:val="21"/>
                <w14:textFill>
                  <w14:solidFill>
                    <w14:schemeClr w14:val="tx1"/>
                  </w14:solidFill>
                </w14:textFill>
              </w:rPr>
              <w:t xml:space="preserve">-1  </w:t>
            </w:r>
            <w:r>
              <w:rPr>
                <w:rFonts w:ascii="Times New Roman" w:hAnsi="Times New Roman" w:eastAsia="宋体"/>
                <w:b/>
                <w:color w:val="000000" w:themeColor="text1"/>
                <w:sz w:val="21"/>
                <w:szCs w:val="21"/>
                <w14:textFill>
                  <w14:solidFill>
                    <w14:schemeClr w14:val="tx1"/>
                  </w14:solidFill>
                </w14:textFill>
              </w:rPr>
              <w:t xml:space="preserve">  项目产品方案一览表</w:t>
            </w:r>
          </w:p>
          <w:tbl>
            <w:tblPr>
              <w:tblStyle w:val="19"/>
              <w:tblW w:w="89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86"/>
              <w:gridCol w:w="5103"/>
              <w:gridCol w:w="22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6" w:type="dxa"/>
                  <w:vAlign w:val="center"/>
                </w:tcPr>
                <w:p>
                  <w:pPr>
                    <w:widowControl w:val="0"/>
                    <w:spacing w:after="0"/>
                    <w:jc w:val="center"/>
                    <w:rPr>
                      <w:rFonts w:ascii="Times New Roman" w:hAnsi="Times New Roman" w:eastAsiaTheme="minorEastAsia"/>
                      <w:b/>
                      <w:color w:val="000000" w:themeColor="text1"/>
                      <w:kern w:val="2"/>
                      <w:sz w:val="21"/>
                      <w:szCs w:val="21"/>
                      <w14:textFill>
                        <w14:solidFill>
                          <w14:schemeClr w14:val="tx1"/>
                        </w14:solidFill>
                      </w14:textFill>
                    </w:rPr>
                  </w:pPr>
                  <w:r>
                    <w:rPr>
                      <w:rFonts w:ascii="Times New Roman" w:hAnsiTheme="minorEastAsia" w:eastAsiaTheme="minorEastAsia"/>
                      <w:b/>
                      <w:color w:val="000000" w:themeColor="text1"/>
                      <w:sz w:val="21"/>
                      <w:szCs w:val="21"/>
                      <w14:textFill>
                        <w14:solidFill>
                          <w14:schemeClr w14:val="tx1"/>
                        </w14:solidFill>
                      </w14:textFill>
                    </w:rPr>
                    <w:t>产品名称</w:t>
                  </w:r>
                </w:p>
              </w:tc>
              <w:tc>
                <w:tcPr>
                  <w:tcW w:w="5103" w:type="dxa"/>
                  <w:vAlign w:val="center"/>
                </w:tcPr>
                <w:p>
                  <w:pPr>
                    <w:widowControl w:val="0"/>
                    <w:spacing w:after="0"/>
                    <w:jc w:val="center"/>
                    <w:rPr>
                      <w:rFonts w:ascii="Times New Roman" w:hAnsi="Times New Roman" w:eastAsiaTheme="minorEastAsia"/>
                      <w:b/>
                      <w:color w:val="000000" w:themeColor="text1"/>
                      <w:kern w:val="2"/>
                      <w:sz w:val="21"/>
                      <w:szCs w:val="21"/>
                      <w14:textFill>
                        <w14:solidFill>
                          <w14:schemeClr w14:val="tx1"/>
                        </w14:solidFill>
                      </w14:textFill>
                    </w:rPr>
                  </w:pPr>
                  <w:r>
                    <w:rPr>
                      <w:rFonts w:ascii="Times New Roman" w:hAnsiTheme="minorEastAsia" w:eastAsiaTheme="minorEastAsia"/>
                      <w:b/>
                      <w:color w:val="000000" w:themeColor="text1"/>
                      <w:sz w:val="21"/>
                      <w:szCs w:val="21"/>
                      <w14:textFill>
                        <w14:solidFill>
                          <w14:schemeClr w14:val="tx1"/>
                        </w14:solidFill>
                      </w14:textFill>
                    </w:rPr>
                    <w:t>类型〈内径、长度）</w:t>
                  </w:r>
                </w:p>
              </w:tc>
              <w:tc>
                <w:tcPr>
                  <w:tcW w:w="2207" w:type="dxa"/>
                  <w:vAlign w:val="center"/>
                </w:tcPr>
                <w:p>
                  <w:pPr>
                    <w:widowControl w:val="0"/>
                    <w:spacing w:after="0"/>
                    <w:jc w:val="center"/>
                    <w:rPr>
                      <w:rFonts w:ascii="Times New Roman" w:hAnsi="Times New Roman" w:eastAsiaTheme="minorEastAsia"/>
                      <w:b/>
                      <w:color w:val="000000" w:themeColor="text1"/>
                      <w:kern w:val="2"/>
                      <w:sz w:val="21"/>
                      <w:szCs w:val="21"/>
                      <w14:textFill>
                        <w14:solidFill>
                          <w14:schemeClr w14:val="tx1"/>
                        </w14:solidFill>
                      </w14:textFill>
                    </w:rPr>
                  </w:pPr>
                  <w:r>
                    <w:rPr>
                      <w:rFonts w:ascii="Times New Roman" w:hAnsiTheme="minorEastAsia" w:eastAsiaTheme="minorEastAsia"/>
                      <w:b/>
                      <w:color w:val="000000" w:themeColor="text1"/>
                      <w:sz w:val="21"/>
                      <w:szCs w:val="21"/>
                      <w14:textFill>
                        <w14:solidFill>
                          <w14:schemeClr w14:val="tx1"/>
                        </w14:solidFill>
                      </w14:textFill>
                    </w:rPr>
                    <w:t>年产量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6" w:type="dxa"/>
                  <w:vAlign w:val="center"/>
                </w:tcPr>
                <w:p>
                  <w:pPr>
                    <w:pStyle w:val="34"/>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实心砖</w:t>
                  </w:r>
                </w:p>
              </w:tc>
              <w:tc>
                <w:tcPr>
                  <w:tcW w:w="5103" w:type="dxa"/>
                  <w:vAlign w:val="center"/>
                </w:tcPr>
                <w:p>
                  <w:pPr>
                    <w:widowControl w:val="0"/>
                    <w:spacing w:after="0"/>
                    <w:jc w:val="center"/>
                    <w:rPr>
                      <w:rFonts w:hint="eastAsia" w:ascii="Times New Roman" w:hAnsiTheme="minorEastAsia" w:eastAsiaTheme="minorEastAsia"/>
                      <w:color w:val="000000" w:themeColor="text1"/>
                      <w:sz w:val="21"/>
                      <w:szCs w:val="21"/>
                      <w:lang w:val="en-US" w:eastAsia="zh-CN"/>
                      <w14:textFill>
                        <w14:solidFill>
                          <w14:schemeClr w14:val="tx1"/>
                        </w14:solidFill>
                      </w14:textFill>
                    </w:rPr>
                  </w:pPr>
                  <w:r>
                    <w:rPr>
                      <w:rFonts w:hint="eastAsia" w:ascii="Times New Roman" w:hAnsiTheme="minorEastAsia" w:eastAsiaTheme="minorEastAsia"/>
                      <w:color w:val="000000" w:themeColor="text1"/>
                      <w:sz w:val="21"/>
                      <w:szCs w:val="21"/>
                      <w:lang w:val="en-US" w:eastAsia="zh-CN"/>
                      <w14:textFill>
                        <w14:solidFill>
                          <w14:schemeClr w14:val="tx1"/>
                        </w14:solidFill>
                      </w14:textFill>
                    </w:rPr>
                    <w:t>240*115*53mm</w:t>
                  </w:r>
                </w:p>
              </w:tc>
              <w:tc>
                <w:tcPr>
                  <w:tcW w:w="2207" w:type="dxa"/>
                  <w:vMerge w:val="restart"/>
                  <w:vAlign w:val="center"/>
                </w:tcPr>
                <w:p>
                  <w:pPr>
                    <w:widowControl w:val="0"/>
                    <w:spacing w:after="0"/>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t>6000万块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6" w:type="dxa"/>
                  <w:vAlign w:val="center"/>
                </w:tcPr>
                <w:p>
                  <w:pPr>
                    <w:pStyle w:val="34"/>
                    <w:rPr>
                      <w:rFonts w:hint="eastAsia" w:ascii="Times New Roman" w:hAnsi="Times New Roman" w:eastAsiaTheme="minorEastAsia"/>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空心砖</w:t>
                  </w:r>
                </w:p>
              </w:tc>
              <w:tc>
                <w:tcPr>
                  <w:tcW w:w="5103" w:type="dxa"/>
                  <w:vAlign w:val="center"/>
                </w:tcPr>
                <w:p>
                  <w:pPr>
                    <w:widowControl w:val="0"/>
                    <w:spacing w:after="0"/>
                    <w:jc w:val="center"/>
                    <w:rPr>
                      <w:rFonts w:hint="eastAsia" w:ascii="Times New Roman" w:hAnsiTheme="minorEastAsia" w:eastAsiaTheme="minorEastAsia"/>
                      <w:color w:val="000000" w:themeColor="text1"/>
                      <w:sz w:val="21"/>
                      <w:szCs w:val="21"/>
                      <w:lang w:val="en-US" w:eastAsia="zh-CN"/>
                      <w14:textFill>
                        <w14:solidFill>
                          <w14:schemeClr w14:val="tx1"/>
                        </w14:solidFill>
                      </w14:textFill>
                    </w:rPr>
                  </w:pPr>
                  <w:r>
                    <w:rPr>
                      <w:rFonts w:hint="eastAsia" w:ascii="Times New Roman" w:hAnsiTheme="minorEastAsia" w:eastAsiaTheme="minorEastAsia"/>
                      <w:color w:val="000000" w:themeColor="text1"/>
                      <w:sz w:val="21"/>
                      <w:szCs w:val="21"/>
                      <w:lang w:val="en-US" w:eastAsia="zh-CN"/>
                      <w14:textFill>
                        <w14:solidFill>
                          <w14:schemeClr w14:val="tx1"/>
                        </w14:solidFill>
                      </w14:textFill>
                    </w:rPr>
                    <w:t>390*190*190mm</w:t>
                  </w:r>
                </w:p>
              </w:tc>
              <w:tc>
                <w:tcPr>
                  <w:tcW w:w="2207" w:type="dxa"/>
                  <w:vMerge w:val="continue"/>
                  <w:vAlign w:val="center"/>
                </w:tcPr>
                <w:p>
                  <w:pPr>
                    <w:spacing w:after="0"/>
                    <w:jc w:val="center"/>
                    <w:rPr>
                      <w:rFonts w:ascii="Times New Roman" w:hAnsi="Times New Roman" w:eastAsiaTheme="minorEastAsia"/>
                      <w:color w:val="000000" w:themeColor="text1"/>
                      <w:kern w:val="2"/>
                      <w:sz w:val="21"/>
                      <w:szCs w:val="21"/>
                      <w14:textFill>
                        <w14:solidFill>
                          <w14:schemeClr w14:val="tx1"/>
                        </w14:solidFill>
                      </w14:textFill>
                    </w:rPr>
                  </w:pPr>
                </w:p>
              </w:tc>
            </w:tr>
          </w:tbl>
          <w:p>
            <w:pPr>
              <w:spacing w:beforeLines="50" w:after="0" w:line="360" w:lineRule="auto"/>
              <w:ind w:firstLine="482" w:firstLineChars="20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2</w:t>
            </w:r>
            <w:r>
              <w:rPr>
                <w:rFonts w:ascii="Times New Roman" w:hAnsi="Times New Roman" w:eastAsia="宋体"/>
                <w:b/>
                <w:color w:val="000000" w:themeColor="text1"/>
                <w:sz w:val="24"/>
                <w:szCs w:val="24"/>
                <w14:textFill>
                  <w14:solidFill>
                    <w14:schemeClr w14:val="tx1"/>
                  </w14:solidFill>
                </w14:textFill>
              </w:rPr>
              <w:t>、项目地理位置及四邻关系</w:t>
            </w:r>
          </w:p>
          <w:p>
            <w:pPr>
              <w:widowControl w:val="0"/>
              <w:adjustRightInd/>
              <w:snapToGrid/>
              <w:spacing w:after="0" w:line="360" w:lineRule="auto"/>
              <w:ind w:firstLine="480" w:firstLineChars="200"/>
              <w:rPr>
                <w:rFonts w:hint="eastAsia" w:ascii="Times New Roman" w:hAnsi="Times New Roman" w:eastAsia="宋体"/>
                <w:color w:val="000000" w:themeColor="text1"/>
                <w:kern w:val="2"/>
                <w:sz w:val="24"/>
                <w:szCs w:val="24"/>
                <w:lang w:eastAsia="zh-CN"/>
                <w14:textFill>
                  <w14:solidFill>
                    <w14:schemeClr w14:val="tx1"/>
                  </w14:solidFill>
                </w14:textFill>
              </w:rPr>
            </w:pPr>
            <w:r>
              <w:rPr>
                <w:rFonts w:hint="eastAsia" w:ascii="Times New Roman" w:hAnsi="Times New Roman" w:eastAsia="宋体"/>
                <w:color w:val="000000" w:themeColor="text1"/>
                <w:kern w:val="2"/>
                <w:sz w:val="24"/>
                <w:szCs w:val="24"/>
                <w:lang w:eastAsia="zh-CN"/>
                <w14:textFill>
                  <w14:solidFill>
                    <w14:schemeClr w14:val="tx1"/>
                  </w14:solidFill>
                </w14:textFill>
              </w:rPr>
              <w:t>项目建址地为西安市长安区大兆街道三益村三组，</w:t>
            </w:r>
            <w:r>
              <w:rPr>
                <w:rFonts w:hint="eastAsia" w:ascii="Times New Roman" w:hAnsi="Times New Roman" w:eastAsia="宋体"/>
                <w:color w:val="000000" w:themeColor="text1"/>
                <w:kern w:val="2"/>
                <w:sz w:val="24"/>
                <w:szCs w:val="24"/>
                <w:lang w:val="en-US" w:eastAsia="zh-CN"/>
                <w14:textFill>
                  <w14:solidFill>
                    <w14:schemeClr w14:val="tx1"/>
                  </w14:solidFill>
                </w14:textFill>
              </w:rPr>
              <w:t>目地理坐标为北纬</w:t>
            </w:r>
            <w:r>
              <w:rPr>
                <w:rFonts w:hint="default" w:ascii="Times New Roman" w:hAnsi="Times New Roman" w:eastAsia="宋体"/>
                <w:color w:val="000000" w:themeColor="text1"/>
                <w:kern w:val="2"/>
                <w:sz w:val="24"/>
                <w:szCs w:val="24"/>
                <w:lang w:val="en-US" w:eastAsia="zh-CN"/>
                <w14:textFill>
                  <w14:solidFill>
                    <w14:schemeClr w14:val="tx1"/>
                  </w14:solidFill>
                </w14:textFill>
              </w:rPr>
              <w:t>3</w:t>
            </w:r>
            <w:r>
              <w:rPr>
                <w:rFonts w:hint="eastAsia" w:ascii="Times New Roman" w:hAnsi="Times New Roman" w:eastAsia="宋体"/>
                <w:color w:val="000000" w:themeColor="text1"/>
                <w:kern w:val="2"/>
                <w:sz w:val="24"/>
                <w:szCs w:val="24"/>
                <w:lang w:val="en-US" w:eastAsia="zh-CN"/>
                <w14:textFill>
                  <w14:solidFill>
                    <w14:schemeClr w14:val="tx1"/>
                  </w14:solidFill>
                </w14:textFill>
              </w:rPr>
              <w:t>4</w:t>
            </w:r>
            <w:r>
              <w:rPr>
                <w:rFonts w:hint="default" w:ascii="Times New Roman" w:hAnsi="Times New Roman" w:eastAsia="宋体"/>
                <w:color w:val="000000" w:themeColor="text1"/>
                <w:kern w:val="2"/>
                <w:sz w:val="24"/>
                <w:szCs w:val="24"/>
                <w:lang w:val="en-US" w:eastAsia="zh-CN"/>
                <w14:textFill>
                  <w14:solidFill>
                    <w14:schemeClr w14:val="tx1"/>
                  </w14:solidFill>
                </w14:textFill>
              </w:rPr>
              <w:t>°</w:t>
            </w:r>
            <w:r>
              <w:rPr>
                <w:rFonts w:hint="eastAsia" w:ascii="Times New Roman" w:hAnsi="Times New Roman" w:eastAsia="宋体"/>
                <w:color w:val="000000" w:themeColor="text1"/>
                <w:kern w:val="2"/>
                <w:sz w:val="24"/>
                <w:szCs w:val="24"/>
                <w:lang w:val="en-US" w:eastAsia="zh-CN"/>
                <w14:textFill>
                  <w14:solidFill>
                    <w14:schemeClr w14:val="tx1"/>
                  </w14:solidFill>
                </w14:textFill>
              </w:rPr>
              <w:t>09</w:t>
            </w:r>
            <w:r>
              <w:rPr>
                <w:rFonts w:hint="default" w:ascii="Times New Roman" w:hAnsi="Times New Roman" w:eastAsia="宋体"/>
                <w:color w:val="000000" w:themeColor="text1"/>
                <w:kern w:val="2"/>
                <w:sz w:val="24"/>
                <w:szCs w:val="24"/>
                <w:lang w:val="en-US" w:eastAsia="zh-CN"/>
                <w14:textFill>
                  <w14:solidFill>
                    <w14:schemeClr w14:val="tx1"/>
                  </w14:solidFill>
                </w14:textFill>
              </w:rPr>
              <w:t>′</w:t>
            </w:r>
            <w:r>
              <w:rPr>
                <w:rFonts w:hint="eastAsia" w:ascii="Times New Roman" w:hAnsi="Times New Roman" w:eastAsia="宋体"/>
                <w:color w:val="000000" w:themeColor="text1"/>
                <w:kern w:val="2"/>
                <w:sz w:val="24"/>
                <w:szCs w:val="24"/>
                <w:lang w:val="en-US" w:eastAsia="zh-CN"/>
                <w14:textFill>
                  <w14:solidFill>
                    <w14:schemeClr w14:val="tx1"/>
                  </w14:solidFill>
                </w14:textFill>
              </w:rPr>
              <w:t>55.8</w:t>
            </w:r>
            <w:r>
              <w:rPr>
                <w:rFonts w:hint="default" w:ascii="Times New Roman" w:hAnsi="Times New Roman" w:eastAsia="宋体"/>
                <w:color w:val="000000" w:themeColor="text1"/>
                <w:kern w:val="2"/>
                <w:sz w:val="24"/>
                <w:szCs w:val="24"/>
                <w:lang w:val="en-US" w:eastAsia="zh-CN"/>
                <w14:textFill>
                  <w14:solidFill>
                    <w14:schemeClr w14:val="tx1"/>
                  </w14:solidFill>
                </w14:textFill>
              </w:rPr>
              <w:t>″</w:t>
            </w:r>
            <w:r>
              <w:rPr>
                <w:rFonts w:hint="eastAsia" w:ascii="Times New Roman" w:hAnsi="Times New Roman" w:eastAsia="宋体"/>
                <w:color w:val="000000" w:themeColor="text1"/>
                <w:kern w:val="2"/>
                <w:sz w:val="24"/>
                <w:szCs w:val="24"/>
                <w:lang w:val="en-US" w:eastAsia="zh-CN"/>
                <w14:textFill>
                  <w14:solidFill>
                    <w14:schemeClr w14:val="tx1"/>
                  </w14:solidFill>
                </w14:textFill>
              </w:rPr>
              <w:t>，东经109</w:t>
            </w:r>
            <w:r>
              <w:rPr>
                <w:rFonts w:hint="default" w:ascii="Times New Roman" w:hAnsi="Times New Roman" w:eastAsia="宋体"/>
                <w:color w:val="000000" w:themeColor="text1"/>
                <w:kern w:val="2"/>
                <w:sz w:val="24"/>
                <w:szCs w:val="24"/>
                <w:lang w:val="en-US" w:eastAsia="zh-CN"/>
                <w14:textFill>
                  <w14:solidFill>
                    <w14:schemeClr w14:val="tx1"/>
                  </w14:solidFill>
                </w14:textFill>
              </w:rPr>
              <w:t>°</w:t>
            </w:r>
            <w:r>
              <w:rPr>
                <w:rFonts w:hint="eastAsia" w:ascii="Times New Roman" w:hAnsi="Times New Roman" w:eastAsia="宋体"/>
                <w:color w:val="000000" w:themeColor="text1"/>
                <w:kern w:val="2"/>
                <w:sz w:val="24"/>
                <w:szCs w:val="24"/>
                <w:lang w:val="en-US" w:eastAsia="zh-CN"/>
                <w14:textFill>
                  <w14:solidFill>
                    <w14:schemeClr w14:val="tx1"/>
                  </w14:solidFill>
                </w14:textFill>
              </w:rPr>
              <w:t>01</w:t>
            </w:r>
            <w:r>
              <w:rPr>
                <w:rFonts w:hint="default" w:ascii="Times New Roman" w:hAnsi="Times New Roman" w:eastAsia="宋体"/>
                <w:color w:val="000000" w:themeColor="text1"/>
                <w:kern w:val="2"/>
                <w:sz w:val="24"/>
                <w:szCs w:val="24"/>
                <w:lang w:val="en-US" w:eastAsia="zh-CN"/>
                <w14:textFill>
                  <w14:solidFill>
                    <w14:schemeClr w14:val="tx1"/>
                  </w14:solidFill>
                </w14:textFill>
              </w:rPr>
              <w:t>′</w:t>
            </w:r>
            <w:r>
              <w:rPr>
                <w:rFonts w:hint="eastAsia" w:ascii="Times New Roman" w:hAnsi="Times New Roman" w:eastAsia="宋体"/>
                <w:color w:val="000000" w:themeColor="text1"/>
                <w:kern w:val="2"/>
                <w:sz w:val="24"/>
                <w:szCs w:val="24"/>
                <w:lang w:val="en-US" w:eastAsia="zh-CN"/>
                <w14:textFill>
                  <w14:solidFill>
                    <w14:schemeClr w14:val="tx1"/>
                  </w14:solidFill>
                </w14:textFill>
              </w:rPr>
              <w:t>43.43</w:t>
            </w:r>
            <w:r>
              <w:rPr>
                <w:rFonts w:hint="default" w:ascii="Times New Roman" w:hAnsi="Times New Roman" w:eastAsia="宋体"/>
                <w:color w:val="000000" w:themeColor="text1"/>
                <w:kern w:val="2"/>
                <w:sz w:val="24"/>
                <w:szCs w:val="24"/>
                <w:lang w:val="en-US" w:eastAsia="zh-CN"/>
                <w14:textFill>
                  <w14:solidFill>
                    <w14:schemeClr w14:val="tx1"/>
                  </w14:solidFill>
                </w14:textFill>
              </w:rPr>
              <w:t>″</w:t>
            </w:r>
            <w:r>
              <w:rPr>
                <w:rFonts w:hint="eastAsia" w:ascii="Times New Roman" w:hAnsi="Times New Roman" w:eastAsia="宋体"/>
                <w:color w:val="000000" w:themeColor="text1"/>
                <w:kern w:val="2"/>
                <w:sz w:val="24"/>
                <w:szCs w:val="24"/>
                <w:lang w:val="en-US" w:eastAsia="zh-CN"/>
                <w14:textFill>
                  <w14:solidFill>
                    <w14:schemeClr w14:val="tx1"/>
                  </w14:solidFill>
                </w14:textFill>
              </w:rPr>
              <w:t>。</w:t>
            </w:r>
            <w:r>
              <w:rPr>
                <w:rFonts w:hint="eastAsia" w:ascii="Times New Roman" w:hAnsi="Times New Roman" w:eastAsia="宋体"/>
                <w:color w:val="000000" w:themeColor="text1"/>
                <w:kern w:val="2"/>
                <w:sz w:val="24"/>
                <w:szCs w:val="24"/>
                <w:lang w:eastAsia="zh-CN"/>
                <w14:textFill>
                  <w14:solidFill>
                    <w14:schemeClr w14:val="tx1"/>
                  </w14:solidFill>
                </w14:textFill>
              </w:rPr>
              <w:t>项目西侧临社干路，隔路为三益村三组拆迁房，南侧厂界外</w:t>
            </w:r>
            <w:r>
              <w:rPr>
                <w:rFonts w:hint="eastAsia" w:ascii="Times New Roman" w:hAnsi="Times New Roman" w:eastAsia="宋体"/>
                <w:color w:val="000000" w:themeColor="text1"/>
                <w:kern w:val="2"/>
                <w:sz w:val="24"/>
                <w:szCs w:val="24"/>
                <w:lang w:val="en-US" w:eastAsia="zh-CN"/>
                <w14:textFill>
                  <w14:solidFill>
                    <w14:schemeClr w14:val="tx1"/>
                  </w14:solidFill>
                </w14:textFill>
              </w:rPr>
              <w:t>30m</w:t>
            </w:r>
            <w:r>
              <w:rPr>
                <w:rFonts w:hint="eastAsia" w:ascii="Times New Roman" w:hAnsi="Times New Roman" w:eastAsia="宋体"/>
                <w:color w:val="000000" w:themeColor="text1"/>
                <w:kern w:val="2"/>
                <w:sz w:val="24"/>
                <w:szCs w:val="24"/>
                <w:lang w:eastAsia="zh-CN"/>
                <w14:textFill>
                  <w14:solidFill>
                    <w14:schemeClr w14:val="tx1"/>
                  </w14:solidFill>
                </w14:textFill>
              </w:rPr>
              <w:t>为三益村三村，东侧为生产路，隔路为空地。</w:t>
            </w:r>
          </w:p>
          <w:p>
            <w:pPr>
              <w:spacing w:after="0" w:line="360" w:lineRule="auto"/>
              <w:ind w:firstLine="482" w:firstLineChars="20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项目主要建设内容</w:t>
            </w:r>
          </w:p>
          <w:p>
            <w:pPr>
              <w:widowControl w:val="0"/>
              <w:adjustRightInd/>
              <w:snapToGrid/>
              <w:spacing w:after="0" w:line="360" w:lineRule="auto"/>
              <w:ind w:firstLine="480" w:firstLineChars="200"/>
              <w:rPr>
                <w:rFonts w:hint="eastAsia" w:ascii="Times New Roman" w:hAnsi="Times New Roman" w:eastAsia="宋体"/>
                <w:color w:val="000000" w:themeColor="text1"/>
                <w:kern w:val="2"/>
                <w:sz w:val="24"/>
                <w:szCs w:val="24"/>
                <w:lang w:eastAsia="zh-CN"/>
                <w14:textFill>
                  <w14:solidFill>
                    <w14:schemeClr w14:val="tx1"/>
                  </w14:solidFill>
                </w14:textFill>
              </w:rPr>
            </w:pPr>
            <w:r>
              <w:rPr>
                <w:rFonts w:hint="eastAsia" w:ascii="Times New Roman" w:hAnsi="Times New Roman" w:eastAsia="宋体"/>
                <w:color w:val="000000" w:themeColor="text1"/>
                <w:kern w:val="2"/>
                <w:sz w:val="24"/>
                <w:szCs w:val="24"/>
                <w:lang w:eastAsia="zh-CN"/>
                <w14:textFill>
                  <w14:solidFill>
                    <w14:schemeClr w14:val="tx1"/>
                  </w14:solidFill>
                </w14:textFill>
              </w:rPr>
              <w:t>主要建设建筑垃圾破碎车间、</w:t>
            </w:r>
            <w:r>
              <w:rPr>
                <w:rFonts w:hint="eastAsia" w:ascii="Times New Roman" w:hAnsi="Times New Roman" w:eastAsia="宋体"/>
                <w:color w:val="000000" w:themeColor="text1"/>
                <w:kern w:val="2"/>
                <w:sz w:val="24"/>
                <w:szCs w:val="24"/>
                <w:lang w:val="en-US" w:eastAsia="zh-CN"/>
                <w14:textFill>
                  <w14:solidFill>
                    <w14:schemeClr w14:val="tx1"/>
                  </w14:solidFill>
                </w14:textFill>
              </w:rPr>
              <w:t>1#、2#、3#制砖生产线、原料堆场、骨料堆场、成品堆场、办公楼、职工宿舍等</w:t>
            </w:r>
            <w:r>
              <w:rPr>
                <w:rFonts w:hint="eastAsia" w:ascii="Times New Roman" w:hAnsi="Times New Roman" w:eastAsia="宋体"/>
                <w:color w:val="000000" w:themeColor="text1"/>
                <w:kern w:val="2"/>
                <w:sz w:val="24"/>
                <w:szCs w:val="24"/>
                <w:lang w:eastAsia="zh-CN"/>
                <w14:textFill>
                  <w14:solidFill>
                    <w14:schemeClr w14:val="tx1"/>
                  </w14:solidFill>
                </w14:textFill>
              </w:rPr>
              <w:t>。项目组成见表2-2。</w:t>
            </w:r>
          </w:p>
          <w:p>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表2-</w:t>
            </w:r>
            <w:r>
              <w:rPr>
                <w:rFonts w:hint="eastAsia" w:ascii="Times New Roman" w:hAnsi="Times New Roman" w:eastAsia="宋体"/>
                <w:b/>
                <w:color w:val="000000" w:themeColor="text1"/>
                <w:sz w:val="21"/>
                <w:szCs w:val="21"/>
                <w14:textFill>
                  <w14:solidFill>
                    <w14:schemeClr w14:val="tx1"/>
                  </w14:solidFill>
                </w14:textFill>
              </w:rPr>
              <w:t xml:space="preserve">2    </w:t>
            </w:r>
            <w:r>
              <w:rPr>
                <w:rFonts w:ascii="Times New Roman" w:hAnsi="Times New Roman" w:eastAsia="宋体"/>
                <w:b/>
                <w:color w:val="000000" w:themeColor="text1"/>
                <w:sz w:val="21"/>
                <w:szCs w:val="21"/>
                <w14:textFill>
                  <w14:solidFill>
                    <w14:schemeClr w14:val="tx1"/>
                  </w14:solidFill>
                </w14:textFill>
              </w:rPr>
              <w:t>项目主要建设内容一览表</w:t>
            </w:r>
          </w:p>
          <w:tbl>
            <w:tblPr>
              <w:tblStyle w:val="20"/>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459"/>
              <w:gridCol w:w="35"/>
              <w:gridCol w:w="900"/>
              <w:gridCol w:w="2623"/>
              <w:gridCol w:w="2730"/>
              <w:gridCol w:w="1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6"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工程分类及名称</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环评建设内容及规模</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实际建设情况</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45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东区</w:t>
                  </w: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破碎</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车间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1间，建筑面积2000m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,彩钢结构，1条破碎生产线，破碎建筑垃圾，生产再生骨料</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val="en-US" w:eastAsia="zh-CN"/>
                    </w:rPr>
                    <w:t>1间，建筑面积2000m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,彩钢结构，1条破碎生产线，破碎建筑垃圾，生产再生骨料</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制砖</w:t>
                  </w:r>
                  <w:r>
                    <w:rPr>
                      <w:rFonts w:hint="default" w:ascii="Times New Roman" w:hAnsi="Times New Roman" w:eastAsia="宋体" w:cs="Times New Roman"/>
                      <w:sz w:val="21"/>
                      <w:szCs w:val="21"/>
                      <w:lang w:val="en-US" w:eastAsia="zh-CN"/>
                    </w:rPr>
                    <w:t xml:space="preserve"> 车间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1间，4000m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，彩钢结构，内设1#、2#压制成型生产线，主要设备为配料机、搅拌机、制砖机，用做制作水泥压制砖（每条制砖生产线配备1个80m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水泥筒仓和1个10m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粉煤灰筒仓）</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val="en-US" w:eastAsia="zh-CN"/>
                    </w:rPr>
                    <w:t>1间，4000m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，彩钢结构，内设1#、2#压制成型生产线，主要设备为配料机、搅拌机、制砖机，用做制作水泥压制砖（每条制砖生产线配备1个80m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水泥筒仓）</w:t>
                  </w:r>
                  <w:r>
                    <w:rPr>
                      <w:rFonts w:hint="default" w:ascii="Times New Roman" w:hAnsi="Times New Roman" w:eastAsia="宋体" w:cs="Times New Roman"/>
                      <w:color w:val="auto"/>
                      <w:sz w:val="21"/>
                      <w:szCs w:val="21"/>
                      <w:vertAlign w:val="baseline"/>
                      <w:lang w:val="en-US" w:eastAsia="zh-CN"/>
                    </w:rPr>
                    <w:t>东区增添建设1间，4000m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，彩钢结构，内设3#压制成型生产线，主要设备为配料机、 搅拌机、制砖机，用做制作水泥压制砖（配备1个80m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水泥筒仓）</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西区</w:t>
                  </w: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制砖</w:t>
                  </w:r>
                  <w:r>
                    <w:rPr>
                      <w:rFonts w:hint="default" w:ascii="Times New Roman" w:hAnsi="Times New Roman" w:eastAsia="宋体" w:cs="Times New Roman"/>
                      <w:sz w:val="21"/>
                      <w:szCs w:val="21"/>
                      <w:lang w:val="en-US" w:eastAsia="zh-CN"/>
                    </w:rPr>
                    <w:t xml:space="preserve"> 车间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1间，4000m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，彩钢结构，内设3#、4#压制成型生产线，主要设备为配料机、搅拌机、制砖机，用做制作水泥压制砖（配备1个80m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水泥筒仓和1个10m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粉煤灰筒仓）</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未建设</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辅助工程</w:t>
                  </w: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东区</w:t>
                  </w: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建筑</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垃圾</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堆放区</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，用来堆放建筑垃圾，地面硬化，彩钢封闭</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，用来堆放建筑垃圾，地面硬化，彩钢封闭</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骨料</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储棚</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储存骨料，占地面积</w:t>
                  </w:r>
                  <w:r>
                    <w:rPr>
                      <w:rFonts w:hint="default" w:ascii="Times New Roman" w:hAnsi="Times New Roman" w:eastAsia="宋体" w:cs="Times New Roman"/>
                      <w:sz w:val="21"/>
                      <w:szCs w:val="21"/>
                      <w:lang w:val="en-US" w:eastAsia="zh-CN"/>
                    </w:rPr>
                    <w:t>3000m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，地面硬化，封闭储棚，车辆进出口设帆布门帘</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储存骨料，占地面积</w:t>
                  </w:r>
                  <w:r>
                    <w:rPr>
                      <w:rFonts w:hint="default" w:ascii="Times New Roman" w:hAnsi="Times New Roman" w:eastAsia="宋体" w:cs="Times New Roman"/>
                      <w:color w:val="auto"/>
                      <w:sz w:val="21"/>
                      <w:szCs w:val="21"/>
                      <w:lang w:val="en-US" w:eastAsia="zh-CN"/>
                    </w:rPr>
                    <w:t>3000m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，地面硬化，封闭储棚，车辆进出口设帆布门帘</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传送带</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破碎机之间、破碎处理后的骨料传送到骨料储棚</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破碎机之间、破碎处理后的骨料传送到骨料储棚</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成品堆放场</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露天，占地面积</w:t>
                  </w:r>
                  <w:r>
                    <w:rPr>
                      <w:rFonts w:hint="default" w:ascii="Times New Roman" w:hAnsi="Times New Roman" w:eastAsia="宋体" w:cs="Times New Roman"/>
                      <w:sz w:val="21"/>
                      <w:szCs w:val="21"/>
                      <w:lang w:val="en-US" w:eastAsia="zh-CN"/>
                    </w:rPr>
                    <w:t>20000m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，地面硬化</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露天，占地面积</w:t>
                  </w:r>
                  <w:r>
                    <w:rPr>
                      <w:rFonts w:hint="default" w:ascii="Times New Roman" w:hAnsi="Times New Roman" w:eastAsia="宋体" w:cs="Times New Roman"/>
                      <w:color w:val="auto"/>
                      <w:sz w:val="21"/>
                      <w:szCs w:val="21"/>
                      <w:lang w:val="en-US" w:eastAsia="zh-CN"/>
                    </w:rPr>
                    <w:t>20000m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，地面硬化</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办公楼</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2F，砖混结构，建筑面积300m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（含食堂1座）</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扩</w:t>
                  </w:r>
                  <w:r>
                    <w:rPr>
                      <w:rFonts w:hint="default" w:ascii="Times New Roman" w:hAnsi="Times New Roman" w:eastAsia="宋体" w:cs="Times New Roman"/>
                      <w:color w:val="auto"/>
                      <w:sz w:val="21"/>
                      <w:szCs w:val="21"/>
                      <w:lang w:eastAsia="zh-CN"/>
                    </w:rPr>
                    <w:t>建</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职工</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宿舍楼</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1F，1座，500m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（含食堂1座）</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val="en-US" w:eastAsia="zh-CN"/>
                    </w:rPr>
                    <w:t>1F，1座，500m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（含食堂1座）</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实验室</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2F，砖混结构，建筑面积200m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，主要进行建筑垃圾再生骨料、粉煤灰、水泥、免烧砖等的质量检验，均为物理实验</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sz w:val="21"/>
                      <w:szCs w:val="21"/>
                      <w:lang w:val="en-US" w:eastAsia="zh-CN"/>
                    </w:rPr>
                    <w:t>未建</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检修间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1F，建筑面积60m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。主要功能：存放各类机械设备零部件，定期进行设备检修、更换机油等</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val="en-US" w:eastAsia="zh-CN"/>
                    </w:rPr>
                    <w:t>1F，建筑面积60m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。主要功能：存放各类机械设备零部件，定期进行设备检修、更换机油等</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西区</w:t>
                  </w:r>
                </w:p>
              </w:tc>
              <w:tc>
                <w:tcPr>
                  <w:tcW w:w="935"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成品</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堆放处</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露天，占地面积</w:t>
                  </w:r>
                  <w:r>
                    <w:rPr>
                      <w:rFonts w:hint="default" w:ascii="Times New Roman" w:hAnsi="Times New Roman" w:eastAsia="宋体" w:cs="Times New Roman"/>
                      <w:sz w:val="21"/>
                      <w:szCs w:val="21"/>
                      <w:lang w:val="en-US" w:eastAsia="zh-CN"/>
                    </w:rPr>
                    <w:t>3500m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vertAlign w:val="baseline"/>
                      <w:lang w:val="en-US" w:eastAsia="zh-CN"/>
                    </w:rPr>
                    <w:t>，地面硬化</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sz w:val="21"/>
                      <w:szCs w:val="21"/>
                      <w:lang w:val="en-US" w:eastAsia="zh-CN"/>
                    </w:rPr>
                    <w:t>未建设</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1394"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道路</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厂区硬化道路</w:t>
                  </w:r>
                  <w:r>
                    <w:rPr>
                      <w:rFonts w:hint="default" w:ascii="Times New Roman" w:hAnsi="Times New Roman" w:eastAsia="宋体" w:cs="Times New Roman"/>
                      <w:sz w:val="21"/>
                      <w:szCs w:val="21"/>
                      <w:lang w:val="en-US" w:eastAsia="zh-CN"/>
                    </w:rPr>
                    <w:t>500m（包括东西区连接道路）</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eastAsia="zh-CN"/>
                    </w:rPr>
                    <w:t>厂区硬化道路</w:t>
                  </w:r>
                  <w:r>
                    <w:rPr>
                      <w:rFonts w:hint="default" w:ascii="Times New Roman" w:hAnsi="Times New Roman" w:eastAsia="宋体" w:cs="Times New Roman"/>
                      <w:sz w:val="21"/>
                      <w:szCs w:val="21"/>
                      <w:lang w:val="en-US" w:eastAsia="zh-CN"/>
                    </w:rPr>
                    <w:t>500m（包括东西区连接道路）</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1394"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供水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生活用水与生产用水水源为三益村三组自来水</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highlight w:val="yellow"/>
                    </w:rPr>
                  </w:pPr>
                  <w:r>
                    <w:rPr>
                      <w:rFonts w:hint="default" w:ascii="Times New Roman" w:hAnsi="Times New Roman" w:eastAsia="宋体" w:cs="Times New Roman"/>
                      <w:sz w:val="21"/>
                      <w:szCs w:val="21"/>
                      <w:lang w:eastAsia="zh-CN"/>
                    </w:rPr>
                    <w:t>生活用水与生产用水水源为三益村三组自来水</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1394"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托盘清洗水和养护水经沉淀池收集后循环利用；食堂废水经油水分离器处理后与生活洗漱水进入化粪池，定期清掏，外运肥田</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eastAsia="zh-CN"/>
                    </w:rPr>
                    <w:t>托盘清洗水和养护水经沉淀池收集后循环利用；食堂废水经油水分离器处理后与生活洗漱水进入化粪池，定期清掏，外运肥田</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1394"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供电</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供电电源由长安区大兆街道供电所供给</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eastAsia="zh-CN"/>
                    </w:rPr>
                    <w:t>供电电源由长安区大兆街道供电所供给</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1394"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制冷采暖</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车间不设置供暖和制冷，办公室供暖和制冷采用单体空调</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eastAsia="zh-CN"/>
                    </w:rPr>
                    <w:t>车间不设置供暖和制冷，办公室供暖和制冷采用单体空调</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w:t>
                  </w:r>
                </w:p>
              </w:tc>
              <w:tc>
                <w:tcPr>
                  <w:tcW w:w="49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生活污水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化粪池2座</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sz w:val="21"/>
                      <w:szCs w:val="21"/>
                      <w:lang w:val="en-US" w:eastAsia="zh-CN"/>
                    </w:rPr>
                    <w:t>10m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化粪池2座</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生产废水</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沉淀池1座</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sz w:val="21"/>
                      <w:szCs w:val="21"/>
                      <w:lang w:val="en-US" w:eastAsia="zh-CN"/>
                    </w:rPr>
                    <w:t>10m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沉淀池1座</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废气</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破碎、筛选</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破碎车间密闭，设置雾化喷淋设备及</w:t>
                  </w:r>
                  <w:r>
                    <w:rPr>
                      <w:rFonts w:hint="default" w:ascii="Times New Roman" w:hAnsi="Times New Roman" w:eastAsia="宋体" w:cs="Times New Roman"/>
                      <w:sz w:val="21"/>
                      <w:szCs w:val="21"/>
                      <w:lang w:val="en-US" w:eastAsia="zh-CN"/>
                    </w:rPr>
                    <w:t>1套布袋除尘器，除尘效率不低于99%，排气筒15m，</w:t>
                  </w:r>
                  <w:r>
                    <w:rPr>
                      <w:rFonts w:hint="eastAsia" w:ascii="Times New Roman" w:hAnsi="Times New Roman" w:eastAsia="宋体" w:cs="Times New Roman"/>
                      <w:sz w:val="21"/>
                      <w:szCs w:val="21"/>
                      <w:lang w:val="en-US" w:eastAsia="zh-CN"/>
                    </w:rPr>
                    <w:t>内径</w:t>
                  </w:r>
                  <w:r>
                    <w:rPr>
                      <w:rFonts w:hint="default" w:ascii="Times New Roman" w:hAnsi="Times New Roman" w:eastAsia="宋体" w:cs="Times New Roman"/>
                      <w:sz w:val="21"/>
                      <w:szCs w:val="21"/>
                      <w:lang w:val="en-US" w:eastAsia="zh-CN"/>
                    </w:rPr>
                    <w:t>0.6m；粉料筒仓设置滤料式仓顶除尘器，除尘效率99.9%。</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sz w:val="21"/>
                      <w:szCs w:val="21"/>
                      <w:lang w:eastAsia="zh-CN"/>
                    </w:rPr>
                    <w:t>破碎车间密闭，设置雾化喷淋设备及</w:t>
                  </w:r>
                  <w:r>
                    <w:rPr>
                      <w:rFonts w:hint="default" w:ascii="Times New Roman" w:hAnsi="Times New Roman" w:eastAsia="宋体" w:cs="Times New Roman"/>
                      <w:sz w:val="21"/>
                      <w:szCs w:val="21"/>
                      <w:lang w:val="en-US" w:eastAsia="zh-CN"/>
                    </w:rPr>
                    <w:t>1套布袋除尘器，除尘效率不低于99%，排气筒15m，</w:t>
                  </w:r>
                  <w:r>
                    <w:rPr>
                      <w:rFonts w:hint="eastAsia" w:ascii="Times New Roman" w:hAnsi="Times New Roman" w:eastAsia="宋体" w:cs="Times New Roman"/>
                      <w:sz w:val="21"/>
                      <w:szCs w:val="21"/>
                      <w:lang w:val="en-US" w:eastAsia="zh-CN"/>
                    </w:rPr>
                    <w:t>内径</w:t>
                  </w:r>
                  <w:r>
                    <w:rPr>
                      <w:rFonts w:hint="default" w:ascii="Times New Roman" w:hAnsi="Times New Roman" w:eastAsia="宋体" w:cs="Times New Roman"/>
                      <w:sz w:val="21"/>
                      <w:szCs w:val="21"/>
                      <w:lang w:val="en-US" w:eastAsia="zh-CN"/>
                    </w:rPr>
                    <w:t>0.6m；粉料筒仓设置滤料式仓顶除尘器，除尘效率99.9%。</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物料传送皮带</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传输带封闭，物料转载点配套雾化喷淋除尘</w:t>
                  </w:r>
                  <w:r>
                    <w:rPr>
                      <w:rFonts w:hint="default" w:ascii="Times New Roman" w:hAnsi="Times New Roman" w:eastAsia="宋体" w:cs="Times New Roman"/>
                      <w:sz w:val="21"/>
                      <w:szCs w:val="21"/>
                      <w:lang w:val="en-US" w:eastAsia="zh-CN"/>
                    </w:rPr>
                    <w:t>1套。</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sz w:val="21"/>
                      <w:szCs w:val="21"/>
                      <w:lang w:eastAsia="zh-CN"/>
                    </w:rPr>
                    <w:t>传输带封闭，物料转载点配套雾化喷淋除尘</w:t>
                  </w:r>
                  <w:r>
                    <w:rPr>
                      <w:rFonts w:hint="default" w:ascii="Times New Roman" w:hAnsi="Times New Roman" w:eastAsia="宋体" w:cs="Times New Roman"/>
                      <w:sz w:val="21"/>
                      <w:szCs w:val="21"/>
                      <w:lang w:val="en-US" w:eastAsia="zh-CN"/>
                    </w:rPr>
                    <w:t>1套。</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物料储存</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建筑垃圾堆放区设置封闭式钢结构大棚；再生骨料在储棚见储存，车辆进出口设帆布门帘，配套喷淋洒水设施。</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建筑垃圾堆放区设置封闭式钢结构大棚；再生骨料在储棚见储存，车辆进出口设帆布门帘，配套喷淋洒水设施。</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物料运输</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原辅材料封闭运输；厂区空地及场内道路全部硬化，进厂后减速慢行，安排专人定期洒水清扫；设置车辆冲洗平台，进出厂车辆轮胎需进行冲洗。</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原辅材料封闭运输；厂区空地及场内道路全部硬化，进厂后减速慢行，安排专人定期洒水清扫；设置车辆冲洗平台，进出厂车辆轮胎需进行冲洗。</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食堂油烟</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安装油烟净化器2台（每个食堂各安装1台）</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安装油烟净化器2台（每个食堂各安装1台）</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1394"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噪声处理</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低噪设备、基础减振、车间封闭隔声</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低噪设备、基础减振、车间封闭隔声</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固体废物</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分拣垃圾</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收集点2处，用于建筑垃圾分拣后木材、废塑料、废钢材等物质的存放。</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收集点2处，用于建筑垃圾分拣后木材、废塑料、废钢材等物质的存放。</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除尘器收集的粉尘</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除尘装置收集的粉尘，返回生产系统回用于生产。</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除尘装置收集的粉尘，返回生产系统回用于生产。</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边角料和残次品</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制砖生产线产生残次品（即不合格产品）定期清运至原料堆场回用。</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制砖生产线产生残次品（即不合格产品）定期清运至原料堆场回用。</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生活垃圾</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生活垃圾桶若干</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生活垃圾桶若干</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49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废矿物油</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危险废物设置10 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暂存间1座</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危险废物设置10 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暂存间1座</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rPr>
                  </w:pPr>
                </w:p>
              </w:tc>
              <w:tc>
                <w:tcPr>
                  <w:tcW w:w="1394"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绿化</w:t>
                  </w:r>
                </w:p>
              </w:tc>
              <w:tc>
                <w:tcPr>
                  <w:tcW w:w="262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绿化率15%，绿化面积为10100m</w:t>
                  </w:r>
                  <w:r>
                    <w:rPr>
                      <w:rFonts w:hint="default" w:ascii="Times New Roman" w:hAnsi="Times New Roman" w:eastAsia="宋体" w:cs="Times New Roman"/>
                      <w:sz w:val="21"/>
                      <w:szCs w:val="21"/>
                      <w:vertAlign w:val="superscript"/>
                      <w:lang w:val="en-US" w:eastAsia="zh-CN"/>
                    </w:rPr>
                    <w:t>2</w:t>
                  </w:r>
                </w:p>
              </w:tc>
              <w:tc>
                <w:tcPr>
                  <w:tcW w:w="27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lang w:val="en-US" w:eastAsia="zh-CN"/>
                    </w:rPr>
                    <w:t>绿化率15%，绿化面积为10100m</w:t>
                  </w:r>
                  <w:r>
                    <w:rPr>
                      <w:rFonts w:hint="default" w:ascii="Times New Roman" w:hAnsi="Times New Roman" w:eastAsia="宋体" w:cs="Times New Roman"/>
                      <w:sz w:val="21"/>
                      <w:szCs w:val="21"/>
                      <w:vertAlign w:val="superscript"/>
                      <w:lang w:val="en-US" w:eastAsia="zh-CN"/>
                    </w:rPr>
                    <w:t>2</w:t>
                  </w:r>
                </w:p>
              </w:tc>
              <w:tc>
                <w:tcPr>
                  <w:tcW w:w="132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1"/>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无变化</w:t>
                  </w:r>
                </w:p>
              </w:tc>
            </w:tr>
          </w:tbl>
          <w:p>
            <w:pPr>
              <w:spacing w:beforeLines="50" w:after="0" w:line="360" w:lineRule="auto"/>
              <w:ind w:firstLine="482" w:firstLineChars="20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4、</w:t>
            </w:r>
            <w:r>
              <w:rPr>
                <w:rFonts w:ascii="Times New Roman" w:hAnsi="Times New Roman" w:eastAsia="宋体"/>
                <w:b/>
                <w:color w:val="000000" w:themeColor="text1"/>
                <w:sz w:val="24"/>
                <w:szCs w:val="24"/>
                <w14:textFill>
                  <w14:solidFill>
                    <w14:schemeClr w14:val="tx1"/>
                  </w14:solidFill>
                </w14:textFill>
              </w:rPr>
              <w:t>主要设备</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本项目主要设备见下表</w:t>
            </w:r>
            <w:r>
              <w:rPr>
                <w:rFonts w:hint="eastAsia" w:ascii="Times New Roman" w:hAnsi="Times New Roman" w:eastAsia="宋体"/>
                <w:color w:val="000000" w:themeColor="text1"/>
                <w:sz w:val="24"/>
                <w:szCs w:val="24"/>
                <w14:textFill>
                  <w14:solidFill>
                    <w14:schemeClr w14:val="tx1"/>
                  </w14:solidFill>
                </w14:textFill>
              </w:rPr>
              <w:t>2-3</w:t>
            </w:r>
            <w:r>
              <w:rPr>
                <w:rFonts w:ascii="Times New Roman" w:hAnsi="Times New Roman" w:eastAsia="宋体"/>
                <w:color w:val="000000" w:themeColor="text1"/>
                <w:sz w:val="24"/>
                <w:szCs w:val="24"/>
                <w14:textFill>
                  <w14:solidFill>
                    <w14:schemeClr w14:val="tx1"/>
                  </w14:solidFill>
                </w14:textFill>
              </w:rPr>
              <w:t>。</w:t>
            </w:r>
          </w:p>
          <w:p>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表2-3    主要设备一览表</w:t>
            </w:r>
          </w:p>
          <w:tbl>
            <w:tblPr>
              <w:tblStyle w:val="19"/>
              <w:tblW w:w="85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2640"/>
              <w:gridCol w:w="750"/>
              <w:gridCol w:w="1165"/>
              <w:gridCol w:w="1430"/>
              <w:gridCol w:w="2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设备名称</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环评数量</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实际数量</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是否与环评一致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restart"/>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T8免烧水泥砌块成型机</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T10免烧水泥砌块成型机</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反击式破碎机</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鄂式破碎机</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强力搅拌机</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水泥筒仓</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皮带输送机</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64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混凝土配料机</w:t>
                  </w:r>
                </w:p>
              </w:tc>
              <w:tc>
                <w:tcPr>
                  <w:tcW w:w="75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台</w:t>
                  </w:r>
                </w:p>
              </w:tc>
              <w:tc>
                <w:tcPr>
                  <w:tcW w:w="1165"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430"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044" w:type="dxa"/>
                  <w:tcBorders>
                    <w:tl2br w:val="nil"/>
                    <w:tr2bl w:val="nil"/>
                  </w:tcBorders>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bl>
          <w:p>
            <w:pPr>
              <w:spacing w:after="0"/>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ind w:firstLine="482" w:firstLineChars="200"/>
              <w:jc w:val="both"/>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5、工程变</w:t>
            </w:r>
            <w:r>
              <w:rPr>
                <w:rFonts w:hint="eastAsia" w:ascii="Times New Roman" w:hAnsi="Times New Roman" w:eastAsia="宋体"/>
                <w:b/>
                <w:color w:val="000000" w:themeColor="text1"/>
                <w:sz w:val="24"/>
                <w:szCs w:val="24"/>
                <w:lang w:val="en-US" w:eastAsia="zh-CN"/>
                <w14:textFill>
                  <w14:solidFill>
                    <w14:schemeClr w14:val="tx1"/>
                  </w14:solidFill>
                </w14:textFill>
              </w:rPr>
              <w:t>动</w:t>
            </w:r>
            <w:r>
              <w:rPr>
                <w:rFonts w:hint="eastAsia" w:ascii="Times New Roman" w:hAnsi="Times New Roman" w:eastAsia="宋体"/>
                <w:b/>
                <w:color w:val="000000" w:themeColor="text1"/>
                <w:sz w:val="24"/>
                <w:szCs w:val="24"/>
                <w14:textFill>
                  <w14:solidFill>
                    <w14:schemeClr w14:val="tx1"/>
                  </w14:solidFill>
                </w14:textFill>
              </w:rPr>
              <w:t>情况</w:t>
            </w:r>
          </w:p>
          <w:p>
            <w:pPr>
              <w:spacing w:after="0" w:line="360" w:lineRule="auto"/>
              <w:ind w:firstLine="480" w:firstLineChars="200"/>
              <w:jc w:val="both"/>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项目在实际建设中，建设地址、生产规模、原辅材料材料、生产工艺、环保设施等均未发生</w:t>
            </w:r>
            <w:r>
              <w:rPr>
                <w:rFonts w:hint="eastAsia" w:ascii="Times New Roman" w:hAnsi="Times New Roman" w:eastAsia="宋体"/>
                <w:color w:val="000000" w:themeColor="text1"/>
                <w:sz w:val="24"/>
                <w:szCs w:val="24"/>
                <w:lang w:val="en-US" w:eastAsia="zh-CN"/>
                <w14:textFill>
                  <w14:solidFill>
                    <w14:schemeClr w14:val="tx1"/>
                  </w14:solidFill>
                </w14:textFill>
              </w:rPr>
              <w:t>重大</w:t>
            </w:r>
            <w:r>
              <w:rPr>
                <w:rFonts w:hint="eastAsia" w:ascii="Times New Roman" w:hAnsi="Times New Roman" w:eastAsia="宋体"/>
                <w:color w:val="000000" w:themeColor="text1"/>
                <w:sz w:val="24"/>
                <w:szCs w:val="24"/>
                <w14:textFill>
                  <w14:solidFill>
                    <w14:schemeClr w14:val="tx1"/>
                  </w14:solidFill>
                </w14:textFill>
              </w:rPr>
              <w:t>变更，与环评内容基本一致</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项目西区生产线未建设，本次验收范围为：东区建设的三条生产线固体废物污染防治设施。如后期项目有其他变动，需另行办理相关环保手续。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88" w:hRule="atLeast"/>
          <w:jc w:val="center"/>
        </w:trPr>
        <w:tc>
          <w:tcPr>
            <w:tcW w:w="9224" w:type="dxa"/>
          </w:tcPr>
          <w:p>
            <w:pPr>
              <w:spacing w:after="0" w:line="360" w:lineRule="auto"/>
              <w:ind w:firstLine="482" w:firstLineChars="200"/>
              <w:jc w:val="both"/>
              <w:rPr>
                <w:rFonts w:hint="eastAsia"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二、原辅材料消耗及水平衡</w:t>
            </w:r>
          </w:p>
          <w:p>
            <w:pPr>
              <w:spacing w:after="0" w:line="360" w:lineRule="auto"/>
              <w:ind w:firstLine="482" w:firstLineChars="200"/>
              <w:jc w:val="both"/>
              <w:rPr>
                <w:rFonts w:hint="eastAsia"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1、原辅料消耗</w:t>
            </w:r>
          </w:p>
          <w:p>
            <w:pPr>
              <w:spacing w:after="0" w:line="360" w:lineRule="auto"/>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主要原辅材料年消耗量见下表。</w:t>
            </w:r>
          </w:p>
          <w:p>
            <w:pPr>
              <w:spacing w:after="0"/>
              <w:jc w:val="center"/>
            </w:pPr>
            <w:r>
              <w:t>表2-</w:t>
            </w:r>
            <w:r>
              <w:rPr>
                <w:rFonts w:hint="eastAsia"/>
              </w:rPr>
              <w:t xml:space="preserve">4    </w:t>
            </w:r>
            <w:r>
              <w:t>项目原辅材料消耗一览表</w:t>
            </w:r>
          </w:p>
          <w:tbl>
            <w:tblPr>
              <w:tblStyle w:val="19"/>
              <w:tblW w:w="880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99"/>
              <w:gridCol w:w="1799"/>
              <w:gridCol w:w="1895"/>
              <w:gridCol w:w="3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材料名称</w:t>
                  </w:r>
                </w:p>
              </w:tc>
              <w:tc>
                <w:tcPr>
                  <w:tcW w:w="1895"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年消耗量</w:t>
                  </w:r>
                </w:p>
              </w:tc>
              <w:tc>
                <w:tcPr>
                  <w:tcW w:w="3312"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建筑垃圾</w:t>
                  </w:r>
                </w:p>
              </w:tc>
              <w:tc>
                <w:tcPr>
                  <w:tcW w:w="1895"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15万t</w:t>
                  </w:r>
                </w:p>
              </w:tc>
              <w:tc>
                <w:tcPr>
                  <w:tcW w:w="3312"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水泥</w:t>
                  </w:r>
                </w:p>
              </w:tc>
              <w:tc>
                <w:tcPr>
                  <w:tcW w:w="1895"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20t</w:t>
                  </w:r>
                </w:p>
              </w:tc>
              <w:tc>
                <w:tcPr>
                  <w:tcW w:w="3312"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w:t>
                  </w:r>
                </w:p>
              </w:tc>
              <w:tc>
                <w:tcPr>
                  <w:tcW w:w="1895"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2.316万t</w:t>
                  </w:r>
                </w:p>
              </w:tc>
              <w:tc>
                <w:tcPr>
                  <w:tcW w:w="3312"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三益村三组自来水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799"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电</w:t>
                  </w:r>
                </w:p>
              </w:tc>
              <w:tc>
                <w:tcPr>
                  <w:tcW w:w="1895"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12万kw.h</w:t>
                  </w:r>
                </w:p>
              </w:tc>
              <w:tc>
                <w:tcPr>
                  <w:tcW w:w="3312" w:type="dxa"/>
                  <w:vAlign w:val="center"/>
                </w:tcPr>
                <w:p>
                  <w:pPr>
                    <w:pStyle w:val="7"/>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市政电网</w:t>
                  </w:r>
                </w:p>
              </w:tc>
            </w:tr>
          </w:tbl>
          <w:p>
            <w:pPr>
              <w:spacing w:after="0" w:line="360" w:lineRule="auto"/>
              <w:ind w:firstLine="482" w:firstLineChars="200"/>
              <w:jc w:val="both"/>
              <w:rPr>
                <w:rFonts w:hint="eastAsia"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lang w:val="en-US" w:eastAsia="zh-CN"/>
                <w14:textFill>
                  <w14:solidFill>
                    <w14:schemeClr w14:val="tx1"/>
                  </w14:solidFill>
                </w14:textFill>
              </w:rPr>
              <w:t>2、</w:t>
            </w:r>
            <w:r>
              <w:rPr>
                <w:rFonts w:hint="eastAsia" w:ascii="Times New Roman" w:hAnsi="Times New Roman" w:eastAsia="宋体"/>
                <w:b/>
                <w:bCs/>
                <w:color w:val="000000" w:themeColor="text1"/>
                <w:sz w:val="24"/>
                <w:szCs w:val="24"/>
                <w14:textFill>
                  <w14:solidFill>
                    <w14:schemeClr w14:val="tx1"/>
                  </w14:solidFill>
                </w14:textFill>
              </w:rPr>
              <w:t>主要工艺流程及产污环节（附处理工艺流程图，标出产污节点）</w:t>
            </w:r>
          </w:p>
          <w:p>
            <w:pPr>
              <w:spacing w:after="0" w:line="360" w:lineRule="auto"/>
              <w:ind w:firstLine="482" w:firstLineChars="200"/>
              <w:jc w:val="both"/>
              <w:rPr>
                <w:rFonts w:hint="eastAsia"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lang w:val="en-US" w:eastAsia="zh-CN"/>
                <w14:textFill>
                  <w14:solidFill>
                    <w14:schemeClr w14:val="tx1"/>
                  </w14:solidFill>
                </w14:textFill>
              </w:rPr>
              <w:t>2.1、</w:t>
            </w:r>
            <w:r>
              <w:rPr>
                <w:rFonts w:hint="eastAsia" w:ascii="Times New Roman" w:hAnsi="Times New Roman" w:eastAsia="宋体"/>
                <w:b/>
                <w:bCs/>
                <w:color w:val="000000" w:themeColor="text1"/>
                <w:sz w:val="24"/>
                <w:szCs w:val="24"/>
                <w14:textFill>
                  <w14:solidFill>
                    <w14:schemeClr w14:val="tx1"/>
                  </w14:solidFill>
                </w14:textFill>
              </w:rPr>
              <w:t>工艺流程及产污环节图：</w:t>
            </w:r>
          </w:p>
          <w:p>
            <w:pPr>
              <w:pStyle w:val="2"/>
              <w:rPr>
                <w:rFonts w:hint="eastAsia"/>
              </w:rPr>
            </w:pPr>
            <w:r>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drawing>
                <wp:anchor distT="0" distB="0" distL="114300" distR="114300" simplePos="0" relativeHeight="252198912" behindDoc="0" locked="0" layoutInCell="1" allowOverlap="1">
                  <wp:simplePos x="0" y="0"/>
                  <wp:positionH relativeFrom="column">
                    <wp:posOffset>646430</wp:posOffset>
                  </wp:positionH>
                  <wp:positionV relativeFrom="paragraph">
                    <wp:posOffset>52070</wp:posOffset>
                  </wp:positionV>
                  <wp:extent cx="4430395" cy="5316855"/>
                  <wp:effectExtent l="0" t="0" r="8255" b="1714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4430395" cy="5316855"/>
                          </a:xfrm>
                          <a:prstGeom prst="rect">
                            <a:avLst/>
                          </a:prstGeom>
                          <a:noFill/>
                          <a:ln w="9525">
                            <a:noFill/>
                          </a:ln>
                        </pic:spPr>
                      </pic:pic>
                    </a:graphicData>
                  </a:graphic>
                </wp:anchor>
              </w:drawing>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keepNext/>
              <w:keepLines/>
              <w:pageBreakBefore w:val="0"/>
              <w:widowControl/>
              <w:kinsoku/>
              <w:wordWrap/>
              <w:overflowPunct/>
              <w:topLinePunct w:val="0"/>
              <w:autoSpaceDE/>
              <w:autoSpaceDN/>
              <w:bidi w:val="0"/>
              <w:adjustRightInd w:val="0"/>
              <w:snapToGrid w:val="0"/>
              <w:spacing w:before="0" w:after="0" w:line="416" w:lineRule="auto"/>
              <w:ind w:firstLine="2891" w:firstLineChars="1200"/>
              <w:jc w:val="both"/>
              <w:textAlignment w:val="auto"/>
              <w:outlineLvl w:val="1"/>
              <w:rPr>
                <w:rFonts w:hint="eastAsia"/>
              </w:rPr>
            </w:pPr>
            <w:r>
              <w:rPr>
                <w:rFonts w:hint="eastAsia" w:ascii="Times New Roman" w:hAnsi="Times New Roman" w:eastAsia="宋体" w:cs="Times New Roman"/>
                <w:b/>
                <w:bCs/>
                <w:color w:val="000000" w:themeColor="text1"/>
                <w:sz w:val="24"/>
                <w:szCs w:val="22"/>
                <w:lang w:val="en-US" w:eastAsia="zh-CN" w:bidi="ar-SA"/>
                <w14:textFill>
                  <w14:solidFill>
                    <w14:schemeClr w14:val="tx1"/>
                  </w14:solidFill>
                </w14:textFill>
              </w:rPr>
              <w:t>图2-2</w:t>
            </w:r>
            <w:r>
              <w:rPr>
                <w:rFonts w:hint="eastAsia" w:ascii="Times New Roman" w:hAnsi="Times New Roman" w:eastAsia="宋体" w:cs="Times New Roman"/>
                <w:b w:val="0"/>
                <w:bCs w:val="0"/>
                <w:color w:val="000000" w:themeColor="text1"/>
                <w:sz w:val="24"/>
                <w:szCs w:val="22"/>
                <w:lang w:val="en-US" w:eastAsia="zh-CN" w:bidi="ar-SA"/>
                <w14:textFill>
                  <w14:solidFill>
                    <w14:schemeClr w14:val="tx1"/>
                  </w14:solidFill>
                </w14:textFill>
              </w:rPr>
              <w:t xml:space="preserve"> 工艺流程及产污环节图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8" w:hRule="atLeast"/>
          <w:jc w:val="center"/>
        </w:trPr>
        <w:tc>
          <w:tcPr>
            <w:tcW w:w="9224" w:type="dxa"/>
          </w:tcPr>
          <w:p>
            <w:pPr>
              <w:spacing w:after="0" w:line="360" w:lineRule="auto"/>
              <w:ind w:firstLine="482" w:firstLineChars="200"/>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2</w:t>
            </w:r>
            <w:r>
              <w:rPr>
                <w:rFonts w:hint="eastAsia" w:ascii="Times New Roman" w:hAnsi="Times New Roman" w:eastAsia="宋体"/>
                <w:b/>
                <w:color w:val="000000" w:themeColor="text1"/>
                <w:sz w:val="24"/>
                <w:szCs w:val="24"/>
                <w:lang w:val="en-US" w:eastAsia="zh-CN"/>
                <w14:textFill>
                  <w14:solidFill>
                    <w14:schemeClr w14:val="tx1"/>
                  </w14:solidFill>
                </w14:textFill>
              </w:rPr>
              <w:t>.2</w:t>
            </w:r>
            <w:r>
              <w:rPr>
                <w:rFonts w:hint="eastAsia" w:ascii="Times New Roman" w:hAnsi="Times New Roman" w:eastAsia="宋体"/>
                <w:b/>
                <w:color w:val="000000" w:themeColor="text1"/>
                <w:sz w:val="24"/>
                <w:szCs w:val="24"/>
                <w14:textFill>
                  <w14:solidFill>
                    <w14:schemeClr w14:val="tx1"/>
                  </w14:solidFill>
                </w14:textFill>
              </w:rPr>
              <w:t>、主要工艺流程说明</w:t>
            </w:r>
          </w:p>
          <w:p>
            <w:pPr>
              <w:spacing w:after="0" w:line="360" w:lineRule="auto"/>
              <w:ind w:firstLine="482" w:firstLineChars="200"/>
              <w:rPr>
                <w:rFonts w:hint="eastAsia"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工艺流程简介：</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建筑垃圾封闭运输进厂后，在原料储棚暂存，在封闭式原料储存棚内由人</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工对垃圾进行粗选，将垃圾中的废塑料包装物、废木块、废钢筋及其他不易破碎物质实施人工分离。</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经过人工拣选过的建筑垃圾由装载机送至加料平台，倒入大料斗，通过振</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动给料机连续均匀地</w:t>
            </w:r>
            <w:r>
              <w:rPr>
                <w:rFonts w:hint="default" w:ascii="Times New Roman" w:hAnsi="Times New Roman" w:cs="Times New Roman"/>
                <w:color w:val="auto"/>
                <w:lang w:val="en-US" w:eastAsia="zh-CN"/>
              </w:rPr>
              <w:t>喂入鄂式</w:t>
            </w:r>
            <w:r>
              <w:rPr>
                <w:rFonts w:hint="default" w:ascii="Times New Roman" w:hAnsi="Times New Roman" w:cs="Times New Roman"/>
                <w:lang w:val="en-US" w:eastAsia="zh-CN"/>
              </w:rPr>
              <w:t>破碎机，完成粗破，经过粗破的物料粒径在15mm。</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粗破后的物料由出料口输出，同时采用除铁器将金属与垃圾有效分离，除</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铁后的物料经输送皮带送入反击式破碎机进行细破，细破后的物料经皮带传送带送入筛分系统。</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筛分系统根据其工艺要求配置1套振动筛，大于30mm规格的再生骨料仍由</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皮带输送机送回反击式破碎机继续破碎。筛选物料由皮带输送机送至骨料储棚暂存。</w:t>
            </w:r>
          </w:p>
          <w:p>
            <w:pPr>
              <w:pStyle w:val="42"/>
              <w:numPr>
                <w:ilvl w:val="0"/>
                <w:numId w:val="0"/>
              </w:numPr>
              <w:spacing w:line="360" w:lineRule="auto"/>
              <w:ind w:left="480" w:leftChars="0"/>
              <w:rPr>
                <w:rFonts w:hint="default" w:ascii="Times New Roman" w:hAnsi="Times New Roman" w:cs="Times New Roman"/>
                <w:lang w:val="en-US" w:eastAsia="zh-CN"/>
              </w:rPr>
            </w:pPr>
            <w:r>
              <w:rPr>
                <w:rFonts w:hint="default" w:ascii="Times New Roman" w:hAnsi="Times New Roman" w:cs="Times New Roman"/>
                <w:lang w:val="en-US" w:eastAsia="zh-CN"/>
              </w:rPr>
              <w:t>整个建筑垃圾破碎加工位于全封闭钢架结构车间内，各生产工段之间物料传运采</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用皮带输送机进行，输送皮带全封闭。</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采用装载机将再生骨料铲至料斗内进行暂存。</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配料机按设定的参数值将料斗内的物料送至称量斗内进行自动计量配料。</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自动计量完毕后，称量斗皮带输送机与搅拌机上料皮带开始运转，将称量</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完毕后的原材料送至搅拌机内搅拌，搅拌机启动。</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同时水泥、粉煤灰输送机开始工作，将水泥、粉煤灰筒仓内的水泥、粉煤</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灰送至称量斗内按设定值进行称量，完毕后自动卸至搅拌仓内。</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水泵开始按照设定的时间进行加水搅拌，搅拌约1-2分钟后原材料变成混凝</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土。</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搅拌机卸料门开，将混凝土卸下落至混凝土皮带输送机上，皮带输送机开</w:t>
            </w:r>
          </w:p>
          <w:p>
            <w:pPr>
              <w:pStyle w:val="42"/>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始工作，将混凝土运送至成型机储存斗内进行储存。</w:t>
            </w:r>
          </w:p>
          <w:p>
            <w:pPr>
              <w:pStyle w:val="42"/>
              <w:numPr>
                <w:ilvl w:val="0"/>
                <w:numId w:val="1"/>
              </w:numPr>
              <w:spacing w:line="360" w:lineRule="auto"/>
              <w:ind w:left="48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自动上板机将托板自动送至送板仓内备用。</w:t>
            </w:r>
          </w:p>
          <w:p>
            <w:pPr>
              <w:pStyle w:val="42"/>
              <w:numPr>
                <w:ilvl w:val="0"/>
                <w:numId w:val="1"/>
              </w:numPr>
              <w:spacing w:line="360" w:lineRule="auto"/>
              <w:ind w:left="480" w:leftChars="0" w:firstLine="0" w:firstLineChars="0"/>
              <w:rPr>
                <w:rFonts w:hint="default" w:ascii="Times New Roman" w:hAnsi="Times New Roman" w:eastAsia="宋体" w:cs="Times New Roman"/>
                <w:color w:val="000000" w:themeColor="text1"/>
                <w:kern w:val="2"/>
                <w:sz w:val="24"/>
                <w14:textFill>
                  <w14:solidFill>
                    <w14:schemeClr w14:val="tx1"/>
                  </w14:solidFill>
                </w14:textFill>
              </w:rPr>
            </w:pPr>
            <w:r>
              <w:rPr>
                <w:rFonts w:hint="default" w:ascii="Times New Roman" w:hAnsi="Times New Roman" w:cs="Times New Roman"/>
                <w:lang w:val="en-US" w:eastAsia="zh-CN"/>
              </w:rPr>
              <w:t>砖机通过360度旋转布料及液压加电机振动生产混凝土砖，完毕后由结转</w:t>
            </w:r>
            <w:r>
              <w:rPr>
                <w:rFonts w:hint="default" w:ascii="Times New Roman" w:hAnsi="Times New Roman" w:eastAsia="宋体" w:cs="Times New Roman"/>
                <w:color w:val="000000"/>
                <w:sz w:val="24"/>
                <w:szCs w:val="22"/>
                <w:lang w:val="en-US" w:eastAsia="zh-CN" w:bidi="ar-SA"/>
              </w:rPr>
              <w:t>机</w:t>
            </w:r>
          </w:p>
          <w:p>
            <w:pPr>
              <w:pStyle w:val="42"/>
              <w:numPr>
                <w:ilvl w:val="0"/>
                <w:numId w:val="0"/>
              </w:numPr>
              <w:spacing w:line="360" w:lineRule="auto"/>
              <w:rPr>
                <w:rFonts w:ascii="Times New Roman" w:hAnsi="Times New Roman" w:eastAsia="宋体"/>
                <w:color w:val="000000" w:themeColor="text1"/>
                <w:kern w:val="2"/>
                <w:sz w:val="24"/>
                <w14:textFill>
                  <w14:solidFill>
                    <w14:schemeClr w14:val="tx1"/>
                  </w14:solidFill>
                </w14:textFill>
              </w:rPr>
            </w:pPr>
            <w:r>
              <w:rPr>
                <w:rFonts w:hint="default" w:ascii="Times New Roman" w:hAnsi="Times New Roman" w:eastAsia="宋体" w:cs="Times New Roman"/>
                <w:color w:val="000000"/>
                <w:sz w:val="24"/>
                <w:szCs w:val="22"/>
                <w:lang w:val="en-US" w:eastAsia="zh-CN" w:bidi="ar-SA"/>
              </w:rPr>
              <w:t>送出，运至成品砖堆放场进行自然晒晾及暂存。</w:t>
            </w:r>
          </w:p>
        </w:tc>
      </w:tr>
    </w:tbl>
    <w:p>
      <w:pPr>
        <w:spacing w:line="360" w:lineRule="auto"/>
        <w:rPr>
          <w:rFonts w:ascii="Times New Roman" w:hAnsi="Times New Roman" w:eastAsia="仿宋_GB2312"/>
          <w:color w:val="000000" w:themeColor="text1"/>
          <w:sz w:val="21"/>
          <w:szCs w:val="21"/>
          <w14:textFill>
            <w14:solidFill>
              <w14:schemeClr w14:val="tx1"/>
            </w14:solidFill>
          </w14:textFill>
        </w:rPr>
        <w:sectPr>
          <w:footerReference r:id="rId4" w:type="default"/>
          <w:pgSz w:w="11906" w:h="16838"/>
          <w:pgMar w:top="1440" w:right="1440" w:bottom="1440" w:left="1440" w:header="709" w:footer="709" w:gutter="0"/>
          <w:pgBorders>
            <w:top w:val="none" w:sz="0" w:space="0"/>
            <w:left w:val="none" w:sz="0" w:space="0"/>
            <w:bottom w:val="none" w:sz="0" w:space="0"/>
            <w:right w:val="none" w:sz="0" w:space="0"/>
          </w:pgBorders>
          <w:pgNumType w:start="1"/>
          <w:cols w:space="425" w:num="1"/>
          <w:docGrid w:linePitch="360" w:charSpace="0"/>
        </w:sectPr>
      </w:pP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表三</w:t>
      </w:r>
    </w:p>
    <w:tbl>
      <w:tblPr>
        <w:tblStyle w:val="19"/>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16" w:hRule="atLeast"/>
          <w:jc w:val="center"/>
        </w:trPr>
        <w:tc>
          <w:tcPr>
            <w:tcW w:w="9242" w:type="dxa"/>
          </w:tcPr>
          <w:p>
            <w:pPr>
              <w:spacing w:after="0" w:line="360" w:lineRule="auto"/>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主要污染源、污染物处理和排放（附处理流程示意图，标出废水、废气、厂界噪声监测点位）</w:t>
            </w:r>
          </w:p>
          <w:p>
            <w:pPr>
              <w:spacing w:after="0" w:line="360" w:lineRule="auto"/>
              <w:ind w:firstLine="482" w:firstLineChars="200"/>
              <w:jc w:val="both"/>
              <w:rPr>
                <w:rFonts w:ascii="Times New Roman" w:hAnsi="宋体" w:eastAsia="宋体"/>
                <w:b/>
                <w:color w:val="000000" w:themeColor="text1"/>
                <w:sz w:val="24"/>
                <w:szCs w:val="24"/>
                <w14:textFill>
                  <w14:solidFill>
                    <w14:schemeClr w14:val="tx1"/>
                  </w14:solidFill>
                </w14:textFill>
              </w:rPr>
            </w:pPr>
            <w:r>
              <w:rPr>
                <w:rFonts w:ascii="Times New Roman" w:hAnsi="宋体" w:eastAsia="宋体"/>
                <w:b/>
                <w:color w:val="000000" w:themeColor="text1"/>
                <w:sz w:val="24"/>
                <w:szCs w:val="24"/>
                <w14:textFill>
                  <w14:solidFill>
                    <w14:schemeClr w14:val="tx1"/>
                  </w14:solidFill>
                </w14:textFill>
              </w:rPr>
              <w:t>一、产污分析</w:t>
            </w:r>
          </w:p>
          <w:p>
            <w:pPr>
              <w:spacing w:after="0" w:line="360" w:lineRule="auto"/>
              <w:ind w:firstLine="240" w:firstLineChars="1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（1）固体废物</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项目营运期产生的固废主要为一般固废、危险废物和生活垃圾。</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1）一般固废</w:t>
            </w:r>
          </w:p>
          <w:p>
            <w:pPr>
              <w:spacing w:after="0" w:line="360" w:lineRule="auto"/>
              <w:ind w:firstLine="480" w:firstLineChars="200"/>
              <w:rPr>
                <w:rFonts w:ascii="宋体" w:hAnsi="宋体" w:eastAsia="宋体" w:cs="宋体"/>
                <w:sz w:val="24"/>
                <w:szCs w:val="24"/>
              </w:rPr>
            </w:pPr>
            <w:r>
              <w:rPr>
                <w:rFonts w:ascii="宋体" w:hAnsi="宋体" w:eastAsia="宋体" w:cs="宋体"/>
                <w:sz w:val="24"/>
                <w:szCs w:val="24"/>
              </w:rPr>
              <w:t>本项目生产过程中产生的收集粉尘回用于生产;产生的不合格产品在破碎后回用于生产;生活垃圾厂内统一收集，送至环卫部门垃圾收集点，分拣过程中产生的废铁等金属外售，产生的木头等其它杂物运送到垃圾填埋场填埋。</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2）危险废物</w:t>
            </w:r>
          </w:p>
          <w:p>
            <w:pPr>
              <w:spacing w:after="0" w:line="360" w:lineRule="auto"/>
              <w:ind w:firstLine="424" w:firstLineChars="177"/>
              <w:rPr>
                <w:color w:val="000000" w:themeColor="text1"/>
                <w:sz w:val="24"/>
                <w14:textFill>
                  <w14:solidFill>
                    <w14:schemeClr w14:val="tx1"/>
                  </w14:solidFill>
                </w14:textFill>
              </w:rPr>
            </w:pPr>
            <w:r>
              <w:rPr>
                <w:rFonts w:ascii="宋体" w:hAnsi="宋体" w:eastAsia="宋体" w:cs="宋体"/>
                <w:sz w:val="24"/>
                <w:szCs w:val="24"/>
              </w:rPr>
              <w:t>废润滑油设置10m</w:t>
            </w:r>
            <w:r>
              <w:rPr>
                <w:rFonts w:ascii="宋体" w:hAnsi="宋体" w:eastAsia="宋体" w:cs="宋体"/>
                <w:sz w:val="24"/>
                <w:szCs w:val="24"/>
                <w:vertAlign w:val="superscript"/>
              </w:rPr>
              <w:t>2</w:t>
            </w:r>
            <w:r>
              <w:rPr>
                <w:rFonts w:ascii="宋体" w:hAnsi="宋体" w:eastAsia="宋体" w:cs="宋体"/>
                <w:sz w:val="24"/>
                <w:szCs w:val="24"/>
              </w:rPr>
              <w:t>危险废物暂存间，经危废桶收集后，交给有资质的单位</w:t>
            </w:r>
            <w:r>
              <w:rPr>
                <w:rFonts w:hint="eastAsia" w:ascii="宋体" w:hAnsi="宋体" w:eastAsia="宋体" w:cs="宋体"/>
                <w:sz w:val="24"/>
                <w:szCs w:val="24"/>
                <w:lang w:val="en-US" w:eastAsia="zh-CN"/>
              </w:rPr>
              <w:t>合理</w:t>
            </w:r>
            <w:r>
              <w:rPr>
                <w:rFonts w:ascii="宋体" w:hAnsi="宋体" w:eastAsia="宋体" w:cs="宋体"/>
                <w:sz w:val="24"/>
                <w:szCs w:val="24"/>
              </w:rPr>
              <w:t>处理。</w:t>
            </w:r>
          </w:p>
          <w:p>
            <w:pPr>
              <w:widowControl w:val="0"/>
              <w:adjustRightInd/>
              <w:snapToGrid/>
              <w:spacing w:after="0" w:line="360" w:lineRule="auto"/>
              <w:jc w:val="both"/>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固体废物防治措施照片见图3-1</w:t>
            </w:r>
            <w:r>
              <w:rPr>
                <w:rFonts w:hint="eastAsia" w:ascii="Times New Roman" w:hAnsi="Times New Roman" w:eastAsia="宋体"/>
                <w:color w:val="000000" w:themeColor="text1"/>
                <w:kern w:val="2"/>
                <w:sz w:val="24"/>
                <w:szCs w:val="24"/>
                <w:lang w:eastAsia="zh-CN"/>
                <w14:textFill>
                  <w14:solidFill>
                    <w14:schemeClr w14:val="tx1"/>
                  </w14:solidFill>
                </w14:textFill>
              </w:rPr>
              <w:t>、</w:t>
            </w:r>
            <w:r>
              <w:rPr>
                <w:rFonts w:hint="eastAsia" w:ascii="Times New Roman" w:hAnsi="Times New Roman" w:eastAsia="宋体"/>
                <w:color w:val="000000" w:themeColor="text1"/>
                <w:kern w:val="2"/>
                <w:sz w:val="24"/>
                <w:szCs w:val="24"/>
                <w:lang w:val="en-US" w:eastAsia="zh-CN"/>
                <w14:textFill>
                  <w14:solidFill>
                    <w14:schemeClr w14:val="tx1"/>
                  </w14:solidFill>
                </w14:textFill>
              </w:rPr>
              <w:t>3-2、3-3</w:t>
            </w:r>
            <w:r>
              <w:rPr>
                <w:rFonts w:hint="eastAsia" w:ascii="Times New Roman" w:hAnsi="Times New Roman" w:eastAsia="宋体"/>
                <w:color w:val="000000" w:themeColor="text1"/>
                <w:kern w:val="2"/>
                <w:sz w:val="24"/>
                <w:szCs w:val="24"/>
                <w14:textFill>
                  <w14:solidFill>
                    <w14:schemeClr w14:val="tx1"/>
                  </w14:solidFill>
                </w14:textFill>
              </w:rPr>
              <w:t>。</w:t>
            </w:r>
          </w:p>
          <w:p>
            <w:pPr>
              <w:widowControl w:val="0"/>
              <w:adjustRightInd/>
              <w:snapToGrid/>
              <w:spacing w:after="0" w:line="360" w:lineRule="auto"/>
              <w:ind w:firstLine="480" w:firstLineChars="200"/>
              <w:jc w:val="both"/>
              <w:rPr>
                <w:rFonts w:hint="eastAsia" w:ascii="Times New Roman" w:hAnsi="Times New Roman" w:eastAsia="宋体"/>
                <w:color w:val="000000" w:themeColor="text1"/>
                <w:kern w:val="2"/>
                <w:sz w:val="24"/>
                <w:szCs w:val="24"/>
                <w:lang w:eastAsia="zh-CN"/>
                <w14:textFill>
                  <w14:solidFill>
                    <w14:schemeClr w14:val="tx1"/>
                  </w14:solidFill>
                </w14:textFill>
              </w:rPr>
            </w:pPr>
            <w:r>
              <w:rPr>
                <w:rFonts w:hint="eastAsia" w:ascii="Times New Roman" w:hAnsi="Times New Roman" w:eastAsia="宋体"/>
                <w:color w:val="000000" w:themeColor="text1"/>
                <w:kern w:val="2"/>
                <w:sz w:val="24"/>
                <w:szCs w:val="24"/>
                <w:lang w:eastAsia="zh-CN"/>
                <w14:textFill>
                  <w14:solidFill>
                    <w14:schemeClr w14:val="tx1"/>
                  </w14:solidFill>
                </w14:textFill>
              </w:rPr>
              <w:drawing>
                <wp:anchor distT="0" distB="0" distL="114300" distR="114300" simplePos="0" relativeHeight="252199936" behindDoc="0" locked="0" layoutInCell="1" allowOverlap="1">
                  <wp:simplePos x="0" y="0"/>
                  <wp:positionH relativeFrom="column">
                    <wp:posOffset>840740</wp:posOffset>
                  </wp:positionH>
                  <wp:positionV relativeFrom="paragraph">
                    <wp:posOffset>94615</wp:posOffset>
                  </wp:positionV>
                  <wp:extent cx="3913505" cy="4413885"/>
                  <wp:effectExtent l="0" t="0" r="10795" b="5715"/>
                  <wp:wrapSquare wrapText="bothSides"/>
                  <wp:docPr id="18" name="图片 18" descr="A3F7B1E2920BD252A50AFE1BACD7B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3F7B1E2920BD252A50AFE1BACD7B64E"/>
                          <pic:cNvPicPr>
                            <a:picLocks noChangeAspect="1"/>
                          </pic:cNvPicPr>
                        </pic:nvPicPr>
                        <pic:blipFill>
                          <a:blip r:embed="rId10"/>
                          <a:stretch>
                            <a:fillRect/>
                          </a:stretch>
                        </pic:blipFill>
                        <pic:spPr>
                          <a:xfrm>
                            <a:off x="0" y="0"/>
                            <a:ext cx="3913505" cy="4413885"/>
                          </a:xfrm>
                          <a:prstGeom prst="rect">
                            <a:avLst/>
                          </a:prstGeom>
                        </pic:spPr>
                      </pic:pic>
                    </a:graphicData>
                  </a:graphic>
                </wp:anchor>
              </w:drawing>
            </w: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ascii="Times New Roman" w:hAnsi="Times New Roman" w:eastAsia="宋体"/>
                <w:b/>
                <w:color w:val="000000" w:themeColor="text1"/>
                <w:sz w:val="21"/>
                <w:szCs w:val="21"/>
                <w14:textFill>
                  <w14:solidFill>
                    <w14:schemeClr w14:val="tx1"/>
                  </w14:solidFill>
                </w14:textFill>
              </w:rPr>
            </w:pPr>
          </w:p>
          <w:p>
            <w:pPr>
              <w:spacing w:beforeLines="50" w:after="0" w:line="360" w:lineRule="auto"/>
              <w:jc w:val="center"/>
              <w:rPr>
                <w:rFonts w:hint="eastAsia"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图</w:t>
            </w:r>
            <w:r>
              <w:rPr>
                <w:rFonts w:hint="eastAsia" w:ascii="Times New Roman" w:hAnsi="Times New Roman" w:eastAsia="宋体"/>
                <w:b/>
                <w:color w:val="000000" w:themeColor="text1"/>
                <w:sz w:val="21"/>
                <w:szCs w:val="21"/>
                <w14:textFill>
                  <w14:solidFill>
                    <w14:schemeClr w14:val="tx1"/>
                  </w14:solidFill>
                </w14:textFill>
              </w:rPr>
              <w:t>3-1    危险废物暂存间</w:t>
            </w:r>
          </w:p>
          <w:p>
            <w:pPr>
              <w:pStyle w:val="2"/>
              <w:rPr>
                <w:rFonts w:hint="eastAsia" w:ascii="Times New Roman" w:hAnsi="Times New Roman" w:eastAsia="宋体"/>
                <w:b/>
                <w:color w:val="000000" w:themeColor="text1"/>
                <w:sz w:val="21"/>
                <w:szCs w:val="21"/>
                <w:lang w:val="en-US" w:eastAsia="zh-CN"/>
                <w14:textFill>
                  <w14:solidFill>
                    <w14:schemeClr w14:val="tx1"/>
                  </w14:solidFill>
                </w14:textFill>
              </w:rPr>
            </w:pPr>
            <w:r>
              <w:rPr>
                <w:rFonts w:hint="eastAsia" w:ascii="Times New Roman" w:hAnsi="Times New Roman" w:eastAsia="宋体"/>
                <w:b/>
                <w:color w:val="000000" w:themeColor="text1"/>
                <w:sz w:val="21"/>
                <w:szCs w:val="21"/>
                <w:lang w:eastAsia="zh-CN"/>
                <w14:textFill>
                  <w14:solidFill>
                    <w14:schemeClr w14:val="tx1"/>
                  </w14:solidFill>
                </w14:textFill>
              </w:rPr>
              <w:drawing>
                <wp:anchor distT="0" distB="0" distL="114300" distR="114300" simplePos="0" relativeHeight="252200960" behindDoc="0" locked="0" layoutInCell="1" allowOverlap="1">
                  <wp:simplePos x="0" y="0"/>
                  <wp:positionH relativeFrom="column">
                    <wp:posOffset>22860</wp:posOffset>
                  </wp:positionH>
                  <wp:positionV relativeFrom="paragraph">
                    <wp:posOffset>92075</wp:posOffset>
                  </wp:positionV>
                  <wp:extent cx="5683250" cy="4262120"/>
                  <wp:effectExtent l="0" t="0" r="12700" b="5080"/>
                  <wp:wrapSquare wrapText="bothSides"/>
                  <wp:docPr id="19" name="图片 19" descr="8275DBFEDE8169679B0A26BE2E31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275DBFEDE8169679B0A26BE2E311594"/>
                          <pic:cNvPicPr>
                            <a:picLocks noChangeAspect="1"/>
                          </pic:cNvPicPr>
                        </pic:nvPicPr>
                        <pic:blipFill>
                          <a:blip r:embed="rId11"/>
                          <a:stretch>
                            <a:fillRect/>
                          </a:stretch>
                        </pic:blipFill>
                        <pic:spPr>
                          <a:xfrm>
                            <a:off x="0" y="0"/>
                            <a:ext cx="5683250" cy="4262120"/>
                          </a:xfrm>
                          <a:prstGeom prst="rect">
                            <a:avLst/>
                          </a:prstGeom>
                        </pic:spPr>
                      </pic:pic>
                    </a:graphicData>
                  </a:graphic>
                </wp:anchor>
              </w:drawing>
            </w:r>
            <w:r>
              <w:rPr>
                <w:rFonts w:hint="eastAsia" w:ascii="Times New Roman" w:hAnsi="Times New Roman" w:eastAsia="宋体"/>
                <w:b/>
                <w:color w:val="000000" w:themeColor="text1"/>
                <w:sz w:val="21"/>
                <w:szCs w:val="21"/>
                <w:lang w:val="en-US" w:eastAsia="zh-CN"/>
                <w14:textFill>
                  <w14:solidFill>
                    <w14:schemeClr w14:val="tx1"/>
                  </w14:solidFill>
                </w14:textFill>
              </w:rPr>
              <w:t xml:space="preserve">                               </w:t>
            </w:r>
            <w:r>
              <w:rPr>
                <w:rFonts w:ascii="Times New Roman" w:hAnsi="Times New Roman" w:eastAsia="宋体"/>
                <w:b/>
                <w:color w:val="000000" w:themeColor="text1"/>
                <w:sz w:val="21"/>
                <w:szCs w:val="21"/>
                <w14:textFill>
                  <w14:solidFill>
                    <w14:schemeClr w14:val="tx1"/>
                  </w14:solidFill>
                </w14:textFill>
              </w:rPr>
              <w:t>图</w:t>
            </w:r>
            <w:r>
              <w:rPr>
                <w:rFonts w:hint="eastAsia" w:ascii="Times New Roman" w:hAnsi="Times New Roman" w:eastAsia="宋体"/>
                <w:b/>
                <w:color w:val="000000" w:themeColor="text1"/>
                <w:sz w:val="21"/>
                <w:szCs w:val="21"/>
                <w14:textFill>
                  <w14:solidFill>
                    <w14:schemeClr w14:val="tx1"/>
                  </w14:solidFill>
                </w14:textFill>
              </w:rPr>
              <w:t>3-</w:t>
            </w:r>
            <w:r>
              <w:rPr>
                <w:rFonts w:hint="eastAsia" w:ascii="Times New Roman" w:hAnsi="Times New Roman" w:eastAsia="宋体"/>
                <w:b/>
                <w:color w:val="000000" w:themeColor="text1"/>
                <w:sz w:val="21"/>
                <w:szCs w:val="21"/>
                <w:lang w:val="en-US" w:eastAsia="zh-CN"/>
                <w14:textFill>
                  <w14:solidFill>
                    <w14:schemeClr w14:val="tx1"/>
                  </w14:solidFill>
                </w14:textFill>
              </w:rPr>
              <w:t>2</w:t>
            </w:r>
            <w:r>
              <w:rPr>
                <w:rFonts w:hint="eastAsia" w:ascii="Times New Roman" w:hAnsi="Times New Roman" w:eastAsia="宋体"/>
                <w:b/>
                <w:color w:val="000000" w:themeColor="text1"/>
                <w:sz w:val="21"/>
                <w:szCs w:val="21"/>
                <w14:textFill>
                  <w14:solidFill>
                    <w14:schemeClr w14:val="tx1"/>
                  </w14:solidFill>
                </w14:textFill>
              </w:rPr>
              <w:t xml:space="preserve">    </w:t>
            </w:r>
            <w:r>
              <w:rPr>
                <w:rFonts w:hint="eastAsia" w:ascii="Times New Roman" w:hAnsi="Times New Roman" w:eastAsia="宋体"/>
                <w:b/>
                <w:color w:val="000000" w:themeColor="text1"/>
                <w:sz w:val="21"/>
                <w:szCs w:val="21"/>
                <w:lang w:val="en-US" w:eastAsia="zh-CN"/>
                <w14:textFill>
                  <w14:solidFill>
                    <w14:schemeClr w14:val="tx1"/>
                  </w14:solidFill>
                </w14:textFill>
              </w:rPr>
              <w:t>危废收集设施</w:t>
            </w:r>
          </w:p>
          <w:p>
            <w:pPr>
              <w:pStyle w:val="2"/>
              <w:rPr>
                <w:rFonts w:hint="eastAsia" w:eastAsia="黑体"/>
                <w:lang w:val="en-US" w:eastAsia="zh-CN"/>
              </w:rPr>
            </w:pPr>
            <w:r>
              <w:rPr>
                <w:rFonts w:hint="eastAsia" w:eastAsia="黑体"/>
                <w:lang w:eastAsia="zh-CN"/>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5683250" cy="3456305"/>
                  <wp:effectExtent l="0" t="0" r="12700" b="10795"/>
                  <wp:wrapSquare wrapText="bothSides"/>
                  <wp:docPr id="20" name="图片 20" descr="829BA7E82079FB79941EE2DBCC6BB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29BA7E82079FB79941EE2DBCC6BBF55"/>
                          <pic:cNvPicPr>
                            <a:picLocks noChangeAspect="1"/>
                          </pic:cNvPicPr>
                        </pic:nvPicPr>
                        <pic:blipFill>
                          <a:blip r:embed="rId12"/>
                          <a:stretch>
                            <a:fillRect/>
                          </a:stretch>
                        </pic:blipFill>
                        <pic:spPr>
                          <a:xfrm>
                            <a:off x="0" y="0"/>
                            <a:ext cx="5683250" cy="3456305"/>
                          </a:xfrm>
                          <a:prstGeom prst="rect">
                            <a:avLst/>
                          </a:prstGeom>
                        </pic:spPr>
                      </pic:pic>
                    </a:graphicData>
                  </a:graphic>
                </wp:anchor>
              </w:drawing>
            </w:r>
            <w:r>
              <w:rPr>
                <w:rFonts w:hint="eastAsia"/>
                <w:lang w:val="en-US" w:eastAsia="zh-CN"/>
              </w:rPr>
              <w:t xml:space="preserve">                   </w:t>
            </w:r>
            <w:r>
              <w:rPr>
                <w:rFonts w:ascii="Times New Roman" w:hAnsi="Times New Roman" w:eastAsia="宋体"/>
                <w:b/>
                <w:color w:val="000000" w:themeColor="text1"/>
                <w:sz w:val="21"/>
                <w:szCs w:val="21"/>
                <w14:textFill>
                  <w14:solidFill>
                    <w14:schemeClr w14:val="tx1"/>
                  </w14:solidFill>
                </w14:textFill>
              </w:rPr>
              <w:t>图</w:t>
            </w:r>
            <w:r>
              <w:rPr>
                <w:rFonts w:hint="eastAsia" w:ascii="Times New Roman" w:hAnsi="Times New Roman" w:eastAsia="宋体"/>
                <w:b/>
                <w:color w:val="000000" w:themeColor="text1"/>
                <w:sz w:val="21"/>
                <w:szCs w:val="21"/>
                <w14:textFill>
                  <w14:solidFill>
                    <w14:schemeClr w14:val="tx1"/>
                  </w14:solidFill>
                </w14:textFill>
              </w:rPr>
              <w:t>3-</w:t>
            </w:r>
            <w:r>
              <w:rPr>
                <w:rFonts w:hint="eastAsia" w:ascii="Times New Roman" w:hAnsi="Times New Roman" w:eastAsia="宋体"/>
                <w:b/>
                <w:color w:val="000000" w:themeColor="text1"/>
                <w:sz w:val="21"/>
                <w:szCs w:val="21"/>
                <w:lang w:val="en-US" w:eastAsia="zh-CN"/>
                <w14:textFill>
                  <w14:solidFill>
                    <w14:schemeClr w14:val="tx1"/>
                  </w14:solidFill>
                </w14:textFill>
              </w:rPr>
              <w:t>3</w:t>
            </w:r>
            <w:r>
              <w:rPr>
                <w:rFonts w:hint="eastAsia" w:ascii="Times New Roman" w:hAnsi="Times New Roman" w:eastAsia="宋体"/>
                <w:b/>
                <w:color w:val="000000" w:themeColor="text1"/>
                <w:sz w:val="21"/>
                <w:szCs w:val="21"/>
                <w14:textFill>
                  <w14:solidFill>
                    <w14:schemeClr w14:val="tx1"/>
                  </w14:solidFill>
                </w14:textFill>
              </w:rPr>
              <w:t xml:space="preserve">    </w:t>
            </w:r>
            <w:r>
              <w:rPr>
                <w:rFonts w:hint="eastAsia" w:ascii="Times New Roman" w:hAnsi="Times New Roman" w:eastAsia="宋体"/>
                <w:b/>
                <w:color w:val="000000" w:themeColor="text1"/>
                <w:sz w:val="21"/>
                <w:szCs w:val="21"/>
                <w:lang w:val="en-US" w:eastAsia="zh-CN"/>
                <w14:textFill>
                  <w14:solidFill>
                    <w14:schemeClr w14:val="tx1"/>
                  </w14:solidFill>
                </w14:textFill>
              </w:rPr>
              <w:t>生活垃圾收集设施</w:t>
            </w:r>
          </w:p>
        </w:tc>
      </w:tr>
    </w:tbl>
    <w:tbl>
      <w:tblPr>
        <w:tblStyle w:val="20"/>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2" w:type="dxa"/>
            <w:tcBorders>
              <w:tl2br w:val="nil"/>
              <w:tr2bl w:val="nil"/>
            </w:tcBorders>
            <w:vAlign w:val="top"/>
          </w:tcPr>
          <w:p>
            <w:pPr>
              <w:pStyle w:val="3"/>
              <w:rPr>
                <w:rFonts w:hint="eastAsia"/>
                <w:lang w:eastAsia="zh-CN"/>
              </w:rPr>
            </w:pPr>
            <w:r>
              <w:rPr>
                <w:rFonts w:hint="eastAsia"/>
                <w:lang w:eastAsia="zh-CN"/>
              </w:rPr>
              <w:drawing>
                <wp:anchor distT="0" distB="0" distL="114300" distR="114300" simplePos="0" relativeHeight="252203008" behindDoc="0" locked="0" layoutInCell="1" allowOverlap="1">
                  <wp:simplePos x="0" y="0"/>
                  <wp:positionH relativeFrom="column">
                    <wp:posOffset>1062355</wp:posOffset>
                  </wp:positionH>
                  <wp:positionV relativeFrom="paragraph">
                    <wp:posOffset>52705</wp:posOffset>
                  </wp:positionV>
                  <wp:extent cx="3604895" cy="4442460"/>
                  <wp:effectExtent l="0" t="0" r="14605" b="15240"/>
                  <wp:wrapSquare wrapText="bothSides"/>
                  <wp:docPr id="21" name="图片 21" descr="914C108D27D9D5EC189380AA8FF85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14C108D27D9D5EC189380AA8FF85B46"/>
                          <pic:cNvPicPr>
                            <a:picLocks noChangeAspect="1"/>
                          </pic:cNvPicPr>
                        </pic:nvPicPr>
                        <pic:blipFill>
                          <a:blip r:embed="rId13"/>
                          <a:stretch>
                            <a:fillRect/>
                          </a:stretch>
                        </pic:blipFill>
                        <pic:spPr>
                          <a:xfrm>
                            <a:off x="0" y="0"/>
                            <a:ext cx="3604895" cy="4442460"/>
                          </a:xfrm>
                          <a:prstGeom prst="rect">
                            <a:avLst/>
                          </a:prstGeom>
                        </pic:spPr>
                      </pic:pic>
                    </a:graphicData>
                  </a:graphic>
                </wp:anchor>
              </w:drawing>
            </w:r>
          </w:p>
          <w:p>
            <w:pPr>
              <w:pStyle w:val="3"/>
              <w:rPr>
                <w:rFonts w:hint="eastAsia"/>
                <w:lang w:eastAsia="zh-CN"/>
              </w:rPr>
            </w:pPr>
          </w:p>
          <w:p>
            <w:pPr>
              <w:pStyle w:val="3"/>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pStyle w:val="2"/>
              <w:ind w:firstLine="2951" w:firstLineChars="1400"/>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t xml:space="preserve"> 图3-4    危废暂存间管理制度</w:t>
            </w:r>
          </w:p>
          <w:p>
            <w:pP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pStyle w:val="2"/>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pStyle w:val="2"/>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pStyle w:val="2"/>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pStyle w:val="2"/>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pStyle w:val="2"/>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rPr>
                <w:rFonts w:hint="eastAsia"/>
                <w:lang w:val="en-US" w:eastAsia="zh-CN"/>
              </w:rPr>
            </w:pPr>
          </w:p>
          <w:p>
            <w:pPr>
              <w:rPr>
                <w:rFonts w:hint="eastAsia"/>
                <w:lang w:val="en-US" w:eastAsia="zh-CN"/>
              </w:rPr>
            </w:pPr>
          </w:p>
        </w:tc>
      </w:tr>
    </w:tbl>
    <w:p>
      <w:pPr>
        <w:pStyle w:val="3"/>
        <w:rPr>
          <w:color w:val="000000" w:themeColor="text1"/>
          <w14:textFill>
            <w14:solidFill>
              <w14:schemeClr w14:val="tx1"/>
            </w14:solidFill>
          </w14:textFill>
        </w:rPr>
      </w:pPr>
      <w:r>
        <w:rPr>
          <w:color w:val="000000" w:themeColor="text1"/>
          <w14:textFill>
            <w14:solidFill>
              <w14:schemeClr w14:val="tx1"/>
            </w14:solidFill>
          </w14:textFill>
        </w:rPr>
        <w:t>表四</w:t>
      </w:r>
    </w:p>
    <w:tbl>
      <w:tblPr>
        <w:tblStyle w:val="19"/>
        <w:tblW w:w="924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975" w:hRule="atLeast"/>
          <w:jc w:val="center"/>
        </w:trPr>
        <w:tc>
          <w:tcPr>
            <w:tcW w:w="9242" w:type="dxa"/>
          </w:tcPr>
          <w:p>
            <w:pPr>
              <w:spacing w:after="0" w:line="360" w:lineRule="auto"/>
            </w:pPr>
            <w:r>
              <w:t>建设项目环境影响报告表主要结论及审批部门审批决定：</w:t>
            </w:r>
          </w:p>
          <w:p>
            <w:pPr>
              <w:spacing w:after="0" w:line="360" w:lineRule="auto"/>
              <w:ind w:firstLine="440" w:firstLineChars="200"/>
            </w:pPr>
            <w:r>
              <w:rPr>
                <w:rFonts w:hint="eastAsia"/>
              </w:rPr>
              <w:t>一、</w:t>
            </w:r>
            <w:r>
              <w:t>环境影响报告表主要结论</w:t>
            </w:r>
          </w:p>
          <w:p>
            <w:pPr>
              <w:spacing w:after="0" w:line="360" w:lineRule="auto"/>
              <w:ind w:firstLine="440" w:firstLineChars="200"/>
            </w:pPr>
            <w:r>
              <w:rPr>
                <w:rFonts w:hint="eastAsia"/>
              </w:rPr>
              <w:t>项目营运期间产生的</w:t>
            </w:r>
            <w:r>
              <w:t>固体废物</w:t>
            </w:r>
            <w:r>
              <w:rPr>
                <w:rFonts w:hint="eastAsia"/>
              </w:rPr>
              <w:t>，治理情况如下所述。</w:t>
            </w:r>
          </w:p>
          <w:p>
            <w:pPr>
              <w:pStyle w:val="42"/>
              <w:numPr>
                <w:ilvl w:val="0"/>
                <w:numId w:val="0"/>
              </w:numPr>
              <w:spacing w:line="360" w:lineRule="auto"/>
              <w:ind w:left="480" w:hanging="480" w:hangingChars="200"/>
              <w:rPr>
                <w:rFonts w:hint="default"/>
              </w:rPr>
            </w:pPr>
            <w:r>
              <w:rPr>
                <w:rFonts w:hint="default"/>
              </w:rPr>
              <w:t>（</w:t>
            </w:r>
            <w:r>
              <w:rPr>
                <w:rFonts w:hint="eastAsia"/>
                <w:lang w:val="en-US" w:eastAsia="zh-CN"/>
              </w:rPr>
              <w:t>1</w:t>
            </w:r>
            <w:r>
              <w:rPr>
                <w:rFonts w:hint="default"/>
              </w:rPr>
              <w:t>）固体废物</w:t>
            </w:r>
          </w:p>
          <w:p>
            <w:pPr>
              <w:pStyle w:val="42"/>
              <w:numPr>
                <w:ilvl w:val="0"/>
                <w:numId w:val="0"/>
              </w:numPr>
              <w:spacing w:line="360" w:lineRule="auto"/>
              <w:ind w:left="480" w:leftChars="218" w:firstLine="0" w:firstLineChars="0"/>
              <w:rPr>
                <w:rFonts w:hint="default"/>
              </w:rPr>
            </w:pPr>
            <w:r>
              <w:rPr>
                <w:rFonts w:hint="eastAsia"/>
              </w:rPr>
              <w:t>项目营运期产生的固废主要为一般固废、危险废物和生活垃圾。</w:t>
            </w:r>
            <w:r>
              <w:rPr>
                <w:rFonts w:hint="default"/>
              </w:rPr>
              <w:t>本项目生产过程中</w:t>
            </w:r>
          </w:p>
          <w:p>
            <w:pPr>
              <w:pStyle w:val="42"/>
              <w:numPr>
                <w:ilvl w:val="0"/>
                <w:numId w:val="0"/>
              </w:numPr>
              <w:spacing w:line="360" w:lineRule="auto"/>
              <w:rPr>
                <w:rFonts w:hint="default"/>
              </w:rPr>
            </w:pPr>
            <w:r>
              <w:rPr>
                <w:rFonts w:hint="default"/>
              </w:rPr>
              <w:t>产生的收集粉尘回用于生产;产生的不合格产品在破碎后回用于生产;生活垃圾厂内统一收集，送至环卫部门垃圾收集点，分拣过程中产生的废铁等金属外售，产生的木头等其它杂物运送到垃圾填埋场填埋。废润滑油设置10m</w:t>
            </w:r>
            <w:r>
              <w:rPr>
                <w:rFonts w:hint="default"/>
                <w:vertAlign w:val="superscript"/>
              </w:rPr>
              <w:t>2</w:t>
            </w:r>
            <w:r>
              <w:rPr>
                <w:rFonts w:hint="default"/>
              </w:rPr>
              <w:t>危险废物暂存间，经危废桶收集后，交给有资质的单位</w:t>
            </w:r>
            <w:r>
              <w:rPr>
                <w:rFonts w:hint="eastAsia"/>
                <w:lang w:val="en-US" w:eastAsia="zh-CN"/>
              </w:rPr>
              <w:t>合理</w:t>
            </w:r>
            <w:r>
              <w:rPr>
                <w:rFonts w:hint="default"/>
              </w:rPr>
              <w:t>处理。</w:t>
            </w:r>
          </w:p>
          <w:p>
            <w:pPr>
              <w:pStyle w:val="42"/>
              <w:numPr>
                <w:ilvl w:val="0"/>
                <w:numId w:val="0"/>
              </w:numPr>
              <w:spacing w:line="360" w:lineRule="auto"/>
              <w:ind w:left="480" w:leftChars="218" w:firstLine="0" w:firstLineChars="0"/>
              <w:rPr>
                <w:rFonts w:hint="eastAsia"/>
              </w:rPr>
            </w:pPr>
            <w:r>
              <w:rPr>
                <w:rFonts w:hint="default"/>
              </w:rPr>
              <w:t>本</w:t>
            </w:r>
            <w:r>
              <w:rPr>
                <w:rFonts w:hint="eastAsia"/>
              </w:rPr>
              <w:t>项目的建设符合国家和地方环境保护法律法规，项目所在地的区域环境质量达到</w:t>
            </w:r>
          </w:p>
          <w:p>
            <w:pPr>
              <w:pStyle w:val="42"/>
              <w:numPr>
                <w:ilvl w:val="0"/>
                <w:numId w:val="0"/>
              </w:numPr>
              <w:spacing w:line="360" w:lineRule="auto"/>
              <w:rPr>
                <w:rFonts w:hint="default"/>
              </w:rPr>
            </w:pPr>
            <w:r>
              <w:rPr>
                <w:rFonts w:hint="eastAsia"/>
              </w:rPr>
              <w:t>国家或地方环境质量标准，本项目采取的污染防治措施可确保污染排放达到国家和地方排放标准；正常排放的污染物对周围环境影响较小。从满足环境质量目标的角度分析，该项目建设环境影响可行。</w:t>
            </w:r>
          </w:p>
          <w:p>
            <w:pPr>
              <w:spacing w:after="0" w:line="360" w:lineRule="auto"/>
              <w:ind w:firstLine="440" w:firstLineChars="200"/>
            </w:pPr>
            <w:r>
              <w:rPr>
                <w:rFonts w:hint="eastAsia"/>
              </w:rPr>
              <w:t>二、</w:t>
            </w:r>
            <w:r>
              <w:t>审批部门审批决定</w:t>
            </w:r>
          </w:p>
          <w:p>
            <w:pPr>
              <w:pStyle w:val="42"/>
              <w:numPr>
                <w:ilvl w:val="0"/>
                <w:numId w:val="0"/>
              </w:numPr>
              <w:spacing w:line="360" w:lineRule="auto"/>
              <w:ind w:left="480" w:hanging="480" w:hangingChars="200"/>
              <w:rPr>
                <w:rFonts w:hint="default"/>
              </w:rPr>
            </w:pPr>
            <w:r>
              <w:rPr>
                <w:rFonts w:hint="default"/>
              </w:rPr>
              <w:t>西安永联环保建筑材料有限公司</w:t>
            </w:r>
            <w:r>
              <w:rPr>
                <w:rFonts w:hint="default"/>
                <w:lang w:eastAsia="zh-CN"/>
              </w:rPr>
              <w:t>：</w:t>
            </w:r>
            <w:r>
              <w:rPr>
                <w:rFonts w:hint="default"/>
              </w:rPr>
              <w:br w:type="textWrapping"/>
            </w:r>
            <w:r>
              <w:rPr>
                <w:rFonts w:hint="default"/>
              </w:rPr>
              <w:t>你单位《建筑垃圾再生利用生产新型建筑材料项目环境影响报告表》(以下简称</w:t>
            </w:r>
          </w:p>
          <w:p>
            <w:pPr>
              <w:pStyle w:val="42"/>
              <w:numPr>
                <w:ilvl w:val="0"/>
                <w:numId w:val="0"/>
              </w:numPr>
              <w:spacing w:line="360" w:lineRule="auto"/>
              <w:ind w:left="480" w:hanging="480" w:hangingChars="200"/>
              <w:rPr>
                <w:rFonts w:hint="default"/>
              </w:rPr>
            </w:pPr>
            <w:r>
              <w:rPr>
                <w:rFonts w:hint="default"/>
              </w:rPr>
              <w:t>《报告表》)收悉。根据《中华人民共和国环境影响评价法》等国家建设项目有关法</w:t>
            </w:r>
          </w:p>
          <w:p>
            <w:pPr>
              <w:pStyle w:val="42"/>
              <w:numPr>
                <w:ilvl w:val="0"/>
                <w:numId w:val="0"/>
              </w:numPr>
              <w:spacing w:line="360" w:lineRule="auto"/>
              <w:ind w:left="480" w:hanging="480" w:hangingChars="200"/>
              <w:rPr>
                <w:rFonts w:hint="default"/>
              </w:rPr>
            </w:pPr>
            <w:r>
              <w:rPr>
                <w:rFonts w:hint="default"/>
              </w:rPr>
              <w:t>律法规及相关技术规范，结合西安市环境保护科学研究院《关于建筑垃圾再生利用</w:t>
            </w:r>
          </w:p>
          <w:p>
            <w:pPr>
              <w:pStyle w:val="42"/>
              <w:numPr>
                <w:ilvl w:val="0"/>
                <w:numId w:val="0"/>
              </w:numPr>
              <w:spacing w:line="360" w:lineRule="auto"/>
              <w:ind w:left="480" w:hanging="480" w:hangingChars="200"/>
              <w:rPr>
                <w:rFonts w:hint="default"/>
              </w:rPr>
            </w:pPr>
            <w:r>
              <w:rPr>
                <w:rFonts w:hint="default"/>
              </w:rPr>
              <w:t>生产新型建筑材料项目环境影响报告表技术评估报告的函》(市评估函[20181]172</w:t>
            </w:r>
          </w:p>
          <w:p>
            <w:pPr>
              <w:pStyle w:val="42"/>
              <w:numPr>
                <w:ilvl w:val="0"/>
                <w:numId w:val="0"/>
              </w:numPr>
              <w:spacing w:line="360" w:lineRule="auto"/>
              <w:ind w:left="480" w:hanging="480" w:hangingChars="200"/>
              <w:rPr>
                <w:rFonts w:hint="default"/>
              </w:rPr>
            </w:pPr>
            <w:r>
              <w:rPr>
                <w:rFonts w:hint="default"/>
              </w:rPr>
              <w:t>号),我局对该《报告表》进行认真审查后，批复如下:</w:t>
            </w:r>
          </w:p>
          <w:p>
            <w:pPr>
              <w:pStyle w:val="42"/>
              <w:numPr>
                <w:ilvl w:val="0"/>
                <w:numId w:val="0"/>
              </w:numPr>
              <w:spacing w:line="360" w:lineRule="auto"/>
              <w:ind w:left="480" w:hanging="480" w:hangingChars="200"/>
              <w:rPr>
                <w:rFonts w:hint="default"/>
              </w:rPr>
            </w:pPr>
            <w:r>
              <w:rPr>
                <w:rFonts w:hint="default"/>
              </w:rPr>
              <w:t>一、项目概况:</w:t>
            </w:r>
          </w:p>
          <w:p>
            <w:pPr>
              <w:pStyle w:val="42"/>
              <w:numPr>
                <w:ilvl w:val="0"/>
                <w:numId w:val="0"/>
              </w:numPr>
              <w:spacing w:line="360" w:lineRule="auto"/>
              <w:ind w:left="440" w:leftChars="200" w:firstLine="0" w:firstLineChars="0"/>
              <w:rPr>
                <w:rFonts w:hint="default"/>
              </w:rPr>
            </w:pPr>
            <w:r>
              <w:rPr>
                <w:rFonts w:hint="default"/>
              </w:rPr>
              <w:t>西安永联环保建筑材料有限公司建筑垃圾再生利用生产新型建筑材料项目位于</w:t>
            </w:r>
          </w:p>
          <w:p>
            <w:pPr>
              <w:pStyle w:val="42"/>
              <w:numPr>
                <w:ilvl w:val="0"/>
                <w:numId w:val="0"/>
              </w:numPr>
              <w:spacing w:line="360" w:lineRule="auto"/>
              <w:rPr>
                <w:rFonts w:hint="default"/>
                <w:lang w:eastAsia="zh-CN"/>
              </w:rPr>
            </w:pPr>
            <w:r>
              <w:rPr>
                <w:rFonts w:hint="default"/>
              </w:rPr>
              <w:t>西安市长安区大兆街道三益村，占地面积约67333平方米(101亩)，总投资2355万元，其中环保投资91.8万元。项目分为东西两个区域，共建设制砖生产线4条，建成后可年产免烧压制砖6000万块，项目定员60人，厂区食宿，年工作约240天</w:t>
            </w:r>
            <w:r>
              <w:rPr>
                <w:rFonts w:hint="default"/>
                <w:lang w:eastAsia="zh-CN"/>
              </w:rPr>
              <w:t>（</w:t>
            </w:r>
            <w:r>
              <w:rPr>
                <w:rFonts w:hint="default"/>
              </w:rPr>
              <w:t>3月15日至11月15日)，每天工作10小时</w:t>
            </w:r>
            <w:r>
              <w:rPr>
                <w:rFonts w:hint="default"/>
                <w:lang w:eastAsia="zh-CN"/>
              </w:rPr>
              <w:t>。</w:t>
            </w:r>
          </w:p>
          <w:p>
            <w:pPr>
              <w:pStyle w:val="42"/>
              <w:numPr>
                <w:ilvl w:val="0"/>
                <w:numId w:val="0"/>
              </w:numPr>
              <w:spacing w:line="360" w:lineRule="auto"/>
              <w:ind w:firstLine="480" w:firstLineChars="200"/>
              <w:rPr>
                <w:rFonts w:hint="default"/>
              </w:rPr>
            </w:pPr>
            <w:r>
              <w:rPr>
                <w:rFonts w:hint="default"/>
              </w:rPr>
              <w:t>项目投产后，养护废水和托盘清洗废水通过沉定后循环使用，不外排</w:t>
            </w:r>
            <w:r>
              <w:rPr>
                <w:rFonts w:hint="default"/>
                <w:lang w:eastAsia="zh-CN"/>
              </w:rPr>
              <w:t>；</w:t>
            </w:r>
            <w:r>
              <w:rPr>
                <w:rFonts w:hint="default"/>
              </w:rPr>
              <w:t>食堂废水油水分离后混合生活污水一同进入化类活，定期清掏外运</w:t>
            </w:r>
            <w:r>
              <w:rPr>
                <w:rFonts w:hint="default"/>
                <w:lang w:val="en-US" w:eastAsia="zh-CN"/>
              </w:rPr>
              <w:t>肥</w:t>
            </w:r>
            <w:r>
              <w:rPr>
                <w:rFonts w:hint="default"/>
              </w:rPr>
              <w:t>田。职工采暖及制冷采用分体式空调。项目为免烧砖</w:t>
            </w:r>
            <w:r>
              <w:rPr>
                <w:rFonts w:hint="default"/>
                <w:lang w:eastAsia="zh-CN"/>
              </w:rPr>
              <w:t>，</w:t>
            </w:r>
            <w:r>
              <w:rPr>
                <w:rFonts w:hint="default"/>
              </w:rPr>
              <w:t>无加热工序</w:t>
            </w:r>
            <w:r>
              <w:rPr>
                <w:rFonts w:hint="default"/>
                <w:lang w:eastAsia="zh-CN"/>
              </w:rPr>
              <w:t>；</w:t>
            </w:r>
            <w:r>
              <w:rPr>
                <w:rFonts w:hint="default"/>
              </w:rPr>
              <w:t>食堂使用清洁能源</w:t>
            </w:r>
            <w:r>
              <w:rPr>
                <w:rFonts w:hint="default"/>
                <w:lang w:eastAsia="zh-CN"/>
              </w:rPr>
              <w:t>。</w:t>
            </w:r>
            <w:r>
              <w:rPr>
                <w:rFonts w:hint="default"/>
              </w:rPr>
              <w:br w:type="textWrapping"/>
            </w:r>
            <w:r>
              <w:rPr>
                <w:rFonts w:hint="default"/>
              </w:rPr>
              <w:t> 二、经审查，从环境保护的角度分析，该建设项目在按照该《报告表》中所提出的污染防治措施、建议要求进行建设，并在建设中认真执行环保“三同时”制度的前提下是可行的。</w:t>
            </w:r>
          </w:p>
          <w:p>
            <w:pPr>
              <w:pStyle w:val="42"/>
              <w:numPr>
                <w:ilvl w:val="0"/>
                <w:numId w:val="0"/>
              </w:numPr>
              <w:spacing w:line="360" w:lineRule="auto"/>
              <w:ind w:firstLine="480" w:firstLineChars="200"/>
              <w:rPr>
                <w:rFonts w:hint="default"/>
              </w:rPr>
            </w:pPr>
            <w:r>
              <w:rPr>
                <w:rFonts w:hint="default"/>
              </w:rPr>
              <w:t>同意该项目按照《报告表》中所列的地点、性质、规模及环境保护措施进行建设。</w:t>
            </w:r>
          </w:p>
          <w:p>
            <w:pPr>
              <w:pStyle w:val="42"/>
              <w:numPr>
                <w:ilvl w:val="0"/>
                <w:numId w:val="0"/>
              </w:numPr>
              <w:spacing w:line="360" w:lineRule="auto"/>
              <w:rPr>
                <w:rFonts w:hint="default"/>
              </w:rPr>
            </w:pPr>
            <w:r>
              <w:rPr>
                <w:rFonts w:hint="default"/>
              </w:rPr>
              <w:t> 三、在项目建设及运营期，建设单位必须重点做好以下工作:</w:t>
            </w:r>
          </w:p>
          <w:p>
            <w:pPr>
              <w:pStyle w:val="42"/>
              <w:numPr>
                <w:ilvl w:val="0"/>
                <w:numId w:val="0"/>
              </w:numPr>
              <w:spacing w:line="360" w:lineRule="auto"/>
              <w:ind w:firstLine="480" w:firstLineChars="200"/>
              <w:rPr>
                <w:rFonts w:hint="default"/>
              </w:rPr>
            </w:pPr>
            <w:r>
              <w:rPr>
                <w:rFonts w:hint="default"/>
              </w:rPr>
              <w:t>(一)项目建设期，必须严格按照《西安市人民政府办公厅关于印发西安市2017年“铁腕治霾.保卫蓝天”“1+1+9”组合方案(办法)的通知》(市政办发[2017]19号)等文件要求，采取有效措施防止扬尘、施工噪声及污水污染，未经审批部门批准不得进行夜间扰民的施工，并落实施工期其他各项环境污染防治措施，确保施工期所有污染物达标排放。</w:t>
            </w:r>
            <w:r>
              <w:rPr>
                <w:rFonts w:hint="default"/>
              </w:rPr>
              <w:br w:type="textWrapping"/>
            </w:r>
            <w:r>
              <w:rPr>
                <w:rFonts w:hint="default"/>
              </w:rPr>
              <w:t>  </w:t>
            </w:r>
            <w:r>
              <w:rPr>
                <w:rFonts w:hint="eastAsia"/>
                <w:lang w:val="en-US" w:eastAsia="zh-CN"/>
              </w:rPr>
              <w:t xml:space="preserve">   </w:t>
            </w:r>
            <w:r>
              <w:rPr>
                <w:rFonts w:hint="default"/>
              </w:rPr>
              <w:t>(二)严格按照《报告表》建议及要求，建设期施工废水沉淀后回用、生活污水临时化粪池处置;生产期养护废水和托盘清洗废水通过沉淀后循环使用，不外排食堂</w:t>
            </w:r>
            <w:r>
              <w:t>废水油水分离后混合生活污水</w:t>
            </w:r>
            <w:r>
              <w:rPr>
                <w:rFonts w:hint="eastAsia"/>
                <w:lang w:val="en-US" w:eastAsia="zh-CN"/>
              </w:rPr>
              <w:t>一同</w:t>
            </w:r>
            <w:r>
              <w:t>进入化类池，定期清掏外运肥田，所有废水不得排放。</w:t>
            </w:r>
            <w:r>
              <w:br w:type="textWrapping"/>
            </w:r>
            <w:r>
              <w:t>  </w:t>
            </w:r>
            <w:r>
              <w:rPr>
                <w:rFonts w:hint="eastAsia"/>
                <w:lang w:val="en-US" w:eastAsia="zh-CN"/>
              </w:rPr>
              <w:t xml:space="preserve">   </w:t>
            </w:r>
            <w:r>
              <w:rPr>
                <w:rFonts w:hint="default"/>
              </w:rPr>
              <w:t>(</w:t>
            </w:r>
            <w:r>
              <w:rPr>
                <w:rFonts w:hint="eastAsia"/>
                <w:lang w:val="en-US" w:eastAsia="zh-CN"/>
              </w:rPr>
              <w:t>三</w:t>
            </w:r>
            <w:r>
              <w:rPr>
                <w:rFonts w:hint="default"/>
              </w:rPr>
              <w:t>)严格按照《报告表》)建议及要求，项目厂区应进行硬化，垃圾堆放区设置围挡，建筑垃圾覆盖</w:t>
            </w:r>
            <w:r>
              <w:rPr>
                <w:rFonts w:hint="default"/>
                <w:lang w:eastAsia="zh-CN"/>
              </w:rPr>
              <w:t>；</w:t>
            </w:r>
            <w:r>
              <w:rPr>
                <w:rFonts w:hint="default"/>
              </w:rPr>
              <w:t>破碎车</w:t>
            </w:r>
            <w:r>
              <w:rPr>
                <w:rFonts w:hint="default"/>
                <w:lang w:val="en-US" w:eastAsia="zh-CN"/>
              </w:rPr>
              <w:t>间密</w:t>
            </w:r>
            <w:r>
              <w:rPr>
                <w:rFonts w:hint="default"/>
              </w:rPr>
              <w:t>闭，设置雾化喷淋设备及1套布袋除尘器，除尘效率不低于99%</w:t>
            </w:r>
            <w:r>
              <w:rPr>
                <w:rFonts w:hint="default"/>
                <w:lang w:eastAsia="zh-CN"/>
              </w:rPr>
              <w:t>，</w:t>
            </w:r>
            <w:r>
              <w:rPr>
                <w:rFonts w:hint="default"/>
              </w:rPr>
              <w:t>排气筒15m,内径0.6m</w:t>
            </w:r>
            <w:r>
              <w:rPr>
                <w:rFonts w:hint="default"/>
                <w:lang w:eastAsia="zh-CN"/>
              </w:rPr>
              <w:t>；</w:t>
            </w:r>
            <w:r>
              <w:rPr>
                <w:rFonts w:hint="default"/>
              </w:rPr>
              <w:t>粉料筒仓设置滤芯式仓顶除尘器，除尘效率99.9%</w:t>
            </w:r>
            <w:r>
              <w:rPr>
                <w:rFonts w:hint="eastAsia"/>
                <w:lang w:eastAsia="zh-CN"/>
              </w:rPr>
              <w:t>；</w:t>
            </w:r>
            <w:r>
              <w:rPr>
                <w:rFonts w:hint="default"/>
              </w:rPr>
              <w:t>传输带封闭，物料转载点配套雾化喷淋除尘1套</w:t>
            </w:r>
            <w:r>
              <w:rPr>
                <w:rFonts w:hint="eastAsia"/>
                <w:lang w:eastAsia="zh-CN"/>
              </w:rPr>
              <w:t>；</w:t>
            </w:r>
            <w:r>
              <w:rPr>
                <w:rFonts w:hint="default"/>
              </w:rPr>
              <w:t>建筑垃圾堆放区设置封闭式钢结构大棚</w:t>
            </w:r>
            <w:r>
              <w:rPr>
                <w:rFonts w:hint="eastAsia"/>
                <w:lang w:eastAsia="zh-CN"/>
              </w:rPr>
              <w:t>；</w:t>
            </w:r>
            <w:r>
              <w:rPr>
                <w:rFonts w:hint="default"/>
              </w:rPr>
              <w:t>再生骨料在储棚内储存，车辆进出口设帆布门帘，配套喷淋洒水设施</w:t>
            </w:r>
            <w:r>
              <w:rPr>
                <w:rFonts w:hint="eastAsia"/>
                <w:lang w:eastAsia="zh-CN"/>
              </w:rPr>
              <w:t>；</w:t>
            </w:r>
            <w:r>
              <w:rPr>
                <w:rFonts w:hint="default"/>
              </w:rPr>
              <w:t>原辅材料封闭运输</w:t>
            </w:r>
            <w:r>
              <w:rPr>
                <w:rFonts w:hint="eastAsia"/>
                <w:lang w:eastAsia="zh-CN"/>
              </w:rPr>
              <w:t>；</w:t>
            </w:r>
            <w:r>
              <w:rPr>
                <w:rFonts w:hint="default"/>
              </w:rPr>
              <w:t>厂区空地及场内道路全部硬化，进厂后减速慢行，安排专人定期洒水清扫</w:t>
            </w:r>
            <w:r>
              <w:rPr>
                <w:rFonts w:hint="eastAsia"/>
                <w:lang w:eastAsia="zh-CN"/>
              </w:rPr>
              <w:t>；</w:t>
            </w:r>
            <w:r>
              <w:rPr>
                <w:rFonts w:hint="default"/>
              </w:rPr>
              <w:t>设置车辆冲洗平台，进出厂车辆轮胎需进行冲洗</w:t>
            </w:r>
            <w:r>
              <w:rPr>
                <w:rFonts w:hint="eastAsia"/>
                <w:lang w:eastAsia="zh-CN"/>
              </w:rPr>
              <w:t>；</w:t>
            </w:r>
            <w:r>
              <w:rPr>
                <w:rFonts w:hint="default"/>
              </w:rPr>
              <w:t>食堂安装油烟净化器处理厂后达标排放。扬尘污染防治应满足当前铁腕治霾要求。</w:t>
            </w:r>
            <w:r>
              <w:rPr>
                <w:rFonts w:hint="default"/>
              </w:rPr>
              <w:br w:type="textWrapping"/>
            </w:r>
            <w:r>
              <w:rPr>
                <w:rFonts w:hint="default"/>
              </w:rPr>
              <w:t>  </w:t>
            </w:r>
            <w:r>
              <w:rPr>
                <w:rFonts w:hint="eastAsia"/>
                <w:lang w:val="en-US" w:eastAsia="zh-CN"/>
              </w:rPr>
              <w:t xml:space="preserve">   </w:t>
            </w:r>
            <w:r>
              <w:rPr>
                <w:rFonts w:hint="default"/>
              </w:rPr>
              <w:t>(</w:t>
            </w:r>
            <w:r>
              <w:rPr>
                <w:rFonts w:hint="eastAsia"/>
                <w:lang w:eastAsia="zh-CN"/>
              </w:rPr>
              <w:t>四</w:t>
            </w:r>
            <w:r>
              <w:rPr>
                <w:rFonts w:hint="default"/>
              </w:rPr>
              <w:t>)严格按照《报告表》建议及要求，生产用的破碎机、搅拌机、配料机、制砖机等产生噪声的设备应置于室内</w:t>
            </w:r>
            <w:r>
              <w:rPr>
                <w:rFonts w:hint="eastAsia"/>
                <w:lang w:eastAsia="zh-CN"/>
              </w:rPr>
              <w:t>；</w:t>
            </w:r>
            <w:r>
              <w:rPr>
                <w:rFonts w:hint="default"/>
              </w:rPr>
              <w:t>设备选用低噪声设备，同时做好基础减震</w:t>
            </w:r>
            <w:r>
              <w:rPr>
                <w:rFonts w:hint="eastAsia"/>
                <w:lang w:eastAsia="zh-CN"/>
              </w:rPr>
              <w:t>；</w:t>
            </w:r>
            <w:r>
              <w:rPr>
                <w:rFonts w:hint="default"/>
              </w:rPr>
              <w:t>加强进出厂区车辆的规范管理，采取有效措施，确保交通噪声、汽车尾气及场界噪声达标排放。</w:t>
            </w:r>
            <w:r>
              <w:rPr>
                <w:rFonts w:hint="default"/>
              </w:rPr>
              <w:br w:type="textWrapping"/>
            </w:r>
            <w:r>
              <w:rPr>
                <w:rFonts w:hint="default"/>
              </w:rPr>
              <w:t>  </w:t>
            </w:r>
            <w:r>
              <w:rPr>
                <w:rFonts w:hint="eastAsia"/>
                <w:lang w:val="en-US" w:eastAsia="zh-CN"/>
              </w:rPr>
              <w:t xml:space="preserve">  （</w:t>
            </w:r>
            <w:r>
              <w:rPr>
                <w:rFonts w:hint="eastAsia"/>
                <w:lang w:eastAsia="zh-CN"/>
              </w:rPr>
              <w:t>五</w:t>
            </w:r>
            <w:r>
              <w:rPr>
                <w:rFonts w:hint="eastAsia"/>
                <w:lang w:val="en-US" w:eastAsia="zh-CN"/>
              </w:rPr>
              <w:t>）</w:t>
            </w:r>
            <w:r>
              <w:rPr>
                <w:rFonts w:hint="default"/>
              </w:rPr>
              <w:t>严格按照《报告表》建议及要求，项目生活垃圾定点存放，由当地环卫部门定时收集</w:t>
            </w:r>
            <w:r>
              <w:rPr>
                <w:rFonts w:hint="eastAsia"/>
                <w:lang w:eastAsia="zh-CN"/>
              </w:rPr>
              <w:t>；</w:t>
            </w:r>
            <w:r>
              <w:rPr>
                <w:rFonts w:hint="default"/>
              </w:rPr>
              <w:t>分拣的废金属等物质外售，粉金及不合格砖回收利用</w:t>
            </w:r>
            <w:r>
              <w:rPr>
                <w:rFonts w:hint="eastAsia"/>
                <w:lang w:eastAsia="zh-CN"/>
              </w:rPr>
              <w:t>；</w:t>
            </w:r>
            <w:r>
              <w:rPr>
                <w:rFonts w:hint="default"/>
              </w:rPr>
              <w:t>机械维修废机油设立危废暂存</w:t>
            </w:r>
            <w:r>
              <w:rPr>
                <w:rFonts w:hint="eastAsia"/>
                <w:lang w:val="en-US" w:eastAsia="zh-CN"/>
              </w:rPr>
              <w:t>间</w:t>
            </w:r>
            <w:r>
              <w:rPr>
                <w:rFonts w:hint="default"/>
              </w:rPr>
              <w:t>，定期交有资质的单位回此收处置，暂存时间不得超过一年。</w:t>
            </w:r>
          </w:p>
          <w:p>
            <w:pPr>
              <w:pStyle w:val="42"/>
              <w:numPr>
                <w:ilvl w:val="0"/>
                <w:numId w:val="0"/>
              </w:numPr>
              <w:spacing w:line="360" w:lineRule="auto"/>
              <w:rPr>
                <w:rFonts w:hint="default"/>
              </w:rPr>
            </w:pPr>
            <w:r>
              <w:rPr>
                <w:rFonts w:hint="default"/>
              </w:rPr>
              <w:t>四</w:t>
            </w:r>
            <w:r>
              <w:rPr>
                <w:rFonts w:hint="default"/>
                <w:lang w:eastAsia="zh-CN"/>
              </w:rPr>
              <w:t>、</w:t>
            </w:r>
            <w:r>
              <w:rPr>
                <w:rFonts w:hint="default"/>
              </w:rPr>
              <w:t>该项目在建设中必须严 格执行配套建设的环境保护设施与主体工程同时设计同时施工、同时投产使用的环境保护“三同时”制度。项目建设期间，由西安市环境保护局长安分局环境监察大队负责对其实施环境保护监督检查和相关违法行为的处罚工作。建设单位取得本批复后应与5个工作日内到我局监管科室进行备案。</w:t>
            </w:r>
            <w:r>
              <w:rPr>
                <w:rFonts w:hint="default"/>
              </w:rPr>
              <w:br w:type="textWrapping"/>
            </w:r>
            <w:r>
              <w:rPr>
                <w:rFonts w:hint="default"/>
              </w:rPr>
              <w:t>五</w:t>
            </w:r>
            <w:r>
              <w:rPr>
                <w:rFonts w:hint="default"/>
                <w:lang w:eastAsia="zh-CN"/>
              </w:rPr>
              <w:t>、</w:t>
            </w:r>
            <w:r>
              <w:rPr>
                <w:rFonts w:hint="default"/>
              </w:rPr>
              <w:t>你单位必须在该项目竣工后三个月内进行环保验收并向我局备案，经监测、验收合格方可正式投入正式使用。</w:t>
            </w:r>
          </w:p>
          <w:p>
            <w:pPr>
              <w:pStyle w:val="42"/>
              <w:numPr>
                <w:ilvl w:val="0"/>
                <w:numId w:val="0"/>
              </w:numPr>
              <w:spacing w:line="360" w:lineRule="auto"/>
              <w:ind w:firstLine="480" w:firstLineChars="200"/>
            </w:pPr>
            <w:r>
              <w:rPr>
                <w:rFonts w:hint="eastAsia"/>
              </w:rPr>
              <w:t>三、环境保护措施落实情况</w:t>
            </w:r>
          </w:p>
          <w:p>
            <w:pPr>
              <w:spacing w:after="0" w:line="360" w:lineRule="auto"/>
              <w:ind w:firstLine="480" w:firstLineChars="200"/>
              <w:rPr>
                <w:rFonts w:hint="default"/>
                <w:lang w:val="en-US" w:eastAsia="zh-CN"/>
              </w:rPr>
            </w:pPr>
            <w:r>
              <w:rPr>
                <w:rFonts w:hint="eastAsia" w:ascii="宋体" w:hAnsi="Calibri" w:eastAsia="宋体" w:cs="Times New Roman"/>
                <w:color w:val="000000"/>
                <w:sz w:val="24"/>
                <w:szCs w:val="22"/>
                <w:lang w:val="en-US" w:eastAsia="zh-CN" w:bidi="ar-SA"/>
              </w:rPr>
              <w:t>2018年7月18日，西安市环境保护局长安分局对该项目进行了批复，批复文号为：市环长批复【2018】11号，本项目环评及批复文件提出的环境保护措施落实情况见表4-1。</w:t>
            </w:r>
          </w:p>
          <w:p>
            <w:pPr>
              <w:spacing w:after="0" w:line="36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    环境保护措施落实情况表</w:t>
            </w:r>
          </w:p>
          <w:tbl>
            <w:tblPr>
              <w:tblStyle w:val="20"/>
              <w:tblW w:w="89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3343"/>
              <w:gridCol w:w="3014"/>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环境要素</w:t>
                  </w:r>
                </w:p>
              </w:tc>
              <w:tc>
                <w:tcPr>
                  <w:tcW w:w="3343"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环评及批复要求措施</w:t>
                  </w:r>
                </w:p>
              </w:tc>
              <w:tc>
                <w:tcPr>
                  <w:tcW w:w="3014"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实际落实情况</w:t>
                  </w:r>
                </w:p>
              </w:tc>
              <w:tc>
                <w:tcPr>
                  <w:tcW w:w="1531"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是否落实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6" w:hRule="atLeast"/>
                <w:jc w:val="center"/>
              </w:trPr>
              <w:tc>
                <w:tcPr>
                  <w:tcW w:w="1108"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w:t>
                  </w:r>
                </w:p>
              </w:tc>
              <w:tc>
                <w:tcPr>
                  <w:tcW w:w="3343"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项目生活垃圾定点存放，由当地环卫部门定时收集；分拣的废金属等物质外售，粉金及不合格砖回收利用；机械维修废机油设立危废暂存间，定期交有资质的单位回此收处置，暂存时间不得超过一年。</w:t>
                  </w:r>
                </w:p>
              </w:tc>
              <w:tc>
                <w:tcPr>
                  <w:tcW w:w="3014"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生产过程中产生的收集粉尘回用于生产;产生的不合格产品在破碎后回用于生产;生活垃圾厂内统一收集，送至环卫部门垃圾收集点，分拣过程中产生的废铁等金属外售，产生的木头等其它杂物运送到垃圾填埋场填埋。废润滑油设置10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危险废物暂存间，经危废桶收集后，交给陕西明瑞资源再生有限公司合理处理。</w:t>
                  </w:r>
                </w:p>
              </w:tc>
              <w:tc>
                <w:tcPr>
                  <w:tcW w:w="1531" w:type="dxa"/>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落实</w:t>
                  </w:r>
                </w:p>
              </w:tc>
            </w:tr>
          </w:tbl>
          <w:p/>
          <w:p>
            <w:pPr>
              <w:pStyle w:val="2"/>
            </w:pPr>
          </w:p>
          <w:p/>
          <w:p>
            <w:pPr>
              <w:pStyle w:val="2"/>
            </w:pPr>
          </w:p>
          <w:p/>
          <w:p>
            <w:pPr>
              <w:pStyle w:val="2"/>
            </w:pPr>
          </w:p>
          <w:p/>
        </w:tc>
      </w:tr>
    </w:tbl>
    <w:p>
      <w:pPr>
        <w:spacing w:after="0" w:line="360" w:lineRule="auto"/>
        <w:rPr>
          <w:rFonts w:ascii="Times New Roman" w:hAnsi="Times New Roman" w:eastAsia="仿宋_GB2312"/>
          <w:b/>
          <w:color w:val="000000" w:themeColor="text1"/>
          <w:sz w:val="21"/>
          <w:szCs w:val="21"/>
          <w14:textFill>
            <w14:solidFill>
              <w14:schemeClr w14:val="tx1"/>
            </w14:solidFill>
          </w14:textFill>
        </w:rPr>
        <w:sectPr>
          <w:pgSz w:w="11906" w:h="16838"/>
          <w:pgMar w:top="1440" w:right="1440" w:bottom="1440" w:left="1440" w:header="709" w:footer="709" w:gutter="0"/>
          <w:pgBorders>
            <w:top w:val="none" w:sz="0" w:space="0"/>
            <w:left w:val="none" w:sz="0" w:space="0"/>
            <w:bottom w:val="none" w:sz="0" w:space="0"/>
            <w:right w:val="none" w:sz="0" w:space="0"/>
          </w:pgBorders>
          <w:cols w:space="720" w:num="1"/>
          <w:docGrid w:linePitch="360" w:charSpace="0"/>
        </w:sectPr>
      </w:pPr>
    </w:p>
    <w:p>
      <w:pPr>
        <w:pStyle w:val="3"/>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五</w:t>
      </w:r>
    </w:p>
    <w:tbl>
      <w:tblPr>
        <w:tblStyle w:val="20"/>
        <w:tblW w:w="92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65" w:hRule="atLeast"/>
        </w:trPr>
        <w:tc>
          <w:tcPr>
            <w:tcW w:w="9242" w:type="dxa"/>
          </w:tcPr>
          <w:p>
            <w:pPr>
              <w:widowControl w:val="0"/>
              <w:spacing w:after="0" w:line="336" w:lineRule="auto"/>
              <w:ind w:firstLine="482" w:firstLineChars="200"/>
              <w:jc w:val="both"/>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一、</w:t>
            </w:r>
            <w:r>
              <w:rPr>
                <w:rFonts w:ascii="Times New Roman" w:hAnsi="Times New Roman" w:eastAsia="宋体"/>
                <w:b/>
                <w:color w:val="000000" w:themeColor="text1"/>
                <w:sz w:val="24"/>
                <w:szCs w:val="24"/>
                <w14:textFill>
                  <w14:solidFill>
                    <w14:schemeClr w14:val="tx1"/>
                  </w14:solidFill>
                </w14:textFill>
              </w:rPr>
              <w:t>验收监测结论</w:t>
            </w:r>
          </w:p>
          <w:p>
            <w:pPr>
              <w:widowControl w:val="0"/>
              <w:spacing w:after="0" w:line="336" w:lineRule="auto"/>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验收监测期间，该项目正常运行，符合验收条件。</w:t>
            </w:r>
          </w:p>
          <w:p>
            <w:pPr>
              <w:widowControl w:val="0"/>
              <w:spacing w:after="0" w:line="336" w:lineRule="auto"/>
              <w:ind w:firstLine="482" w:firstLineChars="200"/>
              <w:jc w:val="both"/>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1、固废废物调查结果</w:t>
            </w:r>
          </w:p>
          <w:p>
            <w:pPr>
              <w:spacing w:after="0" w:line="336" w:lineRule="auto"/>
              <w:ind w:firstLine="480" w:firstLineChars="200"/>
              <w:jc w:val="both"/>
              <w:rPr>
                <w:rFonts w:hint="default" w:ascii="Times New Roman" w:hAnsi="Times New Roman" w:eastAsia="宋体"/>
                <w:color w:val="000000" w:themeColor="text1"/>
                <w:sz w:val="24"/>
                <w:szCs w:val="24"/>
                <w:lang w:val="en-US" w:eastAsia="zh-CN"/>
                <w14:textFill>
                  <w14:solidFill>
                    <w14:schemeClr w14:val="tx1"/>
                  </w14:solidFill>
                </w14:textFill>
              </w:rPr>
            </w:pPr>
            <w:r>
              <w:rPr>
                <w:rFonts w:hint="default" w:ascii="Times New Roman" w:hAnsi="Times New Roman" w:eastAsia="宋体"/>
                <w:color w:val="000000" w:themeColor="text1"/>
                <w:sz w:val="24"/>
                <w:szCs w:val="24"/>
                <w:lang w:val="en-US" w:eastAsia="zh-CN"/>
                <w14:textFill>
                  <w14:solidFill>
                    <w14:schemeClr w14:val="tx1"/>
                  </w14:solidFill>
                </w14:textFill>
              </w:rPr>
              <w:t>本项目生产过程中产生的收集粉尘回用于生产</w:t>
            </w:r>
            <w:r>
              <w:rPr>
                <w:rFonts w:hint="eastAsia" w:ascii="Times New Roman" w:hAnsi="Times New Roman" w:eastAsia="宋体"/>
                <w:color w:val="000000" w:themeColor="text1"/>
                <w:sz w:val="24"/>
                <w:szCs w:val="24"/>
                <w:lang w:val="en-US" w:eastAsia="zh-CN"/>
                <w14:textFill>
                  <w14:solidFill>
                    <w14:schemeClr w14:val="tx1"/>
                  </w14:solidFill>
                </w14:textFill>
              </w:rPr>
              <w:t>；</w:t>
            </w:r>
            <w:r>
              <w:rPr>
                <w:rFonts w:hint="default" w:ascii="Times New Roman" w:hAnsi="Times New Roman" w:eastAsia="宋体"/>
                <w:color w:val="000000" w:themeColor="text1"/>
                <w:sz w:val="24"/>
                <w:szCs w:val="24"/>
                <w:lang w:val="en-US" w:eastAsia="zh-CN"/>
                <w14:textFill>
                  <w14:solidFill>
                    <w14:schemeClr w14:val="tx1"/>
                  </w14:solidFill>
                </w14:textFill>
              </w:rPr>
              <w:t>产生的不合格产品在破碎后回用于生产</w:t>
            </w:r>
            <w:r>
              <w:rPr>
                <w:rFonts w:hint="eastAsia" w:ascii="Times New Roman" w:hAnsi="Times New Roman" w:eastAsia="宋体"/>
                <w:color w:val="000000" w:themeColor="text1"/>
                <w:sz w:val="24"/>
                <w:szCs w:val="24"/>
                <w:lang w:val="en-US" w:eastAsia="zh-CN"/>
                <w14:textFill>
                  <w14:solidFill>
                    <w14:schemeClr w14:val="tx1"/>
                  </w14:solidFill>
                </w14:textFill>
              </w:rPr>
              <w:t>；</w:t>
            </w:r>
            <w:r>
              <w:rPr>
                <w:rFonts w:hint="default" w:ascii="Times New Roman" w:hAnsi="Times New Roman" w:eastAsia="宋体"/>
                <w:color w:val="000000" w:themeColor="text1"/>
                <w:sz w:val="24"/>
                <w:szCs w:val="24"/>
                <w:lang w:val="en-US" w:eastAsia="zh-CN"/>
                <w14:textFill>
                  <w14:solidFill>
                    <w14:schemeClr w14:val="tx1"/>
                  </w14:solidFill>
                </w14:textFill>
              </w:rPr>
              <w:t>生活垃圾厂内统一收集，送至环卫部门垃圾收集点</w:t>
            </w:r>
            <w:r>
              <w:rPr>
                <w:rFonts w:hint="eastAsia" w:ascii="Times New Roman" w:hAnsi="Times New Roman" w:eastAsia="宋体"/>
                <w:color w:val="000000" w:themeColor="text1"/>
                <w:sz w:val="24"/>
                <w:szCs w:val="24"/>
                <w:lang w:val="en-US" w:eastAsia="zh-CN"/>
                <w14:textFill>
                  <w14:solidFill>
                    <w14:schemeClr w14:val="tx1"/>
                  </w14:solidFill>
                </w14:textFill>
              </w:rPr>
              <w:t>；</w:t>
            </w:r>
            <w:r>
              <w:rPr>
                <w:rFonts w:hint="default" w:ascii="Times New Roman" w:hAnsi="Times New Roman" w:eastAsia="宋体"/>
                <w:color w:val="000000" w:themeColor="text1"/>
                <w:sz w:val="24"/>
                <w:szCs w:val="24"/>
                <w:lang w:val="en-US" w:eastAsia="zh-CN"/>
                <w14:textFill>
                  <w14:solidFill>
                    <w14:schemeClr w14:val="tx1"/>
                  </w14:solidFill>
                </w14:textFill>
              </w:rPr>
              <w:t>分拣过程中产生的废铁等金属外售，产生的木头等其它杂物运送到垃圾填埋场填埋。废润滑油设置10m</w:t>
            </w:r>
            <w:r>
              <w:rPr>
                <w:rFonts w:hint="default" w:ascii="Times New Roman" w:hAnsi="Times New Roman" w:eastAsia="宋体"/>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olor w:val="000000" w:themeColor="text1"/>
                <w:sz w:val="24"/>
                <w:szCs w:val="24"/>
                <w:lang w:val="en-US" w:eastAsia="zh-CN"/>
                <w14:textFill>
                  <w14:solidFill>
                    <w14:schemeClr w14:val="tx1"/>
                  </w14:solidFill>
                </w14:textFill>
              </w:rPr>
              <w:t>危险废物暂存间，经危废桶收集后，交给</w:t>
            </w:r>
            <w:r>
              <w:rPr>
                <w:rFonts w:hint="eastAsia" w:ascii="Times New Roman" w:hAnsi="Times New Roman" w:eastAsia="宋体"/>
                <w:color w:val="000000" w:themeColor="text1"/>
                <w:sz w:val="24"/>
                <w:szCs w:val="24"/>
                <w:lang w:val="en-US" w:eastAsia="zh-CN"/>
                <w14:textFill>
                  <w14:solidFill>
                    <w14:schemeClr w14:val="tx1"/>
                  </w14:solidFill>
                </w14:textFill>
              </w:rPr>
              <w:t>陕西明瑞资源再生有限公司合理</w:t>
            </w:r>
            <w:r>
              <w:rPr>
                <w:rFonts w:hint="default" w:ascii="Times New Roman" w:hAnsi="Times New Roman" w:eastAsia="宋体"/>
                <w:color w:val="000000" w:themeColor="text1"/>
                <w:sz w:val="24"/>
                <w:szCs w:val="24"/>
                <w:lang w:val="en-US" w:eastAsia="zh-CN"/>
                <w14:textFill>
                  <w14:solidFill>
                    <w14:schemeClr w14:val="tx1"/>
                  </w14:solidFill>
                </w14:textFill>
              </w:rPr>
              <w:t>处理。</w:t>
            </w:r>
          </w:p>
          <w:p>
            <w:pPr>
              <w:widowControl w:val="0"/>
              <w:spacing w:after="0" w:line="336" w:lineRule="auto"/>
              <w:ind w:firstLine="482" w:firstLineChars="200"/>
              <w:jc w:val="both"/>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2、验收监测总结论</w:t>
            </w:r>
          </w:p>
          <w:p>
            <w:pPr>
              <w:spacing w:after="0" w:line="336" w:lineRule="auto"/>
              <w:ind w:firstLine="480" w:firstLineChars="200"/>
              <w:jc w:val="both"/>
              <w:rPr>
                <w:color w:val="000000" w:themeColor="text1"/>
                <w:szCs w:val="20"/>
                <w14:textFill>
                  <w14:solidFill>
                    <w14:schemeClr w14:val="tx1"/>
                  </w14:solidFill>
                </w14:textFill>
              </w:rPr>
            </w:pPr>
            <w:r>
              <w:rPr>
                <w:rFonts w:hint="eastAsia" w:ascii="Times New Roman" w:hAnsi="Times New Roman" w:eastAsia="宋体"/>
                <w:color w:val="000000" w:themeColor="text1"/>
                <w:sz w:val="24"/>
                <w:szCs w:val="24"/>
                <w:lang w:val="zh-CN" w:eastAsia="zh-CN"/>
                <w14:textFill>
                  <w14:solidFill>
                    <w14:schemeClr w14:val="tx1"/>
                  </w14:solidFill>
                </w14:textFill>
              </w:rPr>
              <w:t>西安永联环保建筑材料有限公司</w:t>
            </w:r>
            <w:r>
              <w:rPr>
                <w:rFonts w:hint="eastAsia" w:ascii="Times New Roman" w:hAnsi="Times New Roman" w:eastAsia="宋体"/>
                <w:color w:val="000000" w:themeColor="text1"/>
                <w:sz w:val="24"/>
                <w:szCs w:val="24"/>
                <w:lang w:val="en-US" w:eastAsia="zh-CN"/>
                <w14:textFill>
                  <w14:solidFill>
                    <w14:schemeClr w14:val="tx1"/>
                  </w14:solidFill>
                </w14:textFill>
              </w:rPr>
              <w:t>环保手续完备，技术资料齐全，落实了环境影响评价和“三同时”制度，落实了环评报告表及其批复所规定的固体废物污染防治措施，符合竣工环境保护验收条件，验收期间固体废物能够得到妥善处理。</w:t>
            </w:r>
            <w:bookmarkStart w:id="0" w:name="_GoBack"/>
            <w:bookmarkEnd w:id="0"/>
          </w:p>
          <w:p>
            <w:pPr>
              <w:widowControl w:val="0"/>
              <w:spacing w:after="0" w:line="336" w:lineRule="auto"/>
              <w:ind w:firstLine="482" w:firstLineChars="200"/>
              <w:jc w:val="both"/>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二、建议</w:t>
            </w:r>
          </w:p>
          <w:p>
            <w:pPr>
              <w:widowControl w:val="0"/>
              <w:spacing w:after="0" w:line="336" w:lineRule="auto"/>
              <w:ind w:firstLine="480" w:firstLineChars="200"/>
              <w:jc w:val="both"/>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1、</w:t>
            </w:r>
            <w:r>
              <w:rPr>
                <w:rFonts w:hint="eastAsia" w:ascii="Times New Roman" w:hAnsi="Times New Roman" w:eastAsia="宋体"/>
                <w:color w:val="000000" w:themeColor="text1"/>
                <w:kern w:val="2"/>
                <w:sz w:val="24"/>
                <w:szCs w:val="24"/>
                <w:lang w:val="en-US" w:eastAsia="zh-CN"/>
                <w14:textFill>
                  <w14:solidFill>
                    <w14:schemeClr w14:val="tx1"/>
                  </w14:solidFill>
                </w14:textFill>
              </w:rPr>
              <w:t>加强危废暂存间的管理</w:t>
            </w:r>
            <w:r>
              <w:rPr>
                <w:rFonts w:hint="eastAsia" w:ascii="Times New Roman" w:hAnsi="Times New Roman" w:eastAsia="宋体"/>
                <w:color w:val="000000" w:themeColor="text1"/>
                <w:kern w:val="2"/>
                <w:sz w:val="24"/>
                <w:szCs w:val="24"/>
                <w14:textFill>
                  <w14:solidFill>
                    <w14:schemeClr w14:val="tx1"/>
                  </w14:solidFill>
                </w14:textFill>
              </w:rPr>
              <w:t>；</w:t>
            </w:r>
          </w:p>
          <w:p>
            <w:pPr>
              <w:spacing w:after="0" w:line="336" w:lineRule="auto"/>
              <w:ind w:firstLine="480" w:firstLineChars="200"/>
              <w:jc w:val="both"/>
              <w:rPr>
                <w:rFonts w:ascii="Times New Roman" w:hAnsi="Times New Roman" w:eastAsia="宋体"/>
                <w:color w:val="000000" w:themeColor="text1"/>
                <w:kern w:val="2"/>
                <w:sz w:val="24"/>
                <w:szCs w:val="24"/>
                <w14:textFill>
                  <w14:solidFill>
                    <w14:schemeClr w14:val="tx1"/>
                  </w14:solidFill>
                </w14:textFill>
              </w:rPr>
            </w:pPr>
            <w:r>
              <w:rPr>
                <w:rFonts w:hint="eastAsia" w:ascii="Times New Roman" w:hAnsi="Times New Roman" w:eastAsia="宋体"/>
                <w:color w:val="000000" w:themeColor="text1"/>
                <w:kern w:val="2"/>
                <w:sz w:val="24"/>
                <w:szCs w:val="24"/>
                <w14:textFill>
                  <w14:solidFill>
                    <w14:schemeClr w14:val="tx1"/>
                  </w14:solidFill>
                </w14:textFill>
              </w:rPr>
              <w:t>2、进一步对厂内及周边区域进行绿化、美化。</w:t>
            </w:r>
          </w:p>
          <w:p>
            <w:pPr>
              <w:spacing w:after="0" w:line="360" w:lineRule="auto"/>
              <w:ind w:firstLine="440" w:firstLineChars="200"/>
              <w:jc w:val="both"/>
              <w:rPr>
                <w:color w:val="000000" w:themeColor="text1"/>
                <w:szCs w:val="20"/>
                <w14:textFill>
                  <w14:solidFill>
                    <w14:schemeClr w14:val="tx1"/>
                  </w14:solidFill>
                </w14:textFill>
              </w:rPr>
            </w:pPr>
          </w:p>
          <w:p>
            <w:pPr>
              <w:pStyle w:val="2"/>
              <w:outlineLvl w:val="1"/>
            </w:pPr>
          </w:p>
          <w:p/>
          <w:p>
            <w:pPr>
              <w:pStyle w:val="2"/>
              <w:outlineLvl w:val="1"/>
            </w:pPr>
          </w:p>
          <w:p/>
          <w:p>
            <w:pPr>
              <w:pStyle w:val="2"/>
              <w:outlineLvl w:val="1"/>
            </w:pPr>
          </w:p>
          <w:p/>
          <w:p>
            <w:pPr>
              <w:pStyle w:val="2"/>
              <w:outlineLvl w:val="1"/>
            </w:pPr>
          </w:p>
          <w:p/>
          <w:p>
            <w:pPr>
              <w:pStyle w:val="2"/>
              <w:outlineLvl w:val="1"/>
            </w:pPr>
          </w:p>
          <w:p/>
          <w:p>
            <w:pPr>
              <w:pStyle w:val="2"/>
              <w:outlineLvl w:val="1"/>
            </w:pPr>
          </w:p>
        </w:tc>
      </w:tr>
    </w:tbl>
    <w:p>
      <w:pPr>
        <w:rPr>
          <w:rFonts w:ascii="Times New Roman" w:hAnsi="Times New Roman"/>
          <w:color w:val="000000" w:themeColor="text1"/>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sz w:val="21"/>
          <w:szCs w:val="21"/>
        </w:rPr>
      </w:pPr>
      <w:r>
        <w:rPr>
          <w:rFonts w:hint="eastAsia"/>
          <w:b/>
          <w:bCs/>
          <w:sz w:val="28"/>
          <w:szCs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line="240" w:lineRule="atLeast"/>
        <w:textAlignment w:val="auto"/>
        <w:outlineLvl w:val="9"/>
        <w:rPr>
          <w:sz w:val="21"/>
          <w:szCs w:val="21"/>
        </w:rPr>
      </w:pPr>
      <w:r>
        <w:rPr>
          <w:rFonts w:hint="eastAsia"/>
          <w:sz w:val="21"/>
          <w:szCs w:val="21"/>
        </w:rPr>
        <w:t>填表单位（盖章）：                                     填表人（签字）：                                         项目经办人（签字）：</w:t>
      </w:r>
    </w:p>
    <w:tbl>
      <w:tblPr>
        <w:tblStyle w:val="20"/>
        <w:tblW w:w="15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
        <w:gridCol w:w="300"/>
        <w:gridCol w:w="1188"/>
        <w:gridCol w:w="780"/>
        <w:gridCol w:w="696"/>
        <w:gridCol w:w="956"/>
        <w:gridCol w:w="244"/>
        <w:gridCol w:w="744"/>
        <w:gridCol w:w="1067"/>
        <w:gridCol w:w="972"/>
        <w:gridCol w:w="304"/>
        <w:gridCol w:w="1211"/>
        <w:gridCol w:w="527"/>
        <w:gridCol w:w="825"/>
        <w:gridCol w:w="1575"/>
        <w:gridCol w:w="902"/>
        <w:gridCol w:w="365"/>
        <w:gridCol w:w="603"/>
        <w:gridCol w:w="611"/>
        <w:gridCol w:w="341"/>
        <w:gridCol w:w="559"/>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30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建设项目</w:t>
            </w: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项目名称</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建筑垃圾再生利用生产新型建筑材料项目</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项目代码</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p>
        </w:tc>
        <w:tc>
          <w:tcPr>
            <w:tcW w:w="1267"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建设地点</w:t>
            </w:r>
          </w:p>
        </w:tc>
        <w:tc>
          <w:tcPr>
            <w:tcW w:w="266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lang w:val="en-US" w:eastAsia="zh-CN"/>
              </w:rPr>
              <w:t>西安市长安区大兆街道三益村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行业类别（分类管理名录）</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C303</w:t>
            </w:r>
            <w:r>
              <w:rPr>
                <w:rFonts w:hint="default" w:ascii="Times New Roman" w:hAnsi="Times New Roman" w:eastAsia="宋体" w:cs="Times New Roman"/>
                <w:b w:val="0"/>
                <w:bCs w:val="0"/>
                <w:color w:val="auto"/>
                <w:sz w:val="18"/>
                <w:szCs w:val="18"/>
                <w:lang w:eastAsia="zh-CN"/>
              </w:rPr>
              <w:t>砖瓦、石材等建筑材料制造</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建设性质</w:t>
            </w:r>
          </w:p>
        </w:tc>
        <w:tc>
          <w:tcPr>
            <w:tcW w:w="6336" w:type="dxa"/>
            <w:gridSpan w:val="9"/>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sym w:font="Wingdings 2" w:char="0052"/>
            </w:r>
            <w:r>
              <w:rPr>
                <w:rFonts w:hint="default" w:ascii="Times New Roman" w:hAnsi="Times New Roman" w:eastAsia="宋体" w:cs="Times New Roman"/>
                <w:b/>
                <w:bCs/>
                <w:color w:val="auto"/>
                <w:sz w:val="18"/>
                <w:szCs w:val="18"/>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设计生产能力</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6000万</w:t>
            </w:r>
            <w:r>
              <w:rPr>
                <w:rFonts w:hint="default" w:ascii="Times New Roman" w:hAnsi="Times New Roman" w:eastAsia="宋体" w:cs="Times New Roman"/>
                <w:b w:val="0"/>
                <w:bCs w:val="0"/>
                <w:color w:val="auto"/>
                <w:sz w:val="18"/>
                <w:szCs w:val="18"/>
              </w:rPr>
              <w:t>块/年</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实际生产能力</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4500万块/年</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环评单位</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安徽通济环保科技有限公司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环评文件审批机关</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西安市环境保护局</w:t>
            </w:r>
            <w:r>
              <w:rPr>
                <w:rFonts w:hint="default" w:ascii="Times New Roman" w:hAnsi="Times New Roman" w:eastAsia="宋体" w:cs="Times New Roman"/>
                <w:b w:val="0"/>
                <w:bCs w:val="0"/>
                <w:color w:val="auto"/>
                <w:sz w:val="18"/>
                <w:szCs w:val="18"/>
                <w:lang w:eastAsia="zh-CN"/>
              </w:rPr>
              <w:t>长安分局</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审批文号</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市环长批复（2018）11号</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环评文件类型</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开工日期</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2018年9月</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竣工日期</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2019年7月</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排污许可证申请时间</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环保设施设计单位</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val="0"/>
                <w:bCs w:val="0"/>
                <w:color w:val="auto"/>
                <w:sz w:val="18"/>
                <w:szCs w:val="18"/>
                <w:lang w:eastAsia="zh-CN"/>
              </w:rPr>
              <w:t>邹平华卫环保科技有限公司</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环保设施施工单位</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eastAsia="zh-CN"/>
              </w:rPr>
              <w:t>邹平华卫环保科技有限公司</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排污许可证编号</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验收单位</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西安永联环保建筑材料有限公司</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环保设施监测单位</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陕西标研环境能源检测咨询有限公司</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验收监测时工况</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投资总概算（万元）</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2355</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环保投资总概算（万元）</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91.8</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所占比例%</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实际总投资（万元）</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1800</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实际环保投资（万元）</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85.2</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所占比例%</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废水治理（万元）</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4.6</w:t>
            </w:r>
          </w:p>
        </w:tc>
        <w:tc>
          <w:tcPr>
            <w:tcW w:w="12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废气治理（万元）</w:t>
            </w:r>
          </w:p>
        </w:tc>
        <w:tc>
          <w:tcPr>
            <w:tcW w:w="74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19.4</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噪声治理（万元）</w:t>
            </w:r>
          </w:p>
        </w:tc>
        <w:tc>
          <w:tcPr>
            <w:tcW w:w="9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4.0</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固体废物治理（万元）</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2.5</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绿化及生态（万元）</w:t>
            </w:r>
          </w:p>
        </w:tc>
        <w:tc>
          <w:tcPr>
            <w:tcW w:w="6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30.2</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其他</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（万元）</w:t>
            </w:r>
          </w:p>
        </w:tc>
        <w:tc>
          <w:tcPr>
            <w:tcW w:w="5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226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新增废水处理设施能力</w:t>
            </w:r>
          </w:p>
        </w:tc>
        <w:tc>
          <w:tcPr>
            <w:tcW w:w="4679" w:type="dxa"/>
            <w:gridSpan w:val="6"/>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204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新增废气处理设施能力</w:t>
            </w:r>
          </w:p>
        </w:tc>
        <w:tc>
          <w:tcPr>
            <w:tcW w:w="24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年平均工作时</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240天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8"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运营单位</w:t>
            </w:r>
          </w:p>
        </w:tc>
        <w:tc>
          <w:tcPr>
            <w:tcW w:w="370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val="0"/>
                <w:bCs w:val="0"/>
                <w:color w:val="auto"/>
                <w:sz w:val="18"/>
                <w:szCs w:val="18"/>
                <w:lang w:val="en-US" w:eastAsia="zh-CN"/>
              </w:rPr>
              <w:t>西安永联环保建筑材料有限公司</w:t>
            </w:r>
          </w:p>
        </w:tc>
        <w:tc>
          <w:tcPr>
            <w:tcW w:w="3839"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运行单位社会统一信用代码（或组织机构代码）</w:t>
            </w: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1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验收时间</w:t>
            </w:r>
          </w:p>
        </w:tc>
        <w:tc>
          <w:tcPr>
            <w:tcW w:w="2066"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2018年11月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污染物排放达标与总量控制（工业建设项目详填）</w:t>
            </w: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原有排放量（1）</w:t>
            </w: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本期工程实际排放浓度（2）</w:t>
            </w: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本期工程允许排放浓度（3）</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本期工程</w:t>
            </w:r>
          </w:p>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产生量（4）</w:t>
            </w: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本期工程自身削减量（5）</w:t>
            </w: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本期工程实际排放量（6）</w:t>
            </w: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本期工程核定排放总量（7）</w:t>
            </w: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本期工程“以新带老”削减量（8）</w:t>
            </w: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全厂实际排放总量（9）</w:t>
            </w: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全厂核定排放总量（10）</w:t>
            </w: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区域平衡替代削减量（11）</w:t>
            </w: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废水</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化学需氧量</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氨氮</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石油类</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废气</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二氧化硫</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烟尘</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工业粉尘</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w:t>
            </w:r>
          </w:p>
        </w:tc>
        <w:tc>
          <w:tcPr>
            <w:tcW w:w="956" w:type="dxa"/>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6.5</w:t>
            </w:r>
          </w:p>
        </w:tc>
        <w:tc>
          <w:tcPr>
            <w:tcW w:w="988" w:type="dxa"/>
            <w:gridSpan w:val="2"/>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120</w:t>
            </w:r>
          </w:p>
        </w:tc>
        <w:tc>
          <w:tcPr>
            <w:tcW w:w="1067" w:type="dxa"/>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0.979</w:t>
            </w:r>
          </w:p>
        </w:tc>
        <w:tc>
          <w:tcPr>
            <w:tcW w:w="1276" w:type="dxa"/>
            <w:gridSpan w:val="2"/>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0.835</w:t>
            </w:r>
          </w:p>
        </w:tc>
        <w:tc>
          <w:tcPr>
            <w:tcW w:w="1211" w:type="dxa"/>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0.144</w:t>
            </w:r>
          </w:p>
        </w:tc>
        <w:tc>
          <w:tcPr>
            <w:tcW w:w="1352" w:type="dxa"/>
            <w:gridSpan w:val="2"/>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1575" w:type="dxa"/>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902" w:type="dxa"/>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0.144</w:t>
            </w:r>
          </w:p>
        </w:tc>
        <w:tc>
          <w:tcPr>
            <w:tcW w:w="968" w:type="dxa"/>
            <w:gridSpan w:val="2"/>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952" w:type="dxa"/>
            <w:gridSpan w:val="2"/>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w:t>
            </w:r>
          </w:p>
        </w:tc>
        <w:tc>
          <w:tcPr>
            <w:tcW w:w="1114" w:type="dxa"/>
            <w:gridSpan w:val="2"/>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氮氧化物</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lang w:val="en-US" w:eastAsia="zh-CN"/>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工业固体废物</w:t>
            </w: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8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与项目有关的其他特征污染物</w:t>
            </w:r>
          </w:p>
        </w:tc>
        <w:tc>
          <w:tcPr>
            <w:tcW w:w="78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8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78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8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78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6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8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7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2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3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95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c>
          <w:tcPr>
            <w:tcW w:w="111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both"/>
              <w:textAlignment w:val="auto"/>
              <w:outlineLvl w:val="9"/>
              <w:rPr>
                <w:rFonts w:hint="default" w:ascii="Times New Roman" w:hAnsi="Times New Roman" w:eastAsia="宋体" w:cs="Times New Roman"/>
                <w:b/>
                <w:bCs/>
                <w:color w:val="auto"/>
                <w:sz w:val="18"/>
                <w:szCs w:val="18"/>
              </w:rPr>
            </w:pPr>
          </w:p>
        </w:tc>
      </w:tr>
    </w:tbl>
    <w:p>
      <w:pPr>
        <w:ind w:left="312" w:leftChars="142" w:firstLine="0" w:firstLineChars="0"/>
        <w:jc w:val="both"/>
        <w:rPr>
          <w:rFonts w:hint="default" w:ascii="Times New Roman" w:hAnsi="Times New Roman" w:eastAsia="宋体" w:cs="Times New Roman"/>
          <w:sz w:val="16"/>
          <w:szCs w:val="16"/>
        </w:rPr>
      </w:pPr>
      <w:r>
        <w:rPr>
          <w:rFonts w:hint="default" w:ascii="Times New Roman" w:hAnsi="Times New Roman" w:eastAsia="宋体" w:cs="Times New Roman"/>
          <w:color w:val="000000"/>
          <w:sz w:val="16"/>
          <w:szCs w:val="16"/>
        </w:rPr>
        <w:t>注：1、排放增减量：（+）</w:t>
      </w:r>
      <w:r>
        <w:rPr>
          <w:rFonts w:hint="default" w:ascii="Times New Roman" w:hAnsi="Times New Roman" w:eastAsia="宋体" w:cs="Times New Roman"/>
          <w:color w:val="000000"/>
          <w:sz w:val="16"/>
          <w:szCs w:val="16"/>
          <w:lang w:eastAsia="zh-CN"/>
        </w:rPr>
        <w:t>表示增加</w:t>
      </w:r>
      <w:r>
        <w:rPr>
          <w:rFonts w:hint="default" w:ascii="Times New Roman" w:hAnsi="Times New Roman" w:eastAsia="宋体" w:cs="Times New Roman"/>
          <w:color w:val="000000"/>
          <w:sz w:val="16"/>
          <w:szCs w:val="16"/>
        </w:rPr>
        <w:t>，（-）表示减少。2、（12）=（6）</w:t>
      </w:r>
      <w:r>
        <w:rPr>
          <w:rFonts w:hint="default" w:ascii="Times New Roman" w:hAnsi="Times New Roman" w:eastAsia="宋体" w:cs="Times New Roman"/>
          <w:color w:val="000000"/>
          <w:sz w:val="16"/>
          <w:szCs w:val="16"/>
          <w:lang w:val="en-US" w:eastAsia="zh-CN"/>
        </w:rPr>
        <w:t>-</w:t>
      </w:r>
      <w:r>
        <w:rPr>
          <w:rFonts w:hint="default" w:ascii="Times New Roman" w:hAnsi="Times New Roman" w:eastAsia="宋体" w:cs="Times New Roman"/>
          <w:color w:val="000000"/>
          <w:sz w:val="16"/>
          <w:szCs w:val="16"/>
        </w:rPr>
        <w:t>（8）</w:t>
      </w:r>
      <w:r>
        <w:rPr>
          <w:rFonts w:hint="default" w:ascii="Times New Roman" w:hAnsi="Times New Roman" w:eastAsia="宋体" w:cs="Times New Roman"/>
          <w:color w:val="000000"/>
          <w:sz w:val="16"/>
          <w:szCs w:val="16"/>
          <w:lang w:val="en-US" w:eastAsia="zh-CN"/>
        </w:rPr>
        <w:t>-</w:t>
      </w:r>
      <w:r>
        <w:rPr>
          <w:rFonts w:hint="default" w:ascii="Times New Roman" w:hAnsi="Times New Roman" w:eastAsia="宋体" w:cs="Times New Roman"/>
          <w:color w:val="000000"/>
          <w:sz w:val="16"/>
          <w:szCs w:val="16"/>
        </w:rPr>
        <w:t>（11），（9）=（4）</w:t>
      </w:r>
      <w:r>
        <w:rPr>
          <w:rFonts w:hint="default" w:ascii="Times New Roman" w:hAnsi="Times New Roman" w:eastAsia="宋体" w:cs="Times New Roman"/>
          <w:color w:val="000000"/>
          <w:sz w:val="16"/>
          <w:szCs w:val="16"/>
          <w:lang w:val="en-US" w:eastAsia="zh-CN"/>
        </w:rPr>
        <w:t>-</w:t>
      </w:r>
      <w:r>
        <w:rPr>
          <w:rFonts w:hint="default" w:ascii="Times New Roman" w:hAnsi="Times New Roman" w:eastAsia="宋体" w:cs="Times New Roman"/>
          <w:color w:val="000000"/>
          <w:sz w:val="16"/>
          <w:szCs w:val="16"/>
        </w:rPr>
        <w:t>（5）-（8）-（11）+（1）。3、计量单位：废水排放量——万吨/年；废气排放量——万标立方米/年；工业固体废物排放量——万吨/年；水污染物排放浓度——毫克/升；大气污染物排放浓度——毫克/立方米；水污染物排放量——吨/年；大气污染物排放量——吨/年。</w:t>
      </w:r>
    </w:p>
    <w:p>
      <w:pPr>
        <w:pStyle w:val="42"/>
        <w:rPr>
          <w:rFonts w:ascii="Times New Roman" w:hAnsiTheme="minorEastAsia" w:eastAsiaTheme="minorEastAsia"/>
          <w:b/>
          <w:color w:val="000000" w:themeColor="text1"/>
          <w:sz w:val="28"/>
          <w:szCs w:val="28"/>
          <w14:textFill>
            <w14:solidFill>
              <w14:schemeClr w14:val="tx1"/>
            </w14:solidFill>
          </w14:textFill>
        </w:rPr>
      </w:pPr>
    </w:p>
    <w:p>
      <w:pPr>
        <w:pStyle w:val="42"/>
        <w:rPr>
          <w:rFonts w:ascii="黑体" w:eastAsia="黑体"/>
          <w:sz w:val="28"/>
        </w:rPr>
      </w:pPr>
      <w:r>
        <w:rPr>
          <w:rFonts w:ascii="Times New Roman" w:hAnsiTheme="minorEastAsia" w:eastAsiaTheme="minorEastAsia"/>
          <w:b/>
          <w:color w:val="000000" w:themeColor="text1"/>
          <w:sz w:val="28"/>
          <w:szCs w:val="28"/>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5626735</wp:posOffset>
                </wp:positionH>
                <wp:positionV relativeFrom="paragraph">
                  <wp:posOffset>466725</wp:posOffset>
                </wp:positionV>
                <wp:extent cx="1009650" cy="295275"/>
                <wp:effectExtent l="9525" t="9525" r="123825" b="323850"/>
                <wp:wrapNone/>
                <wp:docPr id="11" name="自选图形 283"/>
                <wp:cNvGraphicFramePr/>
                <a:graphic xmlns:a="http://schemas.openxmlformats.org/drawingml/2006/main">
                  <a:graphicData uri="http://schemas.microsoft.com/office/word/2010/wordprocessingShape">
                    <wps:wsp>
                      <wps:cNvSpPr/>
                      <wps:spPr>
                        <a:xfrm>
                          <a:off x="0" y="0"/>
                          <a:ext cx="1009650" cy="295275"/>
                        </a:xfrm>
                        <a:prstGeom prst="wedgeRoundRectCallout">
                          <a:avLst>
                            <a:gd name="adj1" fmla="val 57736"/>
                            <a:gd name="adj2" fmla="val 146560"/>
                            <a:gd name="adj3" fmla="val 16667"/>
                          </a:avLst>
                        </a:prstGeom>
                        <a:noFill/>
                        <a:ln w="19050" cap="flat" cmpd="sng">
                          <a:solidFill>
                            <a:srgbClr val="000000"/>
                          </a:solidFill>
                          <a:prstDash val="solid"/>
                          <a:miter/>
                          <a:headEnd type="none" w="med" len="med"/>
                          <a:tailEnd type="none" w="med" len="med"/>
                        </a:ln>
                      </wps:spPr>
                      <wps:txbx>
                        <w:txbxContent>
                          <w:p>
                            <w:pPr>
                              <w:jc w:val="center"/>
                              <w:rPr>
                                <w:rFonts w:ascii="Times New Roman" w:hAnsi="Times New Roman" w:eastAsiaTheme="minorEastAsia"/>
                                <w:b/>
                              </w:rPr>
                            </w:pPr>
                            <w:r>
                              <w:rPr>
                                <w:rFonts w:ascii="Times New Roman" w:hAnsiTheme="minorEastAsia" w:eastAsiaTheme="minorEastAsia"/>
                                <w:b/>
                              </w:rPr>
                              <w:t>项目建设地</w:t>
                            </w:r>
                          </w:p>
                        </w:txbxContent>
                      </wps:txbx>
                      <wps:bodyPr upright="1"/>
                    </wps:wsp>
                  </a:graphicData>
                </a:graphic>
              </wp:anchor>
            </w:drawing>
          </mc:Choice>
          <mc:Fallback>
            <w:pict>
              <v:shape id="自选图形 283" o:spid="_x0000_s1026" o:spt="62" type="#_x0000_t62" style="position:absolute;left:0pt;margin-left:443.05pt;margin-top:36.75pt;height:23.25pt;width:79.5pt;z-index:251767808;mso-width-relative:page;mso-height-relative:page;" filled="f" stroked="t" coordsize="21600,21600" o:gfxdata="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zj7U2gAAAAsBAAAPAAAAAAAAAAEAIAAAACIAAABkcnMvZG93bnJldi54bWxQSwECFAAU&#10;AAAACACHTuJAU3dIoygCAABDBAAADgAAAAAAAAABACAAAAApAQAAZHJzL2Uyb0RvYy54bWxQSwUG&#10;AAAAAAYABgBZAQAAwwUAAAAA&#10;" adj="23271,42457,14400">
                <v:fill on="f" focussize="0,0"/>
                <v:stroke weight="1.5pt" color="#000000" joinstyle="miter"/>
                <v:imagedata o:title=""/>
                <o:lock v:ext="edit" aspectratio="f"/>
                <v:textbox>
                  <w:txbxContent>
                    <w:p>
                      <w:pPr>
                        <w:jc w:val="center"/>
                        <w:rPr>
                          <w:rFonts w:ascii="Times New Roman" w:hAnsi="Times New Roman" w:eastAsiaTheme="minorEastAsia"/>
                          <w:b/>
                        </w:rPr>
                      </w:pPr>
                      <w:r>
                        <w:rPr>
                          <w:rFonts w:ascii="Times New Roman" w:hAnsiTheme="minorEastAsia" w:eastAsiaTheme="minorEastAsia"/>
                          <w:b/>
                        </w:rPr>
                        <w:t>项目建设地</w:t>
                      </w:r>
                    </w:p>
                  </w:txbxContent>
                </v:textbox>
              </v:shape>
            </w:pict>
          </mc:Fallback>
        </mc:AlternateContent>
      </w:r>
      <w:r>
        <w:rPr>
          <w:rFonts w:ascii="Times New Roman" w:hAnsiTheme="minorEastAsia" w:eastAsiaTheme="minorEastAsia"/>
          <w:b/>
          <w:color w:val="000000" w:themeColor="text1"/>
          <w:sz w:val="28"/>
          <w:szCs w:val="28"/>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6816090</wp:posOffset>
                </wp:positionH>
                <wp:positionV relativeFrom="paragraph">
                  <wp:posOffset>1024255</wp:posOffset>
                </wp:positionV>
                <wp:extent cx="124460" cy="116205"/>
                <wp:effectExtent l="13970" t="13970" r="33020" b="22225"/>
                <wp:wrapNone/>
                <wp:docPr id="10" name="椭圆 282"/>
                <wp:cNvGraphicFramePr/>
                <a:graphic xmlns:a="http://schemas.openxmlformats.org/drawingml/2006/main">
                  <a:graphicData uri="http://schemas.microsoft.com/office/word/2010/wordprocessingShape">
                    <wps:wsp>
                      <wps:cNvSpPr/>
                      <wps:spPr>
                        <a:xfrm>
                          <a:off x="0" y="0"/>
                          <a:ext cx="124460" cy="116205"/>
                        </a:xfrm>
                        <a:prstGeom prst="ellipse">
                          <a:avLst/>
                        </a:prstGeom>
                        <a:solidFill>
                          <a:srgbClr val="FFFF00"/>
                        </a:solidFill>
                        <a:ln w="28575" cap="flat" cmpd="sng">
                          <a:solidFill>
                            <a:srgbClr val="00B050"/>
                          </a:solidFill>
                          <a:prstDash val="solid"/>
                          <a:headEnd type="none" w="med" len="med"/>
                          <a:tailEnd type="none" w="med" len="med"/>
                        </a:ln>
                      </wps:spPr>
                      <wps:bodyPr upright="1"/>
                    </wps:wsp>
                  </a:graphicData>
                </a:graphic>
              </wp:anchor>
            </w:drawing>
          </mc:Choice>
          <mc:Fallback>
            <w:pict>
              <v:shape id="椭圆 282" o:spid="_x0000_s1026" o:spt="3" type="#_x0000_t3" style="position:absolute;left:0pt;margin-left:536.7pt;margin-top:80.65pt;height:9.15pt;width:9.8pt;z-index:251766784;mso-width-relative:page;mso-height-relative:page;" fillcolor="#FFFF00" filled="t" stroked="t" coordsize="21600,21600" o:gfxdata="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lowh9oA&#10;AAANAQAADwAAAAAAAAABACAAAAAiAAAAZHJzL2Rvd25yZXYueG1sUEsBAhQAFAAAAAgAh07iQNZl&#10;qjnkAQAAzAMAAA4AAAAAAAAAAQAgAAAAKQEAAGRycy9lMm9Eb2MueG1sUEsFBgAAAAAGAAYAWQEA&#10;AH8FAAAAAA==&#10;">
                <v:fill on="t" focussize="0,0"/>
                <v:stroke weight="2.25pt" color="#00B050" joinstyle="round"/>
                <v:imagedata o:title=""/>
                <o:lock v:ext="edit" aspectratio="f"/>
              </v:shape>
            </w:pict>
          </mc:Fallback>
        </mc:AlternateContent>
      </w:r>
      <w:r>
        <w:rPr>
          <w:rFonts w:ascii="Times New Roman" w:hAnsiTheme="minorEastAsia" w:eastAsiaTheme="minorEastAsia"/>
          <w:b/>
          <w:color w:val="000000" w:themeColor="text1"/>
          <w:sz w:val="28"/>
          <w:szCs w:val="28"/>
          <w14:textFill>
            <w14:solidFill>
              <w14:schemeClr w14:val="tx1"/>
            </w14:solidFill>
          </w14:textFill>
        </w:rPr>
        <w:t>附图</w:t>
      </w:r>
      <w:r>
        <w:rPr>
          <w:rFonts w:ascii="Times New Roman" w:hAnsi="Times New Roman" w:eastAsiaTheme="minorEastAsia"/>
          <w:b/>
          <w:color w:val="000000" w:themeColor="text1"/>
          <w:sz w:val="28"/>
          <w:szCs w:val="28"/>
          <w14:textFill>
            <w14:solidFill>
              <w14:schemeClr w14:val="tx1"/>
            </w14:solidFill>
          </w14:textFill>
        </w:rPr>
        <w:t>1</w:t>
      </w:r>
      <w:r>
        <w:rPr>
          <w:rFonts w:ascii="Times New Roman" w:hAnsiTheme="minorEastAsia" w:eastAsiaTheme="minorEastAsia"/>
          <w:b/>
          <w:color w:val="000000" w:themeColor="text1"/>
          <w:sz w:val="28"/>
          <w:szCs w:val="28"/>
          <w14:textFill>
            <w14:solidFill>
              <w14:schemeClr w14:val="tx1"/>
            </w14:solidFill>
          </w14:textFill>
        </w:rPr>
        <w:t>：项目地理位置图</w:t>
      </w:r>
      <w:r>
        <w:rPr>
          <w:sz w:val="28"/>
        </w:rPr>
        <mc:AlternateContent>
          <mc:Choice Requires="wps">
            <w:drawing>
              <wp:anchor distT="0" distB="0" distL="114300" distR="114300" simplePos="0" relativeHeight="252426240" behindDoc="0" locked="0" layoutInCell="1" allowOverlap="1">
                <wp:simplePos x="0" y="0"/>
                <wp:positionH relativeFrom="column">
                  <wp:posOffset>5715</wp:posOffset>
                </wp:positionH>
                <wp:positionV relativeFrom="paragraph">
                  <wp:posOffset>374015</wp:posOffset>
                </wp:positionV>
                <wp:extent cx="9026525" cy="5195570"/>
                <wp:effectExtent l="13970" t="0" r="27305" b="29210"/>
                <wp:wrapNone/>
                <wp:docPr id="27" name="文本框 27"/>
                <wp:cNvGraphicFramePr/>
                <a:graphic xmlns:a="http://schemas.openxmlformats.org/drawingml/2006/main">
                  <a:graphicData uri="http://schemas.microsoft.com/office/word/2010/wordprocessingShape">
                    <wps:wsp>
                      <wps:cNvSpPr txBox="1"/>
                      <wps:spPr>
                        <a:xfrm>
                          <a:off x="462915" y="1113155"/>
                          <a:ext cx="9026525" cy="5195570"/>
                        </a:xfrm>
                        <a:prstGeom prst="rect">
                          <a:avLst/>
                        </a:prstGeom>
                        <a:no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29.45pt;height:409.1pt;width:710.75pt;z-index:252426240;mso-width-relative:page;mso-height-relative:page;" filled="f" stroked="t" coordsize="21600,21600" o:gfxdata="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MTqttoAAAAIAQAADwAAAAAAAAABACAA&#10;AAAiAAAAZHJzL2Rvd25yZXYueG1sUEsBAhQAFAAAAAgAh07iQGC5rLdEAgAATwQAAA4AAAAAAAAA&#10;AQAgAAAAKQEAAGRycy9lMm9Eb2MueG1sUEsFBgAAAAAGAAYAWQEAAN8FAAAAAA==&#10;">
                <v:fill on="f" focussize="0,0"/>
                <v:stroke weight="2.25pt" color="#000000 [3204]" joinstyle="round"/>
                <v:imagedata o:title=""/>
                <o:lock v:ext="edit" aspectratio="f"/>
                <v:textbox>
                  <w:txbxContent>
                    <w:p>
                      <w:pPr>
                        <w:jc w:val="center"/>
                      </w:pPr>
                    </w:p>
                  </w:txbxContent>
                </v:textbox>
              </v:shape>
            </w:pict>
          </mc:Fallback>
        </mc:AlternateContent>
      </w:r>
    </w:p>
    <w:p>
      <w:pPr>
        <w:pStyle w:val="42"/>
      </w:pPr>
      <w:r>
        <w:rPr>
          <w:rFonts w:ascii="Times New Roman" w:hAnsiTheme="minorEastAsia" w:eastAsiaTheme="minorEastAsia"/>
          <w:b/>
          <w:color w:val="000000" w:themeColor="text1"/>
          <w:sz w:val="28"/>
          <w:szCs w:val="28"/>
          <w14:textFill>
            <w14:solidFill>
              <w14:schemeClr w14:val="tx1"/>
            </w14:solidFill>
          </w14:textFill>
        </w:rPr>
        <mc:AlternateContent>
          <mc:Choice Requires="wps">
            <w:drawing>
              <wp:anchor distT="0" distB="0" distL="114300" distR="114300" simplePos="0" relativeHeight="252425216" behindDoc="0" locked="0" layoutInCell="1" allowOverlap="1">
                <wp:simplePos x="0" y="0"/>
                <wp:positionH relativeFrom="column">
                  <wp:posOffset>4910455</wp:posOffset>
                </wp:positionH>
                <wp:positionV relativeFrom="paragraph">
                  <wp:posOffset>3326130</wp:posOffset>
                </wp:positionV>
                <wp:extent cx="124460" cy="116205"/>
                <wp:effectExtent l="13970" t="13970" r="33020" b="22225"/>
                <wp:wrapNone/>
                <wp:docPr id="3" name="椭圆 3"/>
                <wp:cNvGraphicFramePr/>
                <a:graphic xmlns:a="http://schemas.openxmlformats.org/drawingml/2006/main">
                  <a:graphicData uri="http://schemas.microsoft.com/office/word/2010/wordprocessingShape">
                    <wps:wsp>
                      <wps:cNvSpPr/>
                      <wps:spPr>
                        <a:xfrm>
                          <a:off x="0" y="0"/>
                          <a:ext cx="124460" cy="116205"/>
                        </a:xfrm>
                        <a:prstGeom prst="ellipse">
                          <a:avLst/>
                        </a:prstGeom>
                        <a:solidFill>
                          <a:srgbClr val="FFFF00"/>
                        </a:solidFill>
                        <a:ln w="28575" cap="flat" cmpd="sng">
                          <a:solidFill>
                            <a:srgbClr val="00B05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86.65pt;margin-top:261.9pt;height:9.15pt;width:9.8pt;z-index:252425216;mso-width-relative:page;mso-height-relative:page;" fillcolor="#FFFF00" filled="t" stroked="t" coordsize="21600,21600" o:gfxdata="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1qNIjb&#10;AAAACwEAAA8AAAAAAAAAAQAgAAAAIgAAAGRycy9kb3ducmV2LnhtbFBLAQIUABQAAAAIAIdO4kCK&#10;A2+b5AEAAMkDAAAOAAAAAAAAAAEAIAAAACoBAABkcnMvZTJvRG9jLnhtbFBLBQYAAAAABgAGAFkB&#10;AACABQAAAAA=&#10;">
                <v:fill on="t" focussize="0,0"/>
                <v:stroke weight="2.25pt" color="#00B050" joinstyle="round"/>
                <v:imagedata o:title=""/>
                <o:lock v:ext="edit" aspectratio="f"/>
              </v:shape>
            </w:pict>
          </mc:Fallback>
        </mc:AlternateContent>
      </w:r>
      <w:r>
        <w:rPr>
          <w:rFonts w:ascii="Times New Roman" w:hAnsiTheme="minorEastAsia" w:eastAsiaTheme="minorEastAsia"/>
          <w:b/>
          <w:color w:val="000000" w:themeColor="text1"/>
          <w:sz w:val="28"/>
          <w:szCs w:val="28"/>
          <w14:textFill>
            <w14:solidFill>
              <w14:schemeClr w14:val="tx1"/>
            </w14:solidFill>
          </w14:textFill>
        </w:rPr>
        <mc:AlternateContent>
          <mc:Choice Requires="wps">
            <w:drawing>
              <wp:anchor distT="0" distB="0" distL="114300" distR="114300" simplePos="0" relativeHeight="252315648" behindDoc="0" locked="0" layoutInCell="1" allowOverlap="1">
                <wp:simplePos x="0" y="0"/>
                <wp:positionH relativeFrom="column">
                  <wp:posOffset>3764915</wp:posOffset>
                </wp:positionH>
                <wp:positionV relativeFrom="paragraph">
                  <wp:posOffset>2724785</wp:posOffset>
                </wp:positionV>
                <wp:extent cx="1009650" cy="309880"/>
                <wp:effectExtent l="9525" t="9525" r="123825" b="347345"/>
                <wp:wrapNone/>
                <wp:docPr id="2" name="圆角矩形标注 2"/>
                <wp:cNvGraphicFramePr/>
                <a:graphic xmlns:a="http://schemas.openxmlformats.org/drawingml/2006/main">
                  <a:graphicData uri="http://schemas.microsoft.com/office/word/2010/wordprocessingShape">
                    <wps:wsp>
                      <wps:cNvSpPr/>
                      <wps:spPr>
                        <a:xfrm>
                          <a:off x="0" y="0"/>
                          <a:ext cx="1009650" cy="309880"/>
                        </a:xfrm>
                        <a:prstGeom prst="wedgeRoundRectCallout">
                          <a:avLst>
                            <a:gd name="adj1" fmla="val 57736"/>
                            <a:gd name="adj2" fmla="val 146560"/>
                            <a:gd name="adj3" fmla="val 16667"/>
                          </a:avLst>
                        </a:prstGeom>
                        <a:noFill/>
                        <a:ln w="19050" cap="flat" cmpd="sng">
                          <a:solidFill>
                            <a:srgbClr val="000000"/>
                          </a:solidFill>
                          <a:prstDash val="solid"/>
                          <a:miter/>
                          <a:headEnd type="none" w="med" len="med"/>
                          <a:tailEnd type="none" w="med" len="med"/>
                        </a:ln>
                      </wps:spPr>
                      <wps:txbx>
                        <w:txbxContent>
                          <w:p>
                            <w:pPr>
                              <w:jc w:val="center"/>
                              <w:rPr>
                                <w:rFonts w:ascii="Times New Roman" w:hAnsi="Times New Roman" w:eastAsiaTheme="minorEastAsia"/>
                                <w:b/>
                              </w:rPr>
                            </w:pPr>
                            <w:r>
                              <w:rPr>
                                <w:rFonts w:ascii="Times New Roman" w:hAnsiTheme="minorEastAsia" w:eastAsiaTheme="minorEastAsia"/>
                                <w:b/>
                              </w:rPr>
                              <w:t>项目建设地</w:t>
                            </w:r>
                          </w:p>
                        </w:txbxContent>
                      </wps:txbx>
                      <wps:bodyPr upright="1"/>
                    </wps:wsp>
                  </a:graphicData>
                </a:graphic>
              </wp:anchor>
            </w:drawing>
          </mc:Choice>
          <mc:Fallback>
            <w:pict>
              <v:shape id="_x0000_s1026" o:spid="_x0000_s1026" o:spt="62" type="#_x0000_t62" style="position:absolute;left:0pt;margin-left:296.45pt;margin-top:214.55pt;height:24.4pt;width:79.5pt;z-index:252315648;mso-width-relative:page;mso-height-relative:page;" filled="f" stroked="t" coordsize="21600,21600" o:gfxdata="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A18TP2gAAAAsBAAAPAAAAAAAAAAEAIAAAACIAAABkcnMvZG93bnJldi54&#10;bWxQSwECFAAUAAAACACHTuJAOA2o7TECAABGBAAADgAAAAAAAAABACAAAAApAQAAZHJzL2Uyb0Rv&#10;Yy54bWxQSwUGAAAAAAYABgBZAQAAzAUAAAAA&#10;" adj="23271,42457,14400">
                <v:fill on="f" focussize="0,0"/>
                <v:stroke weight="1.5pt" color="#000000" joinstyle="miter"/>
                <v:imagedata o:title=""/>
                <o:lock v:ext="edit" aspectratio="f"/>
                <v:textbox>
                  <w:txbxContent>
                    <w:p>
                      <w:pPr>
                        <w:jc w:val="center"/>
                        <w:rPr>
                          <w:rFonts w:ascii="Times New Roman" w:hAnsi="Times New Roman" w:eastAsiaTheme="minorEastAsia"/>
                          <w:b/>
                        </w:rPr>
                      </w:pPr>
                      <w:r>
                        <w:rPr>
                          <w:rFonts w:ascii="Times New Roman" w:hAnsiTheme="minorEastAsia" w:eastAsiaTheme="minorEastAsia"/>
                          <w:b/>
                        </w:rPr>
                        <w:t>项目建设地</w:t>
                      </w:r>
                    </w:p>
                  </w:txbxContent>
                </v:textbox>
              </v:shape>
            </w:pict>
          </mc:Fallback>
        </mc:AlternateContent>
      </w:r>
      <w:r>
        <w:drawing>
          <wp:inline distT="0" distB="0" distL="114300" distR="114300">
            <wp:extent cx="9012555" cy="5139055"/>
            <wp:effectExtent l="0" t="0" r="1714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9012555" cy="5139055"/>
                    </a:xfrm>
                    <a:prstGeom prst="rect">
                      <a:avLst/>
                    </a:prstGeom>
                    <a:noFill/>
                    <a:ln w="9525">
                      <a:noFill/>
                    </a:ln>
                  </pic:spPr>
                </pic:pic>
              </a:graphicData>
            </a:graphic>
          </wp:inline>
        </w:drawing>
      </w:r>
    </w:p>
    <w:p>
      <w:pPr>
        <w:pStyle w:val="42"/>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42"/>
        <w:rPr>
          <w:rFonts w:ascii="黑体" w:eastAsia="黑体"/>
          <w:sz w:val="28"/>
        </w:rPr>
      </w:pPr>
      <w:r>
        <w:rPr>
          <w:sz w:val="28"/>
        </w:rPr>
        <mc:AlternateContent>
          <mc:Choice Requires="wps">
            <w:drawing>
              <wp:anchor distT="0" distB="0" distL="114300" distR="114300" simplePos="0" relativeHeight="252650496" behindDoc="0" locked="0" layoutInCell="1" allowOverlap="1">
                <wp:simplePos x="0" y="0"/>
                <wp:positionH relativeFrom="column">
                  <wp:posOffset>34925</wp:posOffset>
                </wp:positionH>
                <wp:positionV relativeFrom="paragraph">
                  <wp:posOffset>410210</wp:posOffset>
                </wp:positionV>
                <wp:extent cx="9230995" cy="4998085"/>
                <wp:effectExtent l="13970" t="0" r="32385" b="17145"/>
                <wp:wrapSquare wrapText="bothSides"/>
                <wp:docPr id="28" name="文本框 28"/>
                <wp:cNvGraphicFramePr/>
                <a:graphic xmlns:a="http://schemas.openxmlformats.org/drawingml/2006/main">
                  <a:graphicData uri="http://schemas.microsoft.com/office/word/2010/wordprocessingShape">
                    <wps:wsp>
                      <wps:cNvSpPr txBox="1"/>
                      <wps:spPr>
                        <a:xfrm>
                          <a:off x="0" y="0"/>
                          <a:ext cx="9230995" cy="4998085"/>
                        </a:xfrm>
                        <a:prstGeom prst="rect">
                          <a:avLst/>
                        </a:prstGeom>
                        <a:no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9084945" cy="4888865"/>
                                  <wp:effectExtent l="0" t="0" r="190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9084945" cy="488886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32.3pt;height:393.55pt;width:726.85pt;mso-wrap-distance-bottom:0pt;mso-wrap-distance-left:9pt;mso-wrap-distance-right:9pt;mso-wrap-distance-top:0pt;z-index:252650496;mso-width-relative:page;mso-height-relative:page;" filled="f" stroked="t" coordsize="21600,21600" o:gfxdata="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s/SraAAAACQEAAA8AAAAAAAAAAQAgAAAAIgAAAGRycy9kb3du&#10;cmV2LnhtbFBLAQIUABQAAAAIAIdO4kAeqDIpNgIAAEQEAAAOAAAAAAAAAAEAIAAAACkBAABkcnMv&#10;ZTJvRG9jLnhtbFBLBQYAAAAABgAGAFkBAADRBQAAAAA=&#10;">
                <v:fill on="f" focussize="0,0"/>
                <v:stroke weight="2.25pt" color="#000000 [3204]" joinstyle="round"/>
                <v:imagedata o:title=""/>
                <o:lock v:ext="edit" aspectratio="f"/>
                <v:textbox>
                  <w:txbxContent>
                    <w:p>
                      <w:r>
                        <w:drawing>
                          <wp:inline distT="0" distB="0" distL="114300" distR="114300">
                            <wp:extent cx="9084945" cy="4888865"/>
                            <wp:effectExtent l="0" t="0" r="190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9084945" cy="4888865"/>
                                    </a:xfrm>
                                    <a:prstGeom prst="rect">
                                      <a:avLst/>
                                    </a:prstGeom>
                                    <a:noFill/>
                                    <a:ln w="9525">
                                      <a:noFill/>
                                    </a:ln>
                                  </pic:spPr>
                                </pic:pic>
                              </a:graphicData>
                            </a:graphic>
                          </wp:inline>
                        </w:drawing>
                      </w:r>
                    </w:p>
                  </w:txbxContent>
                </v:textbox>
                <w10:wrap type="square"/>
              </v:shape>
            </w:pict>
          </mc:Fallback>
        </mc:AlternateContent>
      </w:r>
      <w:r>
        <w:rPr>
          <w:rFonts w:ascii="Times New Roman" w:hAnsiTheme="minorEastAsia" w:eastAsiaTheme="minorEastAsia"/>
          <w:b/>
          <w:color w:val="000000" w:themeColor="text1"/>
          <w:sz w:val="28"/>
          <w:szCs w:val="28"/>
          <w14:textFill>
            <w14:solidFill>
              <w14:schemeClr w14:val="tx1"/>
            </w14:solidFill>
          </w14:textFill>
        </w:rPr>
        <w:t>附图</w:t>
      </w:r>
      <w:r>
        <w:rPr>
          <w:rFonts w:hint="eastAsia" w:hAnsiTheme="minorEastAsia" w:eastAsiaTheme="minorEastAsia"/>
          <w:b/>
          <w:color w:val="000000" w:themeColor="text1"/>
          <w:sz w:val="28"/>
          <w:szCs w:val="28"/>
          <w:lang w:val="en-US" w:eastAsia="zh-CN"/>
          <w14:textFill>
            <w14:solidFill>
              <w14:schemeClr w14:val="tx1"/>
            </w14:solidFill>
          </w14:textFill>
        </w:rPr>
        <w:t>2</w:t>
      </w:r>
      <w:r>
        <w:rPr>
          <w:rFonts w:ascii="Times New Roman" w:hAnsiTheme="minorEastAsia" w:eastAsiaTheme="minorEastAsia"/>
          <w:b/>
          <w:color w:val="000000" w:themeColor="text1"/>
          <w:sz w:val="28"/>
          <w:szCs w:val="28"/>
          <w14:textFill>
            <w14:solidFill>
              <w14:schemeClr w14:val="tx1"/>
            </w14:solidFill>
          </w14:textFill>
        </w:rPr>
        <w:t>：项目</w:t>
      </w:r>
      <w:r>
        <w:rPr>
          <w:rFonts w:hint="eastAsia" w:hAnsiTheme="minorEastAsia" w:eastAsiaTheme="minorEastAsia"/>
          <w:b/>
          <w:color w:val="000000" w:themeColor="text1"/>
          <w:sz w:val="28"/>
          <w:szCs w:val="28"/>
          <w:lang w:val="en-US" w:eastAsia="zh-CN"/>
          <w14:textFill>
            <w14:solidFill>
              <w14:schemeClr w14:val="tx1"/>
            </w14:solidFill>
          </w14:textFill>
        </w:rPr>
        <w:t>四邻关系</w:t>
      </w:r>
      <w:r>
        <w:rPr>
          <w:rFonts w:ascii="Times New Roman" w:hAnsiTheme="minorEastAsia" w:eastAsiaTheme="minorEastAsia"/>
          <w:b/>
          <w:color w:val="000000" w:themeColor="text1"/>
          <w:sz w:val="28"/>
          <w:szCs w:val="28"/>
          <w14:textFill>
            <w14:solidFill>
              <w14:schemeClr w14:val="tx1"/>
            </w14:solidFill>
          </w14:textFill>
        </w:rPr>
        <w:t>图</w:t>
      </w:r>
    </w:p>
    <w:p>
      <w:pPr>
        <w:pStyle w:val="42"/>
        <w:sectPr>
          <w:pgSz w:w="16838" w:h="11906" w:orient="landscape"/>
          <w:pgMar w:top="720" w:right="720" w:bottom="720" w:left="72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42"/>
        <w:rPr>
          <w:rFonts w:hint="eastAsia" w:ascii="黑体" w:eastAsiaTheme="minorEastAsia"/>
          <w:sz w:val="28"/>
          <w:lang w:val="en-US" w:eastAsia="zh-CN"/>
        </w:rPr>
      </w:pPr>
      <w:r>
        <w:rPr>
          <w:sz w:val="24"/>
        </w:rPr>
        <mc:AlternateContent>
          <mc:Choice Requires="wps">
            <w:drawing>
              <wp:anchor distT="0" distB="0" distL="114300" distR="114300" simplePos="0" relativeHeight="252652544" behindDoc="0" locked="0" layoutInCell="1" allowOverlap="1">
                <wp:simplePos x="0" y="0"/>
                <wp:positionH relativeFrom="column">
                  <wp:posOffset>-107315</wp:posOffset>
                </wp:positionH>
                <wp:positionV relativeFrom="paragraph">
                  <wp:posOffset>251460</wp:posOffset>
                </wp:positionV>
                <wp:extent cx="9180830" cy="5275580"/>
                <wp:effectExtent l="13970" t="0" r="25400" b="25400"/>
                <wp:wrapNone/>
                <wp:docPr id="12" name="文本框 12"/>
                <wp:cNvGraphicFramePr/>
                <a:graphic xmlns:a="http://schemas.openxmlformats.org/drawingml/2006/main">
                  <a:graphicData uri="http://schemas.microsoft.com/office/word/2010/wordprocessingShape">
                    <wps:wsp>
                      <wps:cNvSpPr txBox="1"/>
                      <wps:spPr>
                        <a:xfrm>
                          <a:off x="793115" y="1261745"/>
                          <a:ext cx="9180830" cy="5275580"/>
                        </a:xfrm>
                        <a:prstGeom prst="rect">
                          <a:avLst/>
                        </a:prstGeom>
                        <a:no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19.8pt;height:415.4pt;width:722.9pt;z-index:252652544;mso-width-relative:page;mso-height-relative:page;" filled="f" stroked="t" coordsize="21600,21600" o:gfxdata="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M/stC3AAAAAsBAAAPAAAAAAAAAAEA&#10;IAAAACIAAABkcnMvZG93bnJldi54bWxQSwECFAAUAAAACACHTuJA9WxB7EQCAABPBAAADgAAAAAA&#10;AAABACAAAAArAQAAZHJzL2Uyb0RvYy54bWxQSwUGAAAAAAYABgBZAQAA4QUAAAAA&#10;">
                <v:fill on="f" focussize="0,0"/>
                <v:stroke weight="2.25pt" color="#000000 [3204]" joinstyle="round"/>
                <v:imagedata o:title=""/>
                <o:lock v:ext="edit" aspectratio="f"/>
                <v:textbox>
                  <w:txbxContent>
                    <w:p/>
                  </w:txbxContent>
                </v:textbox>
              </v:shape>
            </w:pict>
          </mc:Fallback>
        </mc:AlternateContent>
      </w:r>
      <w:r>
        <w:drawing>
          <wp:anchor distT="0" distB="0" distL="114300" distR="114300" simplePos="0" relativeHeight="252651520" behindDoc="0" locked="0" layoutInCell="1" allowOverlap="1">
            <wp:simplePos x="0" y="0"/>
            <wp:positionH relativeFrom="column">
              <wp:posOffset>-43815</wp:posOffset>
            </wp:positionH>
            <wp:positionV relativeFrom="paragraph">
              <wp:posOffset>293370</wp:posOffset>
            </wp:positionV>
            <wp:extent cx="9063990" cy="4972685"/>
            <wp:effectExtent l="0" t="0" r="3810" b="1841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9063990" cy="4972685"/>
                    </a:xfrm>
                    <a:prstGeom prst="rect">
                      <a:avLst/>
                    </a:prstGeom>
                    <a:noFill/>
                    <a:ln w="9525">
                      <a:noFill/>
                    </a:ln>
                  </pic:spPr>
                </pic:pic>
              </a:graphicData>
            </a:graphic>
          </wp:anchor>
        </w:drawing>
      </w:r>
      <w:r>
        <w:rPr>
          <w:rFonts w:ascii="Times New Roman" w:hAnsiTheme="minorEastAsia" w:eastAsiaTheme="minorEastAsia"/>
          <w:b/>
          <w:color w:val="000000" w:themeColor="text1"/>
          <w:sz w:val="28"/>
          <w:szCs w:val="28"/>
          <w14:textFill>
            <w14:solidFill>
              <w14:schemeClr w14:val="tx1"/>
            </w14:solidFill>
          </w14:textFill>
        </w:rPr>
        <w:t>附图</w:t>
      </w:r>
      <w:r>
        <w:rPr>
          <w:rFonts w:hint="eastAsia" w:hAnsiTheme="minorEastAsia" w:eastAsiaTheme="minorEastAsia"/>
          <w:b/>
          <w:color w:val="000000" w:themeColor="text1"/>
          <w:sz w:val="28"/>
          <w:szCs w:val="28"/>
          <w:lang w:val="en-US" w:eastAsia="zh-CN"/>
          <w14:textFill>
            <w14:solidFill>
              <w14:schemeClr w14:val="tx1"/>
            </w14:solidFill>
          </w14:textFill>
        </w:rPr>
        <w:t>3</w:t>
      </w:r>
      <w:r>
        <w:rPr>
          <w:rFonts w:ascii="Times New Roman" w:hAnsiTheme="minorEastAsia" w:eastAsiaTheme="minorEastAsia"/>
          <w:b/>
          <w:color w:val="000000" w:themeColor="text1"/>
          <w:sz w:val="28"/>
          <w:szCs w:val="28"/>
          <w14:textFill>
            <w14:solidFill>
              <w14:schemeClr w14:val="tx1"/>
            </w14:solidFill>
          </w14:textFill>
        </w:rPr>
        <w:t>：项目</w:t>
      </w:r>
      <w:r>
        <w:rPr>
          <w:rFonts w:hint="eastAsia" w:hAnsiTheme="minorEastAsia" w:eastAsiaTheme="minorEastAsia"/>
          <w:b/>
          <w:color w:val="000000" w:themeColor="text1"/>
          <w:sz w:val="28"/>
          <w:szCs w:val="28"/>
          <w:lang w:val="en-US" w:eastAsia="zh-CN"/>
          <w14:textFill>
            <w14:solidFill>
              <w14:schemeClr w14:val="tx1"/>
            </w14:solidFill>
          </w14:textFill>
        </w:rPr>
        <w:t>厂区平面布置图</w:t>
      </w:r>
    </w:p>
    <w:p>
      <w:pPr>
        <w:rPr>
          <w:rFonts w:ascii="Times New Roman" w:hAnsiTheme="minorEastAsia" w:eastAsiaTheme="minorEastAsia"/>
          <w:b/>
          <w:color w:val="000000" w:themeColor="text1"/>
          <w:sz w:val="28"/>
          <w:szCs w:val="28"/>
          <w14:textFill>
            <w14:solidFill>
              <w14:schemeClr w14:val="tx1"/>
            </w14:solidFill>
          </w14:textFill>
        </w:rPr>
        <w:sectPr>
          <w:headerReference r:id="rId6" w:type="default"/>
          <w:footerReference r:id="rId7" w:type="default"/>
          <w:pgSz w:w="16840" w:h="11907" w:orient="landscape"/>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p>
    <w:p>
      <w:pPr>
        <w:rPr>
          <w:rFonts w:ascii="Times New Roman" w:hAnsi="Times New Roman" w:eastAsiaTheme="minorEastAsia"/>
          <w:snapToGrid w:val="0"/>
          <w:color w:val="000000" w:themeColor="text1"/>
          <w:w w:val="0"/>
          <w:sz w:val="0"/>
          <w:szCs w:val="0"/>
          <w:u w:color="000000"/>
          <w:shd w:val="clear" w:color="000000" w:fill="000000"/>
          <w14:textFill>
            <w14:solidFill>
              <w14:schemeClr w14:val="tx1"/>
            </w14:solidFill>
          </w14:textFill>
        </w:rPr>
      </w:pPr>
      <w:r>
        <w:rPr>
          <w:rFonts w:ascii="Times New Roman" w:hAnsi="Times New Roman" w:eastAsiaTheme="minorEastAsia"/>
          <w:b/>
          <w:color w:val="000000" w:themeColor="text1"/>
          <w:sz w:val="21"/>
          <w:szCs w:val="2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3890645</wp:posOffset>
                </wp:positionH>
                <wp:positionV relativeFrom="paragraph">
                  <wp:posOffset>6314440</wp:posOffset>
                </wp:positionV>
                <wp:extent cx="1543050" cy="485775"/>
                <wp:effectExtent l="0" t="0" r="0" b="9525"/>
                <wp:wrapNone/>
                <wp:docPr id="9" name="矩形 104"/>
                <wp:cNvGraphicFramePr/>
                <a:graphic xmlns:a="http://schemas.openxmlformats.org/drawingml/2006/main">
                  <a:graphicData uri="http://schemas.microsoft.com/office/word/2010/wordprocessingShape">
                    <wps:wsp>
                      <wps:cNvSpPr/>
                      <wps:spPr>
                        <a:xfrm>
                          <a:off x="0" y="0"/>
                          <a:ext cx="1543050" cy="485775"/>
                        </a:xfrm>
                        <a:prstGeom prst="rect">
                          <a:avLst/>
                        </a:prstGeom>
                        <a:solidFill>
                          <a:srgbClr val="FFFFFF"/>
                        </a:solidFill>
                        <a:ln w="9525">
                          <a:noFill/>
                        </a:ln>
                      </wps:spPr>
                      <wps:bodyPr upright="1"/>
                    </wps:wsp>
                  </a:graphicData>
                </a:graphic>
              </wp:anchor>
            </w:drawing>
          </mc:Choice>
          <mc:Fallback>
            <w:pict>
              <v:rect id="矩形 104" o:spid="_x0000_s1026" o:spt="1" style="position:absolute;left:0pt;margin-left:306.35pt;margin-top:497.2pt;height:38.25pt;width:121.5pt;z-index:251736064;mso-width-relative:page;mso-height-relative:page;" fillcolor="#FFFFFF" filled="t" stroked="f" coordsize="21600,21600" o:gfxdata="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yUcyXZAAAADAEAAA8AAAAAAAAA&#10;AQAgAAAAIgAAAGRycy9kb3ducmV2LnhtbFBLAQIUABQAAAAIAIdO4kAkE9zungEAABwDAAAOAAAA&#10;AAAAAAEAIAAAACgBAABkcnMvZTJvRG9jLnhtbFBLBQYAAAAABgAGAFkBAAA4BQAAAAA=&#10;">
                <v:fill on="t" focussize="0,0"/>
                <v:stroke on="f"/>
                <v:imagedata o:title=""/>
                <o:lock v:ext="edit" aspectratio="f"/>
              </v:rect>
            </w:pict>
          </mc:Fallback>
        </mc:AlternateContent>
      </w:r>
      <w:r>
        <w:rPr>
          <w:rFonts w:ascii="Times New Roman" w:hAnsi="Times New Roman" w:eastAsiaTheme="minorEastAsia"/>
          <w:b/>
          <w:color w:val="000000" w:themeColor="text1"/>
          <w:sz w:val="21"/>
          <w:szCs w:val="2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356870</wp:posOffset>
                </wp:positionH>
                <wp:positionV relativeFrom="paragraph">
                  <wp:posOffset>6838315</wp:posOffset>
                </wp:positionV>
                <wp:extent cx="1181100" cy="676275"/>
                <wp:effectExtent l="0" t="0" r="0" b="9525"/>
                <wp:wrapNone/>
                <wp:docPr id="8" name="矩形 103"/>
                <wp:cNvGraphicFramePr/>
                <a:graphic xmlns:a="http://schemas.openxmlformats.org/drawingml/2006/main">
                  <a:graphicData uri="http://schemas.microsoft.com/office/word/2010/wordprocessingShape">
                    <wps:wsp>
                      <wps:cNvSpPr/>
                      <wps:spPr>
                        <a:xfrm>
                          <a:off x="0" y="0"/>
                          <a:ext cx="1181100" cy="676275"/>
                        </a:xfrm>
                        <a:prstGeom prst="rect">
                          <a:avLst/>
                        </a:prstGeom>
                        <a:solidFill>
                          <a:srgbClr val="FFFFFF"/>
                        </a:solidFill>
                        <a:ln w="9525">
                          <a:noFill/>
                        </a:ln>
                      </wps:spPr>
                      <wps:bodyPr upright="1"/>
                    </wps:wsp>
                  </a:graphicData>
                </a:graphic>
              </wp:anchor>
            </w:drawing>
          </mc:Choice>
          <mc:Fallback>
            <w:pict>
              <v:rect id="矩形 103" o:spid="_x0000_s1026" o:spt="1" style="position:absolute;left:0pt;margin-left:28.1pt;margin-top:538.45pt;height:53.25pt;width:93pt;z-index:251735040;mso-width-relative:page;mso-height-relative:page;" fillcolor="#FFFFFF" filled="t" stroked="f" coordsize="21600,21600" o:gfxdata="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5cS7dgAAAAMAQAADwAAAAAAAAAB&#10;ACAAAAAiAAAAZHJzL2Rvd25yZXYueG1sUEsBAhQAFAAAAAgAh07iQDICY9+eAQAAHAMAAA4AAAAA&#10;AAAAAQAgAAAAJwEAAGRycy9lMm9Eb2MueG1sUEsFBgAAAAAGAAYAWQEAADcFAAAAAA==&#10;">
                <v:fill on="t" focussize="0,0"/>
                <v:stroke on="f"/>
                <v:imagedata o:title=""/>
                <o:lock v:ext="edit" aspectratio="f"/>
              </v:rect>
            </w:pict>
          </mc:Fallback>
        </mc:AlternateContent>
      </w:r>
      <w:r>
        <w:rPr>
          <w:rFonts w:ascii="Times New Roman" w:hAnsi="Times New Roman" w:eastAsiaTheme="minorEastAsia"/>
          <w:b/>
          <w:color w:val="000000" w:themeColor="text1"/>
          <w:sz w:val="21"/>
          <w:szCs w:val="2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3623945</wp:posOffset>
                </wp:positionH>
                <wp:positionV relativeFrom="paragraph">
                  <wp:posOffset>713740</wp:posOffset>
                </wp:positionV>
                <wp:extent cx="466725" cy="276225"/>
                <wp:effectExtent l="0" t="0" r="9525" b="9525"/>
                <wp:wrapNone/>
                <wp:docPr id="7" name="矩形 102"/>
                <wp:cNvGraphicFramePr/>
                <a:graphic xmlns:a="http://schemas.openxmlformats.org/drawingml/2006/main">
                  <a:graphicData uri="http://schemas.microsoft.com/office/word/2010/wordprocessingShape">
                    <wps:wsp>
                      <wps:cNvSpPr/>
                      <wps:spPr>
                        <a:xfrm>
                          <a:off x="0" y="0"/>
                          <a:ext cx="466725" cy="276225"/>
                        </a:xfrm>
                        <a:prstGeom prst="rect">
                          <a:avLst/>
                        </a:prstGeom>
                        <a:solidFill>
                          <a:srgbClr val="FFFFFF"/>
                        </a:solidFill>
                        <a:ln w="9525">
                          <a:noFill/>
                        </a:ln>
                      </wps:spPr>
                      <wps:bodyPr upright="1"/>
                    </wps:wsp>
                  </a:graphicData>
                </a:graphic>
              </wp:anchor>
            </w:drawing>
          </mc:Choice>
          <mc:Fallback>
            <w:pict>
              <v:rect id="矩形 102" o:spid="_x0000_s1026" o:spt="1" style="position:absolute;left:0pt;margin-left:285.35pt;margin-top:56.2pt;height:21.75pt;width:36.75pt;z-index:251734016;mso-width-relative:page;mso-height-relative:page;" fillcolor="#FFFFFF" filled="t" stroked="f" coordsize="21600,21600" o:gfxdata="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zeDcdgAAAALAQAADwAAAAAAAAAB&#10;ACAAAAAiAAAAZHJzL2Rvd25yZXYueG1sUEsBAhQAFAAAAAgAh07iQIA3pwieAQAAGwMAAA4AAAAA&#10;AAAAAQAgAAAAJwEAAGRycy9lMm9Eb2MueG1sUEsFBgAAAAAGAAYAWQEAADcFAAAAAA==&#10;">
                <v:fill on="t" focussize="0,0"/>
                <v:stroke on="f"/>
                <v:imagedata o:title=""/>
                <o:lock v:ext="edit" aspectratio="f"/>
              </v:rect>
            </w:pict>
          </mc:Fallback>
        </mc:AlternateContent>
      </w:r>
    </w:p>
    <w:sectPr>
      <w:pgSz w:w="16840" w:h="11907" w:orient="landscape"/>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285172"/>
    </w:sdtPr>
    <w:sdtEndPr>
      <w:rPr>
        <w:rFonts w:ascii="Times New Roman" w:hAnsi="Times New Roman" w:cs="Times New Roman"/>
        <w:sz w:val="21"/>
        <w:szCs w:val="21"/>
      </w:rPr>
    </w:sdtEndPr>
    <w:sdtContent>
      <w:p>
        <w:pPr>
          <w:pStyle w:val="13"/>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12</w:t>
        </w:r>
        <w:r>
          <w:rPr>
            <w:rFonts w:ascii="Times New Roman" w:hAnsi="Times New Roman" w:cs="Times New Roman"/>
            <w:sz w:val="21"/>
            <w:szCs w:val="21"/>
          </w:rPr>
          <w:fldChar w:fldCharType="end"/>
        </w:r>
      </w:p>
    </w:sdtContent>
  </w:sdt>
  <w:p>
    <w:pPr>
      <w:pStyle w:val="1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3221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4"/>
                            <w:rPr>
                              <w:rFonts w:eastAsia="微软雅黑"/>
                            </w:rP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3221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n&#10;D9HFtwEAAFUDAAAOAAAAAAAAAAEAIAAAAB4BAABkcnMvZTJvRG9jLnhtbFBLBQYAAAAABgAGAFkB&#10;AABHBQAAAAA=&#10;">
              <v:fill on="f" focussize="0,0"/>
              <v:stroke on="f"/>
              <v:imagedata o:title=""/>
              <o:lock v:ext="edit" aspectratio="f"/>
              <v:textbox inset="0mm,0mm,0mm,0mm" style="mso-fit-shape-to-text:t;">
                <w:txbxContent>
                  <w:p>
                    <w:pPr>
                      <w:pStyle w:val="14"/>
                      <w:rPr>
                        <w:rFonts w:eastAsia="微软雅黑"/>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4BF19D"/>
    <w:multiLevelType w:val="singleLevel"/>
    <w:tmpl w:val="A44BF19D"/>
    <w:lvl w:ilvl="0" w:tentative="0">
      <w:start w:val="1"/>
      <w:numFmt w:val="decimal"/>
      <w:suff w:val="nothing"/>
      <w:lvlText w:val="（%1）"/>
      <w:lvlJc w:val="left"/>
      <w:pPr>
        <w:ind w:left="48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6E1"/>
    <w:rsid w:val="00000254"/>
    <w:rsid w:val="000017D6"/>
    <w:rsid w:val="00011C0B"/>
    <w:rsid w:val="00017210"/>
    <w:rsid w:val="0002015D"/>
    <w:rsid w:val="000262D0"/>
    <w:rsid w:val="0003123D"/>
    <w:rsid w:val="00032AE9"/>
    <w:rsid w:val="00034293"/>
    <w:rsid w:val="000348BD"/>
    <w:rsid w:val="00035535"/>
    <w:rsid w:val="0003789A"/>
    <w:rsid w:val="000378EA"/>
    <w:rsid w:val="00037C75"/>
    <w:rsid w:val="00040104"/>
    <w:rsid w:val="0004250A"/>
    <w:rsid w:val="00042FDD"/>
    <w:rsid w:val="0004663D"/>
    <w:rsid w:val="00047816"/>
    <w:rsid w:val="00057AC5"/>
    <w:rsid w:val="00066305"/>
    <w:rsid w:val="00071055"/>
    <w:rsid w:val="000729D0"/>
    <w:rsid w:val="00082532"/>
    <w:rsid w:val="00082C09"/>
    <w:rsid w:val="00085125"/>
    <w:rsid w:val="00086469"/>
    <w:rsid w:val="000872FC"/>
    <w:rsid w:val="0009171A"/>
    <w:rsid w:val="00091AC5"/>
    <w:rsid w:val="00092AB8"/>
    <w:rsid w:val="00097DFF"/>
    <w:rsid w:val="000B71CB"/>
    <w:rsid w:val="000D1526"/>
    <w:rsid w:val="000D1EBA"/>
    <w:rsid w:val="000D22C1"/>
    <w:rsid w:val="000D2B8B"/>
    <w:rsid w:val="000D34FD"/>
    <w:rsid w:val="000E11BD"/>
    <w:rsid w:val="000F2025"/>
    <w:rsid w:val="000F3963"/>
    <w:rsid w:val="000F4ABE"/>
    <w:rsid w:val="001003BD"/>
    <w:rsid w:val="0010111B"/>
    <w:rsid w:val="00101886"/>
    <w:rsid w:val="00105015"/>
    <w:rsid w:val="00105AC1"/>
    <w:rsid w:val="00105C2A"/>
    <w:rsid w:val="001110D8"/>
    <w:rsid w:val="0011174B"/>
    <w:rsid w:val="00112170"/>
    <w:rsid w:val="001140A4"/>
    <w:rsid w:val="0011642E"/>
    <w:rsid w:val="00117262"/>
    <w:rsid w:val="001208D0"/>
    <w:rsid w:val="00120FF4"/>
    <w:rsid w:val="00124963"/>
    <w:rsid w:val="001250CB"/>
    <w:rsid w:val="00130E0D"/>
    <w:rsid w:val="00137963"/>
    <w:rsid w:val="00143BE4"/>
    <w:rsid w:val="001453BB"/>
    <w:rsid w:val="0015162D"/>
    <w:rsid w:val="00151BAB"/>
    <w:rsid w:val="001605E8"/>
    <w:rsid w:val="00160703"/>
    <w:rsid w:val="001625E4"/>
    <w:rsid w:val="001650D8"/>
    <w:rsid w:val="001671CB"/>
    <w:rsid w:val="00173863"/>
    <w:rsid w:val="0017445A"/>
    <w:rsid w:val="001755FB"/>
    <w:rsid w:val="001756F7"/>
    <w:rsid w:val="00186152"/>
    <w:rsid w:val="001A008C"/>
    <w:rsid w:val="001A1436"/>
    <w:rsid w:val="001A6629"/>
    <w:rsid w:val="001A6E0A"/>
    <w:rsid w:val="001B15D6"/>
    <w:rsid w:val="001B1C91"/>
    <w:rsid w:val="001B2131"/>
    <w:rsid w:val="001B3A60"/>
    <w:rsid w:val="001B40CF"/>
    <w:rsid w:val="001C1785"/>
    <w:rsid w:val="001C1C43"/>
    <w:rsid w:val="001C3530"/>
    <w:rsid w:val="001C4FEA"/>
    <w:rsid w:val="001C71A1"/>
    <w:rsid w:val="001C743A"/>
    <w:rsid w:val="001D1269"/>
    <w:rsid w:val="001D314F"/>
    <w:rsid w:val="001D7574"/>
    <w:rsid w:val="001E5765"/>
    <w:rsid w:val="001E61E1"/>
    <w:rsid w:val="001E6843"/>
    <w:rsid w:val="001E7A89"/>
    <w:rsid w:val="001F17E6"/>
    <w:rsid w:val="001F1E4D"/>
    <w:rsid w:val="001F7BB7"/>
    <w:rsid w:val="00200A9A"/>
    <w:rsid w:val="0020155D"/>
    <w:rsid w:val="00201EE9"/>
    <w:rsid w:val="00203179"/>
    <w:rsid w:val="00203974"/>
    <w:rsid w:val="00203B6D"/>
    <w:rsid w:val="00205100"/>
    <w:rsid w:val="00207327"/>
    <w:rsid w:val="00211C22"/>
    <w:rsid w:val="00212178"/>
    <w:rsid w:val="00214E23"/>
    <w:rsid w:val="002167E6"/>
    <w:rsid w:val="002232BA"/>
    <w:rsid w:val="00226C29"/>
    <w:rsid w:val="0022723A"/>
    <w:rsid w:val="0023186F"/>
    <w:rsid w:val="0023473A"/>
    <w:rsid w:val="002371E7"/>
    <w:rsid w:val="0024151B"/>
    <w:rsid w:val="00246878"/>
    <w:rsid w:val="00250251"/>
    <w:rsid w:val="002504AC"/>
    <w:rsid w:val="00254825"/>
    <w:rsid w:val="00254B8C"/>
    <w:rsid w:val="00257DC5"/>
    <w:rsid w:val="00263F6D"/>
    <w:rsid w:val="00265C09"/>
    <w:rsid w:val="00267CF6"/>
    <w:rsid w:val="00267F37"/>
    <w:rsid w:val="00271404"/>
    <w:rsid w:val="002726C0"/>
    <w:rsid w:val="00275521"/>
    <w:rsid w:val="00280773"/>
    <w:rsid w:val="0028379E"/>
    <w:rsid w:val="00284524"/>
    <w:rsid w:val="002850D9"/>
    <w:rsid w:val="00292D73"/>
    <w:rsid w:val="00294105"/>
    <w:rsid w:val="00294ADD"/>
    <w:rsid w:val="00295F6D"/>
    <w:rsid w:val="002A004E"/>
    <w:rsid w:val="002B0D74"/>
    <w:rsid w:val="002B2B7D"/>
    <w:rsid w:val="002B68A6"/>
    <w:rsid w:val="002C260A"/>
    <w:rsid w:val="002D1994"/>
    <w:rsid w:val="002D3510"/>
    <w:rsid w:val="002D6BCE"/>
    <w:rsid w:val="002E1763"/>
    <w:rsid w:val="002E261F"/>
    <w:rsid w:val="002E2E6D"/>
    <w:rsid w:val="002F3C1F"/>
    <w:rsid w:val="002F6BAF"/>
    <w:rsid w:val="003011E4"/>
    <w:rsid w:val="00301BBA"/>
    <w:rsid w:val="003056C5"/>
    <w:rsid w:val="003061F6"/>
    <w:rsid w:val="003109B6"/>
    <w:rsid w:val="00311AAC"/>
    <w:rsid w:val="00313563"/>
    <w:rsid w:val="00314C83"/>
    <w:rsid w:val="00321CB8"/>
    <w:rsid w:val="00325B25"/>
    <w:rsid w:val="003270DA"/>
    <w:rsid w:val="003311E8"/>
    <w:rsid w:val="003332BE"/>
    <w:rsid w:val="003400D0"/>
    <w:rsid w:val="003418C6"/>
    <w:rsid w:val="00341AF6"/>
    <w:rsid w:val="00342C42"/>
    <w:rsid w:val="00343B08"/>
    <w:rsid w:val="003463BA"/>
    <w:rsid w:val="003548B1"/>
    <w:rsid w:val="0036025F"/>
    <w:rsid w:val="00360B5A"/>
    <w:rsid w:val="00363A87"/>
    <w:rsid w:val="00366EA0"/>
    <w:rsid w:val="00367AD4"/>
    <w:rsid w:val="00372DAB"/>
    <w:rsid w:val="0037359E"/>
    <w:rsid w:val="0037482B"/>
    <w:rsid w:val="00377430"/>
    <w:rsid w:val="00384726"/>
    <w:rsid w:val="003920D9"/>
    <w:rsid w:val="003933AF"/>
    <w:rsid w:val="003966E1"/>
    <w:rsid w:val="003972AD"/>
    <w:rsid w:val="00397F27"/>
    <w:rsid w:val="003A025A"/>
    <w:rsid w:val="003A1F34"/>
    <w:rsid w:val="003A213E"/>
    <w:rsid w:val="003A3C46"/>
    <w:rsid w:val="003A64F0"/>
    <w:rsid w:val="003B000A"/>
    <w:rsid w:val="003B1BE3"/>
    <w:rsid w:val="003B1F0D"/>
    <w:rsid w:val="003B2472"/>
    <w:rsid w:val="003B47DB"/>
    <w:rsid w:val="003B6FC3"/>
    <w:rsid w:val="003C210B"/>
    <w:rsid w:val="003C28CA"/>
    <w:rsid w:val="003C3D0D"/>
    <w:rsid w:val="003C3EE0"/>
    <w:rsid w:val="003C5109"/>
    <w:rsid w:val="003C6808"/>
    <w:rsid w:val="003D293B"/>
    <w:rsid w:val="003D3B50"/>
    <w:rsid w:val="003D4360"/>
    <w:rsid w:val="003D458F"/>
    <w:rsid w:val="003D5AAD"/>
    <w:rsid w:val="003E294F"/>
    <w:rsid w:val="003E2B45"/>
    <w:rsid w:val="003E3ABA"/>
    <w:rsid w:val="003E3D4C"/>
    <w:rsid w:val="003E4F65"/>
    <w:rsid w:val="003E79C4"/>
    <w:rsid w:val="003E7C33"/>
    <w:rsid w:val="003E7D0F"/>
    <w:rsid w:val="003F507C"/>
    <w:rsid w:val="003F5D8E"/>
    <w:rsid w:val="003F607E"/>
    <w:rsid w:val="00402E80"/>
    <w:rsid w:val="00404811"/>
    <w:rsid w:val="0040653F"/>
    <w:rsid w:val="00410789"/>
    <w:rsid w:val="00414868"/>
    <w:rsid w:val="00414C21"/>
    <w:rsid w:val="004154DB"/>
    <w:rsid w:val="00421777"/>
    <w:rsid w:val="004308DA"/>
    <w:rsid w:val="004332DF"/>
    <w:rsid w:val="004412CD"/>
    <w:rsid w:val="00445128"/>
    <w:rsid w:val="00446E75"/>
    <w:rsid w:val="00447CA8"/>
    <w:rsid w:val="0046065D"/>
    <w:rsid w:val="00462E78"/>
    <w:rsid w:val="00462EDB"/>
    <w:rsid w:val="004665EF"/>
    <w:rsid w:val="004702AB"/>
    <w:rsid w:val="00471ED9"/>
    <w:rsid w:val="00473024"/>
    <w:rsid w:val="004748AF"/>
    <w:rsid w:val="00484A66"/>
    <w:rsid w:val="00484D25"/>
    <w:rsid w:val="004863A0"/>
    <w:rsid w:val="00496417"/>
    <w:rsid w:val="004A0063"/>
    <w:rsid w:val="004A2CD5"/>
    <w:rsid w:val="004A62DB"/>
    <w:rsid w:val="004B0A99"/>
    <w:rsid w:val="004B4F96"/>
    <w:rsid w:val="004C0334"/>
    <w:rsid w:val="004C3C62"/>
    <w:rsid w:val="004C4AA1"/>
    <w:rsid w:val="004D17D7"/>
    <w:rsid w:val="004D275A"/>
    <w:rsid w:val="004D3D18"/>
    <w:rsid w:val="004D3D59"/>
    <w:rsid w:val="004D6A4A"/>
    <w:rsid w:val="004D6AD1"/>
    <w:rsid w:val="004D7222"/>
    <w:rsid w:val="004E1336"/>
    <w:rsid w:val="004E27A7"/>
    <w:rsid w:val="004E34AE"/>
    <w:rsid w:val="004E35AD"/>
    <w:rsid w:val="004E38F5"/>
    <w:rsid w:val="004E4F24"/>
    <w:rsid w:val="004E52C1"/>
    <w:rsid w:val="004E63AE"/>
    <w:rsid w:val="004F387C"/>
    <w:rsid w:val="00504316"/>
    <w:rsid w:val="00515789"/>
    <w:rsid w:val="00515F68"/>
    <w:rsid w:val="00516965"/>
    <w:rsid w:val="00517BC6"/>
    <w:rsid w:val="00526E17"/>
    <w:rsid w:val="00530C11"/>
    <w:rsid w:val="00533F14"/>
    <w:rsid w:val="00535F1B"/>
    <w:rsid w:val="00540090"/>
    <w:rsid w:val="005415AA"/>
    <w:rsid w:val="00541BB2"/>
    <w:rsid w:val="00550D32"/>
    <w:rsid w:val="00551A72"/>
    <w:rsid w:val="005529CA"/>
    <w:rsid w:val="0055710F"/>
    <w:rsid w:val="00561A2D"/>
    <w:rsid w:val="00562513"/>
    <w:rsid w:val="005637C5"/>
    <w:rsid w:val="00572C49"/>
    <w:rsid w:val="00574C76"/>
    <w:rsid w:val="00575A15"/>
    <w:rsid w:val="0057619D"/>
    <w:rsid w:val="00576AE3"/>
    <w:rsid w:val="00583EF9"/>
    <w:rsid w:val="00585CE0"/>
    <w:rsid w:val="00585E80"/>
    <w:rsid w:val="00586401"/>
    <w:rsid w:val="00587C96"/>
    <w:rsid w:val="005940F6"/>
    <w:rsid w:val="005970B1"/>
    <w:rsid w:val="005A0434"/>
    <w:rsid w:val="005A21B7"/>
    <w:rsid w:val="005A281F"/>
    <w:rsid w:val="005A4FB1"/>
    <w:rsid w:val="005A733E"/>
    <w:rsid w:val="005A7A63"/>
    <w:rsid w:val="005B0A2A"/>
    <w:rsid w:val="005B332F"/>
    <w:rsid w:val="005C3A1A"/>
    <w:rsid w:val="005C60FC"/>
    <w:rsid w:val="005C7727"/>
    <w:rsid w:val="005D33A2"/>
    <w:rsid w:val="005D3C50"/>
    <w:rsid w:val="005D4EFF"/>
    <w:rsid w:val="005E5224"/>
    <w:rsid w:val="005E5ADD"/>
    <w:rsid w:val="005E6933"/>
    <w:rsid w:val="005E7CD1"/>
    <w:rsid w:val="005F210B"/>
    <w:rsid w:val="005F28B4"/>
    <w:rsid w:val="005F5262"/>
    <w:rsid w:val="006009B5"/>
    <w:rsid w:val="006021A4"/>
    <w:rsid w:val="00602A3C"/>
    <w:rsid w:val="00602B5D"/>
    <w:rsid w:val="00604196"/>
    <w:rsid w:val="00607738"/>
    <w:rsid w:val="0061482B"/>
    <w:rsid w:val="00616FF1"/>
    <w:rsid w:val="0062257A"/>
    <w:rsid w:val="00625343"/>
    <w:rsid w:val="00627FBC"/>
    <w:rsid w:val="00631A9B"/>
    <w:rsid w:val="00632449"/>
    <w:rsid w:val="00637AD0"/>
    <w:rsid w:val="006449EE"/>
    <w:rsid w:val="006510A6"/>
    <w:rsid w:val="006513AE"/>
    <w:rsid w:val="00652355"/>
    <w:rsid w:val="00664E04"/>
    <w:rsid w:val="006655EA"/>
    <w:rsid w:val="00665BAB"/>
    <w:rsid w:val="006663FC"/>
    <w:rsid w:val="0066750C"/>
    <w:rsid w:val="00670012"/>
    <w:rsid w:val="00672A55"/>
    <w:rsid w:val="006767FB"/>
    <w:rsid w:val="00676F3C"/>
    <w:rsid w:val="00677D06"/>
    <w:rsid w:val="006804A8"/>
    <w:rsid w:val="006841E6"/>
    <w:rsid w:val="006928B3"/>
    <w:rsid w:val="00692ED4"/>
    <w:rsid w:val="0069374D"/>
    <w:rsid w:val="00696EBC"/>
    <w:rsid w:val="006A5275"/>
    <w:rsid w:val="006B0A0F"/>
    <w:rsid w:val="006B71F7"/>
    <w:rsid w:val="006C4C85"/>
    <w:rsid w:val="006C625F"/>
    <w:rsid w:val="006D5345"/>
    <w:rsid w:val="006D74A6"/>
    <w:rsid w:val="006D7EA0"/>
    <w:rsid w:val="006E1E8C"/>
    <w:rsid w:val="006E2D8B"/>
    <w:rsid w:val="006E5AFA"/>
    <w:rsid w:val="006E73A9"/>
    <w:rsid w:val="006F123E"/>
    <w:rsid w:val="007025EE"/>
    <w:rsid w:val="00710C22"/>
    <w:rsid w:val="00716E8D"/>
    <w:rsid w:val="00717D3A"/>
    <w:rsid w:val="00720367"/>
    <w:rsid w:val="00722DA3"/>
    <w:rsid w:val="00722F65"/>
    <w:rsid w:val="00735C17"/>
    <w:rsid w:val="00743066"/>
    <w:rsid w:val="007437CF"/>
    <w:rsid w:val="00752F0C"/>
    <w:rsid w:val="00753538"/>
    <w:rsid w:val="00753774"/>
    <w:rsid w:val="0075442E"/>
    <w:rsid w:val="0075545A"/>
    <w:rsid w:val="007555FF"/>
    <w:rsid w:val="00762193"/>
    <w:rsid w:val="00765DCC"/>
    <w:rsid w:val="0077003B"/>
    <w:rsid w:val="00776F2B"/>
    <w:rsid w:val="0077744E"/>
    <w:rsid w:val="00777D01"/>
    <w:rsid w:val="00780534"/>
    <w:rsid w:val="007843DB"/>
    <w:rsid w:val="00791EB8"/>
    <w:rsid w:val="0079443B"/>
    <w:rsid w:val="0079509C"/>
    <w:rsid w:val="007950C5"/>
    <w:rsid w:val="007A11C4"/>
    <w:rsid w:val="007A1C00"/>
    <w:rsid w:val="007A1DC8"/>
    <w:rsid w:val="007A1EA8"/>
    <w:rsid w:val="007A2E97"/>
    <w:rsid w:val="007A501D"/>
    <w:rsid w:val="007A621C"/>
    <w:rsid w:val="007B46E1"/>
    <w:rsid w:val="007B4CC4"/>
    <w:rsid w:val="007B5BFB"/>
    <w:rsid w:val="007C4072"/>
    <w:rsid w:val="007E12DF"/>
    <w:rsid w:val="007E7992"/>
    <w:rsid w:val="007F2F74"/>
    <w:rsid w:val="007F5526"/>
    <w:rsid w:val="007F7483"/>
    <w:rsid w:val="007F7BA6"/>
    <w:rsid w:val="007F7C30"/>
    <w:rsid w:val="00807BFB"/>
    <w:rsid w:val="00810ED3"/>
    <w:rsid w:val="00811565"/>
    <w:rsid w:val="008115B9"/>
    <w:rsid w:val="00815C6D"/>
    <w:rsid w:val="00816DD4"/>
    <w:rsid w:val="00825345"/>
    <w:rsid w:val="00830E6B"/>
    <w:rsid w:val="00834D88"/>
    <w:rsid w:val="00835FAF"/>
    <w:rsid w:val="008374FA"/>
    <w:rsid w:val="00842C5A"/>
    <w:rsid w:val="008465EF"/>
    <w:rsid w:val="00850EC4"/>
    <w:rsid w:val="0086031F"/>
    <w:rsid w:val="00865396"/>
    <w:rsid w:val="00866312"/>
    <w:rsid w:val="008728AD"/>
    <w:rsid w:val="00873FCE"/>
    <w:rsid w:val="00883123"/>
    <w:rsid w:val="00883C0D"/>
    <w:rsid w:val="0088516E"/>
    <w:rsid w:val="00887526"/>
    <w:rsid w:val="00892696"/>
    <w:rsid w:val="008A0B82"/>
    <w:rsid w:val="008A0F7A"/>
    <w:rsid w:val="008A1FFA"/>
    <w:rsid w:val="008A3C38"/>
    <w:rsid w:val="008A75AF"/>
    <w:rsid w:val="008A7B82"/>
    <w:rsid w:val="008B0D2B"/>
    <w:rsid w:val="008B28C7"/>
    <w:rsid w:val="008B6F69"/>
    <w:rsid w:val="008C3868"/>
    <w:rsid w:val="008C38B6"/>
    <w:rsid w:val="008C4C97"/>
    <w:rsid w:val="008D163E"/>
    <w:rsid w:val="008D4449"/>
    <w:rsid w:val="008D4609"/>
    <w:rsid w:val="008D5F87"/>
    <w:rsid w:val="008E08ED"/>
    <w:rsid w:val="008E3339"/>
    <w:rsid w:val="008E4517"/>
    <w:rsid w:val="008E460C"/>
    <w:rsid w:val="008E6CB5"/>
    <w:rsid w:val="008F58DB"/>
    <w:rsid w:val="008F77B1"/>
    <w:rsid w:val="009010D8"/>
    <w:rsid w:val="009028D3"/>
    <w:rsid w:val="00905EDF"/>
    <w:rsid w:val="00907433"/>
    <w:rsid w:val="00907A33"/>
    <w:rsid w:val="00910D23"/>
    <w:rsid w:val="00920703"/>
    <w:rsid w:val="0092415B"/>
    <w:rsid w:val="00925F49"/>
    <w:rsid w:val="009262A9"/>
    <w:rsid w:val="00927F82"/>
    <w:rsid w:val="009305A3"/>
    <w:rsid w:val="00931FE0"/>
    <w:rsid w:val="0093469E"/>
    <w:rsid w:val="00936B23"/>
    <w:rsid w:val="0094517B"/>
    <w:rsid w:val="00951D97"/>
    <w:rsid w:val="009535FE"/>
    <w:rsid w:val="0095398B"/>
    <w:rsid w:val="00954A49"/>
    <w:rsid w:val="009554DE"/>
    <w:rsid w:val="009561E0"/>
    <w:rsid w:val="00956C4E"/>
    <w:rsid w:val="00957C7B"/>
    <w:rsid w:val="00963AC3"/>
    <w:rsid w:val="00966AC3"/>
    <w:rsid w:val="00970A92"/>
    <w:rsid w:val="009716B9"/>
    <w:rsid w:val="00975EC4"/>
    <w:rsid w:val="009801E4"/>
    <w:rsid w:val="00986BDC"/>
    <w:rsid w:val="00991BE4"/>
    <w:rsid w:val="00997886"/>
    <w:rsid w:val="009A0045"/>
    <w:rsid w:val="009A265A"/>
    <w:rsid w:val="009A296F"/>
    <w:rsid w:val="009B038D"/>
    <w:rsid w:val="009B3F74"/>
    <w:rsid w:val="009B580A"/>
    <w:rsid w:val="009B69DA"/>
    <w:rsid w:val="009B6CC5"/>
    <w:rsid w:val="009C7597"/>
    <w:rsid w:val="009D1366"/>
    <w:rsid w:val="009D426B"/>
    <w:rsid w:val="009D5373"/>
    <w:rsid w:val="009E0DEC"/>
    <w:rsid w:val="009E2401"/>
    <w:rsid w:val="009E758A"/>
    <w:rsid w:val="009F1BB5"/>
    <w:rsid w:val="00A010C2"/>
    <w:rsid w:val="00A06D7C"/>
    <w:rsid w:val="00A07D9A"/>
    <w:rsid w:val="00A108E3"/>
    <w:rsid w:val="00A11494"/>
    <w:rsid w:val="00A12876"/>
    <w:rsid w:val="00A142A3"/>
    <w:rsid w:val="00A17E6B"/>
    <w:rsid w:val="00A252F6"/>
    <w:rsid w:val="00A26185"/>
    <w:rsid w:val="00A261EE"/>
    <w:rsid w:val="00A26F2D"/>
    <w:rsid w:val="00A30B32"/>
    <w:rsid w:val="00A320E2"/>
    <w:rsid w:val="00A32DBB"/>
    <w:rsid w:val="00A3339F"/>
    <w:rsid w:val="00A335C6"/>
    <w:rsid w:val="00A4147A"/>
    <w:rsid w:val="00A41C8C"/>
    <w:rsid w:val="00A44970"/>
    <w:rsid w:val="00A500A7"/>
    <w:rsid w:val="00A517B1"/>
    <w:rsid w:val="00A52C9D"/>
    <w:rsid w:val="00A56A1D"/>
    <w:rsid w:val="00A63D09"/>
    <w:rsid w:val="00A641DF"/>
    <w:rsid w:val="00A665B8"/>
    <w:rsid w:val="00A7152C"/>
    <w:rsid w:val="00A71C55"/>
    <w:rsid w:val="00A733B5"/>
    <w:rsid w:val="00A75CE6"/>
    <w:rsid w:val="00A82E10"/>
    <w:rsid w:val="00A86213"/>
    <w:rsid w:val="00A86F0D"/>
    <w:rsid w:val="00A87052"/>
    <w:rsid w:val="00A902FE"/>
    <w:rsid w:val="00A91D29"/>
    <w:rsid w:val="00A92A03"/>
    <w:rsid w:val="00A94741"/>
    <w:rsid w:val="00AA3F8F"/>
    <w:rsid w:val="00AA492E"/>
    <w:rsid w:val="00AA5CF2"/>
    <w:rsid w:val="00AA6EBE"/>
    <w:rsid w:val="00AB2645"/>
    <w:rsid w:val="00AB7105"/>
    <w:rsid w:val="00AC1622"/>
    <w:rsid w:val="00AC1E59"/>
    <w:rsid w:val="00AC53BF"/>
    <w:rsid w:val="00AC5C82"/>
    <w:rsid w:val="00AD2BCA"/>
    <w:rsid w:val="00AD7BAD"/>
    <w:rsid w:val="00AE5441"/>
    <w:rsid w:val="00AE5CC2"/>
    <w:rsid w:val="00AE61A9"/>
    <w:rsid w:val="00AF00CE"/>
    <w:rsid w:val="00AF2B80"/>
    <w:rsid w:val="00B006B0"/>
    <w:rsid w:val="00B050D6"/>
    <w:rsid w:val="00B14466"/>
    <w:rsid w:val="00B1446D"/>
    <w:rsid w:val="00B15CDB"/>
    <w:rsid w:val="00B1709F"/>
    <w:rsid w:val="00B2128E"/>
    <w:rsid w:val="00B25F6F"/>
    <w:rsid w:val="00B300A7"/>
    <w:rsid w:val="00B3404A"/>
    <w:rsid w:val="00B36472"/>
    <w:rsid w:val="00B36A97"/>
    <w:rsid w:val="00B4000C"/>
    <w:rsid w:val="00B408DC"/>
    <w:rsid w:val="00B51298"/>
    <w:rsid w:val="00B565AC"/>
    <w:rsid w:val="00B64135"/>
    <w:rsid w:val="00B705D5"/>
    <w:rsid w:val="00B7185A"/>
    <w:rsid w:val="00B72200"/>
    <w:rsid w:val="00B93FD5"/>
    <w:rsid w:val="00BA61C7"/>
    <w:rsid w:val="00BB1FAC"/>
    <w:rsid w:val="00BB1FD7"/>
    <w:rsid w:val="00BB2867"/>
    <w:rsid w:val="00BB5742"/>
    <w:rsid w:val="00BB6A9A"/>
    <w:rsid w:val="00BB7EF4"/>
    <w:rsid w:val="00BD46EE"/>
    <w:rsid w:val="00BE028D"/>
    <w:rsid w:val="00BE0FF7"/>
    <w:rsid w:val="00BE4839"/>
    <w:rsid w:val="00BE4868"/>
    <w:rsid w:val="00BE69E4"/>
    <w:rsid w:val="00BF1374"/>
    <w:rsid w:val="00BF4268"/>
    <w:rsid w:val="00BF66F0"/>
    <w:rsid w:val="00C000EF"/>
    <w:rsid w:val="00C01DB0"/>
    <w:rsid w:val="00C04828"/>
    <w:rsid w:val="00C053AC"/>
    <w:rsid w:val="00C067BE"/>
    <w:rsid w:val="00C1474A"/>
    <w:rsid w:val="00C17E51"/>
    <w:rsid w:val="00C23618"/>
    <w:rsid w:val="00C33F1D"/>
    <w:rsid w:val="00C403BF"/>
    <w:rsid w:val="00C45BB1"/>
    <w:rsid w:val="00C51D85"/>
    <w:rsid w:val="00C53A1C"/>
    <w:rsid w:val="00C55671"/>
    <w:rsid w:val="00C60353"/>
    <w:rsid w:val="00C653FE"/>
    <w:rsid w:val="00C6663D"/>
    <w:rsid w:val="00C706D1"/>
    <w:rsid w:val="00C71A17"/>
    <w:rsid w:val="00C76296"/>
    <w:rsid w:val="00C815A1"/>
    <w:rsid w:val="00C87F65"/>
    <w:rsid w:val="00C9027D"/>
    <w:rsid w:val="00C923A3"/>
    <w:rsid w:val="00C929A4"/>
    <w:rsid w:val="00CA0733"/>
    <w:rsid w:val="00CA1135"/>
    <w:rsid w:val="00CB2EB2"/>
    <w:rsid w:val="00CB3DAB"/>
    <w:rsid w:val="00CB74C4"/>
    <w:rsid w:val="00CC32E8"/>
    <w:rsid w:val="00CC3310"/>
    <w:rsid w:val="00CC3428"/>
    <w:rsid w:val="00CC7B72"/>
    <w:rsid w:val="00CD2299"/>
    <w:rsid w:val="00CD7594"/>
    <w:rsid w:val="00CD7815"/>
    <w:rsid w:val="00CD7A9F"/>
    <w:rsid w:val="00CE39A0"/>
    <w:rsid w:val="00CE51D4"/>
    <w:rsid w:val="00CF273B"/>
    <w:rsid w:val="00CF2E09"/>
    <w:rsid w:val="00CF4057"/>
    <w:rsid w:val="00CF568E"/>
    <w:rsid w:val="00CF6EBE"/>
    <w:rsid w:val="00D02B42"/>
    <w:rsid w:val="00D02FCD"/>
    <w:rsid w:val="00D14D73"/>
    <w:rsid w:val="00D20371"/>
    <w:rsid w:val="00D20A6B"/>
    <w:rsid w:val="00D21950"/>
    <w:rsid w:val="00D2348F"/>
    <w:rsid w:val="00D2473D"/>
    <w:rsid w:val="00D2499A"/>
    <w:rsid w:val="00D3257E"/>
    <w:rsid w:val="00D347AA"/>
    <w:rsid w:val="00D373BB"/>
    <w:rsid w:val="00D41EBE"/>
    <w:rsid w:val="00D42D12"/>
    <w:rsid w:val="00D44CA8"/>
    <w:rsid w:val="00D46884"/>
    <w:rsid w:val="00D47707"/>
    <w:rsid w:val="00D5291F"/>
    <w:rsid w:val="00D52A2D"/>
    <w:rsid w:val="00D53591"/>
    <w:rsid w:val="00D53E33"/>
    <w:rsid w:val="00D679CA"/>
    <w:rsid w:val="00D71292"/>
    <w:rsid w:val="00D72B29"/>
    <w:rsid w:val="00D7757E"/>
    <w:rsid w:val="00D8438C"/>
    <w:rsid w:val="00D90516"/>
    <w:rsid w:val="00D93B79"/>
    <w:rsid w:val="00D95256"/>
    <w:rsid w:val="00DA2D9E"/>
    <w:rsid w:val="00DA2E39"/>
    <w:rsid w:val="00DA3DE4"/>
    <w:rsid w:val="00DA4BDB"/>
    <w:rsid w:val="00DA6D39"/>
    <w:rsid w:val="00DA7711"/>
    <w:rsid w:val="00DC00D0"/>
    <w:rsid w:val="00DC1EFB"/>
    <w:rsid w:val="00DC5F67"/>
    <w:rsid w:val="00DD3266"/>
    <w:rsid w:val="00DD65EB"/>
    <w:rsid w:val="00DE0A9C"/>
    <w:rsid w:val="00DE1411"/>
    <w:rsid w:val="00DE402E"/>
    <w:rsid w:val="00DE4CD4"/>
    <w:rsid w:val="00DE52B0"/>
    <w:rsid w:val="00DE681E"/>
    <w:rsid w:val="00DE6A1B"/>
    <w:rsid w:val="00DE7141"/>
    <w:rsid w:val="00DE7B1E"/>
    <w:rsid w:val="00DF0FF9"/>
    <w:rsid w:val="00DF119E"/>
    <w:rsid w:val="00DF4CE9"/>
    <w:rsid w:val="00DF6C7D"/>
    <w:rsid w:val="00DF6E39"/>
    <w:rsid w:val="00DF7773"/>
    <w:rsid w:val="00E002AB"/>
    <w:rsid w:val="00E02D7A"/>
    <w:rsid w:val="00E041C5"/>
    <w:rsid w:val="00E05AD9"/>
    <w:rsid w:val="00E065BD"/>
    <w:rsid w:val="00E144A9"/>
    <w:rsid w:val="00E16A4F"/>
    <w:rsid w:val="00E16EE9"/>
    <w:rsid w:val="00E17703"/>
    <w:rsid w:val="00E24122"/>
    <w:rsid w:val="00E31B30"/>
    <w:rsid w:val="00E45F01"/>
    <w:rsid w:val="00E463ED"/>
    <w:rsid w:val="00E505B0"/>
    <w:rsid w:val="00E50927"/>
    <w:rsid w:val="00E53F78"/>
    <w:rsid w:val="00E5496F"/>
    <w:rsid w:val="00E578D8"/>
    <w:rsid w:val="00E63BB1"/>
    <w:rsid w:val="00E66147"/>
    <w:rsid w:val="00E66DCB"/>
    <w:rsid w:val="00E72CE9"/>
    <w:rsid w:val="00E738B0"/>
    <w:rsid w:val="00E744B3"/>
    <w:rsid w:val="00E834C8"/>
    <w:rsid w:val="00E83FD2"/>
    <w:rsid w:val="00E87212"/>
    <w:rsid w:val="00E93F5A"/>
    <w:rsid w:val="00E9443B"/>
    <w:rsid w:val="00EA0040"/>
    <w:rsid w:val="00EA02D7"/>
    <w:rsid w:val="00EA0BFD"/>
    <w:rsid w:val="00EA2C23"/>
    <w:rsid w:val="00EA5ED6"/>
    <w:rsid w:val="00EB6ABB"/>
    <w:rsid w:val="00EC15D8"/>
    <w:rsid w:val="00EC18E3"/>
    <w:rsid w:val="00EC34BB"/>
    <w:rsid w:val="00EC3BB2"/>
    <w:rsid w:val="00EC6DFE"/>
    <w:rsid w:val="00ED1DFE"/>
    <w:rsid w:val="00ED3959"/>
    <w:rsid w:val="00EE05BE"/>
    <w:rsid w:val="00EE50FF"/>
    <w:rsid w:val="00EF00D7"/>
    <w:rsid w:val="00EF6141"/>
    <w:rsid w:val="00F07EC6"/>
    <w:rsid w:val="00F10EE5"/>
    <w:rsid w:val="00F11553"/>
    <w:rsid w:val="00F133EC"/>
    <w:rsid w:val="00F16351"/>
    <w:rsid w:val="00F16B3A"/>
    <w:rsid w:val="00F17606"/>
    <w:rsid w:val="00F17AC3"/>
    <w:rsid w:val="00F23754"/>
    <w:rsid w:val="00F24105"/>
    <w:rsid w:val="00F25220"/>
    <w:rsid w:val="00F276F3"/>
    <w:rsid w:val="00F327A0"/>
    <w:rsid w:val="00F32C9E"/>
    <w:rsid w:val="00F334D2"/>
    <w:rsid w:val="00F3441B"/>
    <w:rsid w:val="00F358A6"/>
    <w:rsid w:val="00F41F0B"/>
    <w:rsid w:val="00F43F90"/>
    <w:rsid w:val="00F47029"/>
    <w:rsid w:val="00F5120C"/>
    <w:rsid w:val="00F513EF"/>
    <w:rsid w:val="00F514F9"/>
    <w:rsid w:val="00F55B0F"/>
    <w:rsid w:val="00F57CA0"/>
    <w:rsid w:val="00F57DA5"/>
    <w:rsid w:val="00F6356F"/>
    <w:rsid w:val="00F6746B"/>
    <w:rsid w:val="00F67629"/>
    <w:rsid w:val="00F815AB"/>
    <w:rsid w:val="00F84AF1"/>
    <w:rsid w:val="00F90A1C"/>
    <w:rsid w:val="00F90EE6"/>
    <w:rsid w:val="00FA6411"/>
    <w:rsid w:val="00FB30AD"/>
    <w:rsid w:val="00FB68E2"/>
    <w:rsid w:val="00FB6A08"/>
    <w:rsid w:val="00FB7056"/>
    <w:rsid w:val="00FC4734"/>
    <w:rsid w:val="00FC4B3E"/>
    <w:rsid w:val="00FC6137"/>
    <w:rsid w:val="00FC738E"/>
    <w:rsid w:val="00FC7E70"/>
    <w:rsid w:val="00FD052D"/>
    <w:rsid w:val="00FD228B"/>
    <w:rsid w:val="00FE0FFD"/>
    <w:rsid w:val="00FE3BB7"/>
    <w:rsid w:val="00FF5626"/>
    <w:rsid w:val="033D3271"/>
    <w:rsid w:val="04DD0F47"/>
    <w:rsid w:val="10B26A06"/>
    <w:rsid w:val="11504409"/>
    <w:rsid w:val="15D2230E"/>
    <w:rsid w:val="172956E2"/>
    <w:rsid w:val="1DAA2F4C"/>
    <w:rsid w:val="224B5658"/>
    <w:rsid w:val="24900D03"/>
    <w:rsid w:val="249A3B21"/>
    <w:rsid w:val="250F2C5B"/>
    <w:rsid w:val="288811AA"/>
    <w:rsid w:val="2B280C0D"/>
    <w:rsid w:val="2E990B28"/>
    <w:rsid w:val="33355AA8"/>
    <w:rsid w:val="34270262"/>
    <w:rsid w:val="37D33394"/>
    <w:rsid w:val="3D035D51"/>
    <w:rsid w:val="3FAC382C"/>
    <w:rsid w:val="44F71420"/>
    <w:rsid w:val="4BA0311F"/>
    <w:rsid w:val="4F846350"/>
    <w:rsid w:val="517F5C0E"/>
    <w:rsid w:val="561439AE"/>
    <w:rsid w:val="59871EE1"/>
    <w:rsid w:val="61437404"/>
    <w:rsid w:val="654B32EE"/>
    <w:rsid w:val="697762AD"/>
    <w:rsid w:val="6C765030"/>
    <w:rsid w:val="798844CC"/>
    <w:rsid w:val="7AC668C6"/>
    <w:rsid w:val="7BF516D2"/>
    <w:rsid w:val="7E6632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iPriority="39" w:semiHidden="0"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37"/>
    <w:qFormat/>
    <w:uiPriority w:val="9"/>
    <w:pPr>
      <w:keepNext/>
      <w:keepLines/>
      <w:spacing w:after="0"/>
      <w:outlineLvl w:val="0"/>
    </w:pPr>
    <w:rPr>
      <w:rFonts w:ascii="Times New Roman" w:hAnsi="Times New Roman" w:eastAsia="宋体"/>
      <w:b/>
      <w:bCs/>
      <w:kern w:val="44"/>
      <w:sz w:val="28"/>
      <w:szCs w:val="44"/>
    </w:rPr>
  </w:style>
  <w:style w:type="paragraph" w:styleId="2">
    <w:name w:val="heading 2"/>
    <w:basedOn w:val="1"/>
    <w:next w:val="1"/>
    <w:qFormat/>
    <w:uiPriority w:val="0"/>
    <w:pPr>
      <w:keepNext/>
      <w:keepLines/>
      <w:spacing w:line="360" w:lineRule="auto"/>
      <w:outlineLvl w:val="1"/>
    </w:pPr>
    <w:rPr>
      <w:rFonts w:ascii="Arial" w:hAnsi="Arial" w:eastAsia="黑体"/>
      <w:b/>
      <w:bCs/>
      <w:sz w:val="28"/>
      <w:szCs w:val="32"/>
    </w:rPr>
  </w:style>
  <w:style w:type="paragraph" w:styleId="4">
    <w:name w:val="heading 3"/>
    <w:basedOn w:val="1"/>
    <w:next w:val="1"/>
    <w:link w:val="30"/>
    <w:unhideWhenUsed/>
    <w:qFormat/>
    <w:uiPriority w:val="9"/>
    <w:pPr>
      <w:keepNext/>
      <w:keepLines/>
      <w:widowControl w:val="0"/>
      <w:adjustRightInd/>
      <w:snapToGrid/>
      <w:spacing w:before="260" w:after="260" w:line="416" w:lineRule="auto"/>
      <w:jc w:val="both"/>
      <w:outlineLvl w:val="2"/>
    </w:pPr>
    <w:rPr>
      <w:rFonts w:ascii="Times New Roman" w:hAnsi="Times New Roman" w:eastAsia="宋体"/>
      <w:b/>
      <w:bCs/>
      <w:kern w:val="2"/>
      <w:sz w:val="28"/>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8"/>
    <w:semiHidden/>
    <w:unhideWhenUsed/>
    <w:qFormat/>
    <w:uiPriority w:val="99"/>
    <w:rPr>
      <w:rFonts w:ascii="宋体" w:eastAsia="宋体"/>
      <w:sz w:val="18"/>
      <w:szCs w:val="18"/>
    </w:rPr>
  </w:style>
  <w:style w:type="paragraph" w:styleId="6">
    <w:name w:val="annotation text"/>
    <w:basedOn w:val="1"/>
    <w:link w:val="51"/>
    <w:qFormat/>
    <w:uiPriority w:val="99"/>
    <w:pPr>
      <w:widowControl w:val="0"/>
      <w:adjustRightInd/>
      <w:snapToGrid/>
      <w:spacing w:after="0"/>
    </w:pPr>
    <w:rPr>
      <w:rFonts w:eastAsia="宋体" w:asciiTheme="minorHAnsi" w:hAnsiTheme="minorHAnsi" w:cstheme="minorBidi"/>
      <w:kern w:val="2"/>
      <w:sz w:val="21"/>
    </w:rPr>
  </w:style>
  <w:style w:type="paragraph" w:styleId="7">
    <w:name w:val="Body Text"/>
    <w:basedOn w:val="1"/>
    <w:link w:val="56"/>
    <w:qFormat/>
    <w:uiPriority w:val="99"/>
    <w:pPr>
      <w:widowControl w:val="0"/>
      <w:adjustRightInd/>
      <w:snapToGrid/>
      <w:spacing w:after="120"/>
      <w:jc w:val="both"/>
    </w:pPr>
    <w:rPr>
      <w:rFonts w:eastAsia="宋体" w:asciiTheme="minorHAnsi" w:hAnsiTheme="minorHAnsi" w:cstheme="minorBidi"/>
      <w:kern w:val="2"/>
      <w:sz w:val="21"/>
      <w:szCs w:val="24"/>
    </w:rPr>
  </w:style>
  <w:style w:type="paragraph" w:styleId="8">
    <w:name w:val="Body Text Indent"/>
    <w:basedOn w:val="1"/>
    <w:link w:val="39"/>
    <w:semiHidden/>
    <w:unhideWhenUsed/>
    <w:qFormat/>
    <w:uiPriority w:val="99"/>
    <w:pPr>
      <w:spacing w:after="120"/>
      <w:ind w:left="420" w:leftChars="200"/>
    </w:pPr>
  </w:style>
  <w:style w:type="paragraph" w:styleId="9">
    <w:name w:val="Plain Text"/>
    <w:basedOn w:val="1"/>
    <w:link w:val="31"/>
    <w:qFormat/>
    <w:uiPriority w:val="99"/>
    <w:pPr>
      <w:adjustRightInd/>
      <w:snapToGrid/>
      <w:spacing w:before="100" w:beforeAutospacing="1" w:after="100" w:afterAutospacing="1"/>
    </w:pPr>
    <w:rPr>
      <w:rFonts w:ascii="ˎ̥" w:hAnsi="ˎ̥" w:eastAsiaTheme="minorEastAsia" w:cstheme="minorBidi"/>
      <w:kern w:val="2"/>
      <w:sz w:val="18"/>
      <w:szCs w:val="18"/>
    </w:rPr>
  </w:style>
  <w:style w:type="paragraph" w:styleId="10">
    <w:name w:val="toc 8"/>
    <w:basedOn w:val="1"/>
    <w:next w:val="1"/>
    <w:unhideWhenUsed/>
    <w:qFormat/>
    <w:uiPriority w:val="39"/>
    <w:pPr>
      <w:widowControl w:val="0"/>
      <w:adjustRightInd/>
      <w:snapToGrid/>
      <w:spacing w:after="0"/>
      <w:ind w:left="1470"/>
    </w:pPr>
    <w:rPr>
      <w:rFonts w:eastAsia="宋体" w:asciiTheme="minorHAnsi" w:hAnsiTheme="minorHAnsi" w:cstheme="minorHAnsi"/>
      <w:kern w:val="2"/>
      <w:sz w:val="18"/>
      <w:szCs w:val="18"/>
    </w:rPr>
  </w:style>
  <w:style w:type="paragraph" w:styleId="11">
    <w:name w:val="Body Text Indent 2"/>
    <w:basedOn w:val="1"/>
    <w:link w:val="54"/>
    <w:semiHidden/>
    <w:unhideWhenUsed/>
    <w:qFormat/>
    <w:uiPriority w:val="99"/>
    <w:pPr>
      <w:spacing w:after="120" w:line="480" w:lineRule="auto"/>
      <w:ind w:left="420" w:leftChars="200"/>
    </w:pPr>
  </w:style>
  <w:style w:type="paragraph" w:styleId="12">
    <w:name w:val="Balloon Text"/>
    <w:basedOn w:val="1"/>
    <w:link w:val="29"/>
    <w:semiHidden/>
    <w:unhideWhenUsed/>
    <w:qFormat/>
    <w:uiPriority w:val="99"/>
    <w:pPr>
      <w:spacing w:after="0"/>
    </w:pPr>
    <w:rPr>
      <w:sz w:val="18"/>
      <w:szCs w:val="18"/>
    </w:rPr>
  </w:style>
  <w:style w:type="paragraph" w:styleId="13">
    <w:name w:val="footer"/>
    <w:basedOn w:val="1"/>
    <w:link w:val="27"/>
    <w:unhideWhenUsed/>
    <w:qFormat/>
    <w:uiPriority w:val="99"/>
    <w:pPr>
      <w:widowControl w:val="0"/>
      <w:tabs>
        <w:tab w:val="center" w:pos="4153"/>
        <w:tab w:val="right" w:pos="8306"/>
      </w:tabs>
      <w:adjustRightInd/>
      <w:spacing w:after="0"/>
    </w:pPr>
    <w:rPr>
      <w:rFonts w:asciiTheme="minorHAnsi" w:hAnsiTheme="minorHAnsi" w:eastAsiaTheme="minorEastAsia" w:cstheme="minorBidi"/>
      <w:kern w:val="2"/>
      <w:sz w:val="18"/>
      <w:szCs w:val="18"/>
    </w:rPr>
  </w:style>
  <w:style w:type="paragraph" w:styleId="14">
    <w:name w:val="header"/>
    <w:basedOn w:val="1"/>
    <w:link w:val="26"/>
    <w:unhideWhenUsed/>
    <w:qFormat/>
    <w:uiPriority w:val="99"/>
    <w:pPr>
      <w:widowControl w:val="0"/>
      <w:pBdr>
        <w:bottom w:val="single" w:color="auto" w:sz="6" w:space="1"/>
      </w:pBdr>
      <w:tabs>
        <w:tab w:val="center" w:pos="4153"/>
        <w:tab w:val="right" w:pos="8306"/>
      </w:tabs>
      <w:adjustRightInd/>
      <w:spacing w:after="0"/>
      <w:jc w:val="center"/>
    </w:pPr>
    <w:rPr>
      <w:rFonts w:asciiTheme="minorHAnsi" w:hAnsiTheme="minorHAnsi" w:eastAsiaTheme="minorEastAsia" w:cstheme="minorBidi"/>
      <w:kern w:val="2"/>
      <w:sz w:val="18"/>
      <w:szCs w:val="18"/>
    </w:rPr>
  </w:style>
  <w:style w:type="paragraph" w:styleId="15">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6">
    <w:name w:val="Title"/>
    <w:basedOn w:val="1"/>
    <w:next w:val="1"/>
    <w:link w:val="44"/>
    <w:qFormat/>
    <w:uiPriority w:val="99"/>
    <w:pPr>
      <w:widowControl w:val="0"/>
      <w:adjustRightInd/>
      <w:snapToGrid/>
      <w:spacing w:after="0"/>
      <w:jc w:val="center"/>
    </w:pPr>
    <w:rPr>
      <w:rFonts w:asciiTheme="minorHAnsi" w:hAnsiTheme="minorHAnsi" w:eastAsiaTheme="minorEastAsia" w:cstheme="minorBidi"/>
      <w:b/>
      <w:bCs/>
      <w:kern w:val="2"/>
      <w:sz w:val="21"/>
      <w:szCs w:val="32"/>
    </w:rPr>
  </w:style>
  <w:style w:type="paragraph" w:styleId="17">
    <w:name w:val="annotation subject"/>
    <w:basedOn w:val="6"/>
    <w:next w:val="6"/>
    <w:link w:val="61"/>
    <w:semiHidden/>
    <w:unhideWhenUsed/>
    <w:qFormat/>
    <w:uiPriority w:val="99"/>
    <w:pPr>
      <w:widowControl/>
      <w:adjustRightInd w:val="0"/>
      <w:snapToGrid w:val="0"/>
      <w:spacing w:after="200"/>
    </w:pPr>
    <w:rPr>
      <w:rFonts w:ascii="Tahoma" w:hAnsi="Tahoma" w:eastAsia="微软雅黑" w:cs="Times New Roman"/>
      <w:b/>
      <w:bCs/>
      <w:kern w:val="0"/>
      <w:sz w:val="22"/>
    </w:rPr>
  </w:style>
  <w:style w:type="paragraph" w:styleId="18">
    <w:name w:val="Body Text First Indent 2"/>
    <w:basedOn w:val="1"/>
    <w:next w:val="1"/>
    <w:link w:val="41"/>
    <w:semiHidden/>
    <w:unhideWhenUsed/>
    <w:qFormat/>
    <w:uiPriority w:val="99"/>
    <w:pPr>
      <w:widowControl w:val="0"/>
      <w:adjustRightInd/>
      <w:snapToGrid/>
      <w:spacing w:after="0"/>
      <w:ind w:firstLine="420" w:firstLineChars="200"/>
      <w:jc w:val="both"/>
    </w:pPr>
    <w:rPr>
      <w:rFonts w:ascii="Calibri" w:hAnsi="Calibri" w:eastAsia="宋体"/>
      <w:kern w:val="2"/>
      <w:sz w:val="21"/>
      <w:szCs w:val="24"/>
    </w:rPr>
  </w:style>
  <w:style w:type="table" w:styleId="20">
    <w:name w:val="Table Grid"/>
    <w:basedOn w:val="19"/>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style>
  <w:style w:type="character" w:styleId="23">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1"/>
    <w:unhideWhenUsed/>
    <w:qFormat/>
    <w:uiPriority w:val="99"/>
    <w:rPr>
      <w:color w:val="0000FF" w:themeColor="hyperlink"/>
      <w:u w:val="single"/>
      <w14:textFill>
        <w14:solidFill>
          <w14:schemeClr w14:val="hlink"/>
        </w14:solidFill>
      </w14:textFill>
    </w:rPr>
  </w:style>
  <w:style w:type="character" w:styleId="25">
    <w:name w:val="annotation reference"/>
    <w:unhideWhenUsed/>
    <w:qFormat/>
    <w:uiPriority w:val="0"/>
    <w:rPr>
      <w:sz w:val="21"/>
      <w:szCs w:val="21"/>
    </w:rPr>
  </w:style>
  <w:style w:type="character" w:customStyle="1" w:styleId="26">
    <w:name w:val="页眉 Char"/>
    <w:basedOn w:val="21"/>
    <w:link w:val="14"/>
    <w:qFormat/>
    <w:uiPriority w:val="99"/>
    <w:rPr>
      <w:sz w:val="18"/>
      <w:szCs w:val="18"/>
    </w:rPr>
  </w:style>
  <w:style w:type="character" w:customStyle="1" w:styleId="27">
    <w:name w:val="页脚 Char"/>
    <w:basedOn w:val="21"/>
    <w:link w:val="13"/>
    <w:qFormat/>
    <w:uiPriority w:val="99"/>
    <w:rPr>
      <w:sz w:val="18"/>
      <w:szCs w:val="18"/>
    </w:rPr>
  </w:style>
  <w:style w:type="paragraph" w:styleId="28">
    <w:name w:val="List Paragraph"/>
    <w:basedOn w:val="1"/>
    <w:qFormat/>
    <w:uiPriority w:val="34"/>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29">
    <w:name w:val="批注框文本 Char"/>
    <w:basedOn w:val="21"/>
    <w:link w:val="12"/>
    <w:semiHidden/>
    <w:qFormat/>
    <w:uiPriority w:val="99"/>
    <w:rPr>
      <w:rFonts w:ascii="Tahoma" w:hAnsi="Tahoma" w:eastAsia="微软雅黑" w:cs="Times New Roman"/>
      <w:kern w:val="0"/>
      <w:sz w:val="18"/>
      <w:szCs w:val="18"/>
    </w:rPr>
  </w:style>
  <w:style w:type="character" w:customStyle="1" w:styleId="30">
    <w:name w:val="标题 3 Char"/>
    <w:basedOn w:val="21"/>
    <w:link w:val="4"/>
    <w:qFormat/>
    <w:uiPriority w:val="9"/>
    <w:rPr>
      <w:rFonts w:ascii="Times New Roman" w:hAnsi="Times New Roman" w:eastAsia="宋体" w:cs="Times New Roman"/>
      <w:b/>
      <w:bCs/>
      <w:sz w:val="28"/>
      <w:szCs w:val="32"/>
    </w:rPr>
  </w:style>
  <w:style w:type="character" w:customStyle="1" w:styleId="31">
    <w:name w:val="纯文本 Char"/>
    <w:link w:val="9"/>
    <w:qFormat/>
    <w:uiPriority w:val="0"/>
    <w:rPr>
      <w:rFonts w:ascii="ˎ̥" w:hAnsi="ˎ̥"/>
      <w:sz w:val="18"/>
      <w:szCs w:val="18"/>
    </w:rPr>
  </w:style>
  <w:style w:type="character" w:customStyle="1" w:styleId="32">
    <w:name w:val="纯文本 Char1"/>
    <w:basedOn w:val="21"/>
    <w:semiHidden/>
    <w:qFormat/>
    <w:uiPriority w:val="99"/>
    <w:rPr>
      <w:rFonts w:ascii="宋体" w:hAnsi="Courier New" w:eastAsia="宋体" w:cs="Courier New"/>
      <w:kern w:val="0"/>
      <w:szCs w:val="21"/>
    </w:rPr>
  </w:style>
  <w:style w:type="character" w:customStyle="1" w:styleId="33">
    <w:name w:val="表格 Char Char"/>
    <w:basedOn w:val="21"/>
    <w:link w:val="34"/>
    <w:qFormat/>
    <w:uiPriority w:val="0"/>
    <w:rPr>
      <w:rFonts w:ascii="宋体" w:hAnsi="宋体"/>
      <w:snapToGrid w:val="0"/>
    </w:rPr>
  </w:style>
  <w:style w:type="paragraph" w:customStyle="1" w:styleId="34">
    <w:name w:val="表格"/>
    <w:link w:val="33"/>
    <w:qFormat/>
    <w:uiPriority w:val="0"/>
    <w:pPr>
      <w:spacing w:line="380" w:lineRule="exact"/>
      <w:jc w:val="center"/>
    </w:pPr>
    <w:rPr>
      <w:rFonts w:ascii="宋体" w:hAnsi="宋体" w:eastAsiaTheme="minorEastAsia" w:cstheme="minorBidi"/>
      <w:snapToGrid w:val="0"/>
      <w:kern w:val="2"/>
      <w:sz w:val="21"/>
      <w:szCs w:val="22"/>
      <w:lang w:val="en-US" w:eastAsia="zh-CN" w:bidi="ar-SA"/>
    </w:rPr>
  </w:style>
  <w:style w:type="character" w:customStyle="1" w:styleId="35">
    <w:name w:val="表样式2 Char"/>
    <w:link w:val="36"/>
    <w:qFormat/>
    <w:locked/>
    <w:uiPriority w:val="0"/>
    <w:rPr>
      <w:rFonts w:ascii="宋体" w:hAnsi="宋体" w:eastAsia="仿宋_GB2312"/>
      <w:sz w:val="24"/>
      <w:lang w:val="zh-CN"/>
    </w:rPr>
  </w:style>
  <w:style w:type="paragraph" w:customStyle="1" w:styleId="36">
    <w:name w:val="表样式2"/>
    <w:basedOn w:val="1"/>
    <w:link w:val="35"/>
    <w:qFormat/>
    <w:uiPriority w:val="0"/>
    <w:pPr>
      <w:widowControl w:val="0"/>
      <w:adjustRightInd/>
      <w:snapToGrid/>
      <w:spacing w:after="0"/>
      <w:jc w:val="center"/>
    </w:pPr>
    <w:rPr>
      <w:rFonts w:ascii="宋体" w:hAnsi="宋体" w:eastAsia="仿宋_GB2312" w:cstheme="minorBidi"/>
      <w:kern w:val="2"/>
      <w:sz w:val="24"/>
      <w:lang w:val="zh-CN"/>
    </w:rPr>
  </w:style>
  <w:style w:type="character" w:customStyle="1" w:styleId="37">
    <w:name w:val="标题 1 Char"/>
    <w:basedOn w:val="21"/>
    <w:link w:val="3"/>
    <w:qFormat/>
    <w:uiPriority w:val="9"/>
    <w:rPr>
      <w:rFonts w:ascii="Times New Roman" w:hAnsi="Times New Roman" w:eastAsia="宋体" w:cs="Times New Roman"/>
      <w:b/>
      <w:bCs/>
      <w:kern w:val="44"/>
      <w:sz w:val="28"/>
      <w:szCs w:val="44"/>
    </w:rPr>
  </w:style>
  <w:style w:type="character" w:customStyle="1" w:styleId="38">
    <w:name w:val="文档结构图 Char"/>
    <w:basedOn w:val="21"/>
    <w:link w:val="5"/>
    <w:semiHidden/>
    <w:qFormat/>
    <w:uiPriority w:val="99"/>
    <w:rPr>
      <w:rFonts w:ascii="宋体" w:hAnsi="Tahoma" w:eastAsia="宋体" w:cs="Times New Roman"/>
      <w:kern w:val="0"/>
      <w:sz w:val="18"/>
      <w:szCs w:val="18"/>
    </w:rPr>
  </w:style>
  <w:style w:type="character" w:customStyle="1" w:styleId="39">
    <w:name w:val="正文文本缩进 Char"/>
    <w:basedOn w:val="21"/>
    <w:link w:val="8"/>
    <w:semiHidden/>
    <w:qFormat/>
    <w:uiPriority w:val="99"/>
    <w:rPr>
      <w:rFonts w:ascii="Tahoma" w:hAnsi="Tahoma" w:eastAsia="微软雅黑" w:cs="Times New Roman"/>
      <w:kern w:val="0"/>
      <w:sz w:val="22"/>
    </w:rPr>
  </w:style>
  <w:style w:type="character" w:customStyle="1" w:styleId="40">
    <w:name w:val="正文首行缩进 2 Char"/>
    <w:basedOn w:val="39"/>
    <w:link w:val="18"/>
    <w:semiHidden/>
    <w:qFormat/>
    <w:uiPriority w:val="99"/>
  </w:style>
  <w:style w:type="character" w:customStyle="1" w:styleId="41">
    <w:name w:val="正文首行缩进 2 Char1"/>
    <w:basedOn w:val="39"/>
    <w:link w:val="18"/>
    <w:semiHidden/>
    <w:qFormat/>
    <w:locked/>
    <w:uiPriority w:val="99"/>
    <w:rPr>
      <w:rFonts w:ascii="Calibri" w:hAnsi="Calibri" w:eastAsia="宋体"/>
      <w:szCs w:val="24"/>
    </w:rPr>
  </w:style>
  <w:style w:type="paragraph" w:customStyle="1" w:styleId="42">
    <w:name w:val="Default"/>
    <w:unhideWhenUsed/>
    <w:qFormat/>
    <w:uiPriority w:val="0"/>
    <w:pPr>
      <w:widowControl w:val="0"/>
      <w:autoSpaceDE w:val="0"/>
      <w:autoSpaceDN w:val="0"/>
    </w:pPr>
    <w:rPr>
      <w:rFonts w:hint="eastAsia" w:ascii="宋体" w:hAnsi="Calibri" w:eastAsia="宋体" w:cs="Times New Roman"/>
      <w:color w:val="000000"/>
      <w:sz w:val="24"/>
      <w:szCs w:val="22"/>
      <w:lang w:val="en-US" w:eastAsia="zh-CN" w:bidi="ar-SA"/>
    </w:rPr>
  </w:style>
  <w:style w:type="character" w:customStyle="1" w:styleId="43">
    <w:name w:val="标题 Char"/>
    <w:link w:val="16"/>
    <w:qFormat/>
    <w:uiPriority w:val="0"/>
    <w:rPr>
      <w:b/>
      <w:bCs/>
      <w:szCs w:val="32"/>
    </w:rPr>
  </w:style>
  <w:style w:type="character" w:customStyle="1" w:styleId="44">
    <w:name w:val="标题 Char1"/>
    <w:basedOn w:val="21"/>
    <w:link w:val="16"/>
    <w:qFormat/>
    <w:uiPriority w:val="99"/>
    <w:rPr>
      <w:rFonts w:eastAsia="宋体" w:asciiTheme="majorHAnsi" w:hAnsiTheme="majorHAnsi" w:cstheme="majorBidi"/>
      <w:b/>
      <w:bCs/>
      <w:kern w:val="0"/>
      <w:sz w:val="32"/>
      <w:szCs w:val="32"/>
    </w:rPr>
  </w:style>
  <w:style w:type="character" w:customStyle="1" w:styleId="45">
    <w:name w:val="图标标题 Char"/>
    <w:link w:val="46"/>
    <w:qFormat/>
    <w:uiPriority w:val="0"/>
    <w:rPr>
      <w:rFonts w:eastAsia="黑体"/>
      <w:b/>
      <w:szCs w:val="21"/>
    </w:rPr>
  </w:style>
  <w:style w:type="paragraph" w:customStyle="1" w:styleId="46">
    <w:name w:val="图标标题"/>
    <w:basedOn w:val="1"/>
    <w:link w:val="45"/>
    <w:qFormat/>
    <w:uiPriority w:val="0"/>
    <w:pPr>
      <w:widowControl w:val="0"/>
      <w:adjustRightInd/>
      <w:snapToGrid/>
      <w:spacing w:beforeLines="30" w:after="0"/>
      <w:jc w:val="center"/>
    </w:pPr>
    <w:rPr>
      <w:rFonts w:eastAsia="黑体" w:asciiTheme="minorHAnsi" w:hAnsiTheme="minorHAnsi" w:cstheme="minorBidi"/>
      <w:b/>
      <w:kern w:val="2"/>
      <w:sz w:val="21"/>
      <w:szCs w:val="21"/>
    </w:rPr>
  </w:style>
  <w:style w:type="character" w:customStyle="1" w:styleId="47">
    <w:name w:val="表格文字 Char"/>
    <w:link w:val="48"/>
    <w:qFormat/>
    <w:uiPriority w:val="0"/>
    <w:rPr>
      <w:szCs w:val="21"/>
    </w:rPr>
  </w:style>
  <w:style w:type="paragraph" w:customStyle="1" w:styleId="48">
    <w:name w:val="表格文字"/>
    <w:basedOn w:val="1"/>
    <w:link w:val="47"/>
    <w:qFormat/>
    <w:uiPriority w:val="0"/>
    <w:pPr>
      <w:widowControl w:val="0"/>
      <w:spacing w:after="0"/>
      <w:jc w:val="center"/>
    </w:pPr>
    <w:rPr>
      <w:rFonts w:asciiTheme="minorHAnsi" w:hAnsiTheme="minorHAnsi" w:eastAsiaTheme="minorEastAsia" w:cstheme="minorBidi"/>
      <w:kern w:val="2"/>
      <w:sz w:val="21"/>
      <w:szCs w:val="21"/>
    </w:rPr>
  </w:style>
  <w:style w:type="paragraph" w:customStyle="1" w:styleId="49">
    <w:name w:val="p0"/>
    <w:basedOn w:val="1"/>
    <w:qFormat/>
    <w:uiPriority w:val="99"/>
    <w:pPr>
      <w:adjustRightInd/>
      <w:snapToGrid/>
      <w:spacing w:after="0"/>
      <w:jc w:val="both"/>
    </w:pPr>
    <w:rPr>
      <w:rFonts w:asciiTheme="minorHAnsi" w:hAnsiTheme="minorHAnsi" w:eastAsiaTheme="minorEastAsia" w:cstheme="minorBidi"/>
      <w:sz w:val="21"/>
      <w:szCs w:val="21"/>
    </w:rPr>
  </w:style>
  <w:style w:type="character" w:customStyle="1" w:styleId="50">
    <w:name w:val="批注文字 Char"/>
    <w:link w:val="6"/>
    <w:qFormat/>
    <w:uiPriority w:val="0"/>
    <w:rPr>
      <w:rFonts w:eastAsia="宋体"/>
    </w:rPr>
  </w:style>
  <w:style w:type="character" w:customStyle="1" w:styleId="51">
    <w:name w:val="批注文字 Char1"/>
    <w:basedOn w:val="21"/>
    <w:link w:val="6"/>
    <w:semiHidden/>
    <w:qFormat/>
    <w:uiPriority w:val="99"/>
    <w:rPr>
      <w:rFonts w:ascii="Tahoma" w:hAnsi="Tahoma" w:eastAsia="微软雅黑" w:cs="Times New Roman"/>
      <w:kern w:val="0"/>
      <w:sz w:val="22"/>
    </w:rPr>
  </w:style>
  <w:style w:type="character" w:customStyle="1" w:styleId="52">
    <w:name w:val="报告书正文 Char"/>
    <w:link w:val="53"/>
    <w:qFormat/>
    <w:uiPriority w:val="0"/>
    <w:rPr>
      <w:rFonts w:ascii="宋体" w:hAnsi="宋体" w:eastAsia="宋体" w:cs="Arial"/>
      <w:bCs/>
      <w:sz w:val="24"/>
      <w:szCs w:val="24"/>
    </w:rPr>
  </w:style>
  <w:style w:type="paragraph" w:customStyle="1" w:styleId="53">
    <w:name w:val="报告书正文"/>
    <w:basedOn w:val="11"/>
    <w:link w:val="52"/>
    <w:qFormat/>
    <w:uiPriority w:val="0"/>
    <w:pPr>
      <w:widowControl w:val="0"/>
      <w:tabs>
        <w:tab w:val="left" w:pos="6300"/>
      </w:tabs>
      <w:spacing w:after="0" w:line="520" w:lineRule="exact"/>
      <w:ind w:left="0" w:leftChars="0" w:firstLine="200" w:firstLineChars="200"/>
      <w:jc w:val="both"/>
    </w:pPr>
    <w:rPr>
      <w:rFonts w:ascii="宋体" w:hAnsi="宋体" w:eastAsia="宋体" w:cs="Arial"/>
      <w:bCs/>
      <w:kern w:val="2"/>
      <w:sz w:val="24"/>
      <w:szCs w:val="24"/>
    </w:rPr>
  </w:style>
  <w:style w:type="character" w:customStyle="1" w:styleId="54">
    <w:name w:val="正文文本缩进 2 Char"/>
    <w:basedOn w:val="21"/>
    <w:link w:val="11"/>
    <w:semiHidden/>
    <w:qFormat/>
    <w:uiPriority w:val="99"/>
    <w:rPr>
      <w:rFonts w:ascii="Tahoma" w:hAnsi="Tahoma" w:eastAsia="微软雅黑" w:cs="Times New Roman"/>
      <w:kern w:val="0"/>
      <w:sz w:val="22"/>
    </w:rPr>
  </w:style>
  <w:style w:type="character" w:customStyle="1" w:styleId="55">
    <w:name w:val="正文文本 Char"/>
    <w:link w:val="7"/>
    <w:qFormat/>
    <w:uiPriority w:val="0"/>
    <w:rPr>
      <w:rFonts w:eastAsia="宋体"/>
      <w:szCs w:val="24"/>
    </w:rPr>
  </w:style>
  <w:style w:type="character" w:customStyle="1" w:styleId="56">
    <w:name w:val="正文文本 Char1"/>
    <w:basedOn w:val="21"/>
    <w:link w:val="7"/>
    <w:semiHidden/>
    <w:qFormat/>
    <w:uiPriority w:val="99"/>
    <w:rPr>
      <w:rFonts w:ascii="Tahoma" w:hAnsi="Tahoma" w:eastAsia="微软雅黑" w:cs="Times New Roman"/>
      <w:kern w:val="0"/>
      <w:sz w:val="22"/>
    </w:rPr>
  </w:style>
  <w:style w:type="paragraph" w:customStyle="1" w:styleId="57">
    <w:name w:val="l13"/>
    <w:basedOn w:val="1"/>
    <w:qFormat/>
    <w:uiPriority w:val="99"/>
    <w:pPr>
      <w:adjustRightInd/>
      <w:snapToGrid/>
      <w:spacing w:before="100" w:beforeAutospacing="1" w:after="100" w:afterAutospacing="1" w:line="312" w:lineRule="auto"/>
    </w:pPr>
    <w:rPr>
      <w:rFonts w:ascii="宋体" w:hAnsi="Times New Roman" w:eastAsia="宋体"/>
      <w:color w:val="000000"/>
      <w:sz w:val="24"/>
      <w:szCs w:val="24"/>
    </w:rPr>
  </w:style>
  <w:style w:type="paragraph" w:customStyle="1" w:styleId="58">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9">
    <w:name w:val="表头111"/>
    <w:basedOn w:val="1"/>
    <w:qFormat/>
    <w:uiPriority w:val="0"/>
    <w:pPr>
      <w:jc w:val="center"/>
    </w:pPr>
    <w:rPr>
      <w:b/>
      <w:szCs w:val="21"/>
    </w:rPr>
  </w:style>
  <w:style w:type="paragraph" w:customStyle="1" w:styleId="60">
    <w:name w:val="Table Paragraph"/>
    <w:basedOn w:val="1"/>
    <w:qFormat/>
    <w:uiPriority w:val="1"/>
    <w:pPr>
      <w:jc w:val="center"/>
    </w:pPr>
    <w:rPr>
      <w:rFonts w:ascii="宋体" w:hAnsi="宋体" w:cs="宋体"/>
      <w:lang w:val="zh-CN" w:bidi="zh-CN"/>
    </w:rPr>
  </w:style>
  <w:style w:type="character" w:customStyle="1" w:styleId="61">
    <w:name w:val="批注主题 Char"/>
    <w:basedOn w:val="51"/>
    <w:link w:val="17"/>
    <w:semiHidden/>
    <w:qFormat/>
    <w:uiPriority w:val="99"/>
    <w:rPr>
      <w:b/>
      <w:bCs/>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2083FD-9232-42C4-ABA9-DA212472D7C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Pages>
  <Words>8029</Words>
  <Characters>8593</Characters>
  <Lines>59</Lines>
  <Paragraphs>16</Paragraphs>
  <TotalTime>0</TotalTime>
  <ScaleCrop>false</ScaleCrop>
  <LinksUpToDate>false</LinksUpToDate>
  <CharactersWithSpaces>8964</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2018-07-12T02:16:00Z</dcterms:created>
  <dc:creator>Administrator</dc:creator>
  <cp:lastModifiedBy>淡言一首难辨的曲</cp:lastModifiedBy>
  <dcterms:modified xsi:type="dcterms:W3CDTF">2019-12-04T03:40:12Z</dcterms:modified>
  <cp:revision>400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